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35632" w:rsidRDefault="00E35632">
      <w:pPr>
        <w:pStyle w:val="ConsPlusTitlePage"/>
      </w:pPr>
      <w:bookmarkStart w:id="0" w:name="_GoBack"/>
      <w:r>
        <w:t xml:space="preserve">Документ предоставлен </w:t>
      </w:r>
      <w:hyperlink r:id="rId4">
        <w:r>
          <w:rPr>
            <w:color w:val="0000FF"/>
          </w:rPr>
          <w:t>КонсультантПлюс</w:t>
        </w:r>
      </w:hyperlink>
      <w:r>
        <w:br/>
      </w:r>
    </w:p>
    <w:p w:rsidR="00E35632" w:rsidRDefault="00E35632">
      <w:pPr>
        <w:pStyle w:val="ConsPlusNormal"/>
        <w:jc w:val="both"/>
        <w:outlineLvl w:val="0"/>
      </w:pPr>
    </w:p>
    <w:p w:rsidR="00E35632" w:rsidRDefault="00E35632">
      <w:pPr>
        <w:pStyle w:val="ConsPlusNormal"/>
        <w:jc w:val="right"/>
        <w:outlineLvl w:val="0"/>
      </w:pPr>
      <w:r>
        <w:t>Утвержден</w:t>
      </w:r>
    </w:p>
    <w:p w:rsidR="00E35632" w:rsidRDefault="00E35632">
      <w:pPr>
        <w:pStyle w:val="ConsPlusNormal"/>
        <w:jc w:val="right"/>
      </w:pPr>
      <w:hyperlink r:id="rId5">
        <w:r>
          <w:rPr>
            <w:color w:val="0000FF"/>
          </w:rPr>
          <w:t>Приказом</w:t>
        </w:r>
      </w:hyperlink>
      <w:r>
        <w:t xml:space="preserve"> Министерства строительства</w:t>
      </w:r>
    </w:p>
    <w:p w:rsidR="00E35632" w:rsidRDefault="00E35632">
      <w:pPr>
        <w:pStyle w:val="ConsPlusNormal"/>
        <w:jc w:val="right"/>
      </w:pPr>
      <w:r>
        <w:t>и жилищно-коммунального хозяйства</w:t>
      </w:r>
    </w:p>
    <w:p w:rsidR="00E35632" w:rsidRDefault="00E35632">
      <w:pPr>
        <w:pStyle w:val="ConsPlusNormal"/>
        <w:jc w:val="right"/>
      </w:pPr>
      <w:r>
        <w:t>Российской Федерации</w:t>
      </w:r>
    </w:p>
    <w:p w:rsidR="00E35632" w:rsidRDefault="00E35632">
      <w:pPr>
        <w:pStyle w:val="ConsPlusNormal"/>
        <w:jc w:val="right"/>
      </w:pPr>
      <w:r>
        <w:t>от 16 декабря 2016 г. N 970/пр</w:t>
      </w:r>
    </w:p>
    <w:p w:rsidR="00E35632" w:rsidRDefault="00E35632">
      <w:pPr>
        <w:pStyle w:val="ConsPlusNormal"/>
        <w:jc w:val="both"/>
      </w:pPr>
    </w:p>
    <w:p w:rsidR="00E35632" w:rsidRDefault="00E35632">
      <w:pPr>
        <w:pStyle w:val="ConsPlusTitle"/>
        <w:jc w:val="center"/>
      </w:pPr>
      <w:r>
        <w:t>СВОД ПРАВИЛ</w:t>
      </w:r>
    </w:p>
    <w:p w:rsidR="00E35632" w:rsidRDefault="00E35632">
      <w:pPr>
        <w:pStyle w:val="ConsPlusTitle"/>
        <w:jc w:val="center"/>
      </w:pPr>
    </w:p>
    <w:p w:rsidR="00E35632" w:rsidRDefault="00E35632">
      <w:pPr>
        <w:pStyle w:val="ConsPlusTitle"/>
        <w:jc w:val="center"/>
      </w:pPr>
      <w:r>
        <w:t>ОСНОВАНИЯ ЗДАНИЙ И СООРУЖЕНИЙ</w:t>
      </w:r>
    </w:p>
    <w:p w:rsidR="00E35632" w:rsidRDefault="00E35632">
      <w:pPr>
        <w:pStyle w:val="ConsPlusTitle"/>
        <w:jc w:val="center"/>
      </w:pPr>
    </w:p>
    <w:p w:rsidR="00E35632" w:rsidRDefault="00E35632">
      <w:pPr>
        <w:pStyle w:val="ConsPlusTitle"/>
        <w:jc w:val="center"/>
      </w:pPr>
      <w:r>
        <w:t>АКТУАЛИЗИРОВАННАЯ РЕДАКЦИЯ</w:t>
      </w:r>
    </w:p>
    <w:p w:rsidR="00E35632" w:rsidRPr="00E35632" w:rsidRDefault="00E35632">
      <w:pPr>
        <w:pStyle w:val="ConsPlusTitle"/>
        <w:jc w:val="center"/>
        <w:rPr>
          <w:lang w:val="en-US"/>
        </w:rPr>
      </w:pPr>
      <w:hyperlink r:id="rId6">
        <w:r>
          <w:rPr>
            <w:color w:val="0000FF"/>
          </w:rPr>
          <w:t>СНиП</w:t>
        </w:r>
        <w:r w:rsidRPr="00E35632">
          <w:rPr>
            <w:color w:val="0000FF"/>
            <w:lang w:val="en-US"/>
          </w:rPr>
          <w:t xml:space="preserve"> 2.02.01-83*</w:t>
        </w:r>
      </w:hyperlink>
    </w:p>
    <w:p w:rsidR="00E35632" w:rsidRPr="00E35632" w:rsidRDefault="00E35632">
      <w:pPr>
        <w:pStyle w:val="ConsPlusTitle"/>
        <w:jc w:val="center"/>
        <w:rPr>
          <w:lang w:val="en-US"/>
        </w:rPr>
      </w:pPr>
    </w:p>
    <w:p w:rsidR="00E35632" w:rsidRPr="00E35632" w:rsidRDefault="00E35632">
      <w:pPr>
        <w:pStyle w:val="ConsPlusTitle"/>
        <w:jc w:val="center"/>
        <w:rPr>
          <w:lang w:val="en-US"/>
        </w:rPr>
      </w:pPr>
      <w:r w:rsidRPr="00E35632">
        <w:rPr>
          <w:lang w:val="en-US"/>
        </w:rPr>
        <w:t>Soil bases of buildings and structures</w:t>
      </w:r>
    </w:p>
    <w:p w:rsidR="00E35632" w:rsidRPr="00E35632" w:rsidRDefault="00E35632">
      <w:pPr>
        <w:pStyle w:val="ConsPlusTitle"/>
        <w:jc w:val="center"/>
        <w:rPr>
          <w:lang w:val="en-US"/>
        </w:rPr>
      </w:pPr>
    </w:p>
    <w:p w:rsidR="00E35632" w:rsidRDefault="00E35632">
      <w:pPr>
        <w:pStyle w:val="ConsPlusTitle"/>
        <w:jc w:val="center"/>
      </w:pPr>
      <w:r>
        <w:t>СП 22.13330.2016</w:t>
      </w:r>
    </w:p>
    <w:p w:rsidR="00E35632" w:rsidRDefault="00E35632">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000" w:firstRow="0" w:lastRow="0" w:firstColumn="0" w:lastColumn="0" w:noHBand="0" w:noVBand="0"/>
      </w:tblPr>
      <w:tblGrid>
        <w:gridCol w:w="60"/>
        <w:gridCol w:w="113"/>
        <w:gridCol w:w="9069"/>
        <w:gridCol w:w="113"/>
      </w:tblGrid>
      <w:tr w:rsidR="00E35632">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E35632" w:rsidRDefault="00E35632">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E35632" w:rsidRDefault="00E35632">
            <w:pPr>
              <w:pStyle w:val="ConsPlusNormal"/>
              <w:jc w:val="center"/>
            </w:pPr>
            <w:r>
              <w:rPr>
                <w:color w:val="392C69"/>
              </w:rPr>
              <w:t>Список изменяющих документов</w:t>
            </w:r>
          </w:p>
          <w:p w:rsidR="00E35632" w:rsidRDefault="00E35632">
            <w:pPr>
              <w:pStyle w:val="ConsPlusNormal"/>
              <w:jc w:val="center"/>
            </w:pPr>
            <w:r>
              <w:rPr>
                <w:color w:val="392C69"/>
              </w:rPr>
              <w:t xml:space="preserve">(в ред. </w:t>
            </w:r>
            <w:hyperlink r:id="rId7">
              <w:r>
                <w:rPr>
                  <w:color w:val="0000FF"/>
                </w:rPr>
                <w:t>Изменения N 1</w:t>
              </w:r>
            </w:hyperlink>
            <w:r>
              <w:rPr>
                <w:color w:val="392C69"/>
              </w:rPr>
              <w:t xml:space="preserve">, утв. </w:t>
            </w:r>
            <w:hyperlink r:id="rId8">
              <w:r>
                <w:rPr>
                  <w:color w:val="0000FF"/>
                </w:rPr>
                <w:t>Приказом</w:t>
              </w:r>
            </w:hyperlink>
          </w:p>
          <w:p w:rsidR="00E35632" w:rsidRDefault="00E35632">
            <w:pPr>
              <w:pStyle w:val="ConsPlusNormal"/>
              <w:jc w:val="center"/>
            </w:pPr>
            <w:r>
              <w:rPr>
                <w:color w:val="392C69"/>
              </w:rPr>
              <w:t>Минстроя России от 20.11.2018 N 736/пр,</w:t>
            </w:r>
          </w:p>
          <w:p w:rsidR="00E35632" w:rsidRDefault="00E35632">
            <w:pPr>
              <w:pStyle w:val="ConsPlusNormal"/>
              <w:jc w:val="center"/>
            </w:pPr>
            <w:hyperlink r:id="rId9">
              <w:r>
                <w:rPr>
                  <w:color w:val="0000FF"/>
                </w:rPr>
                <w:t>Изменения N 2</w:t>
              </w:r>
            </w:hyperlink>
            <w:r>
              <w:rPr>
                <w:color w:val="392C69"/>
              </w:rPr>
              <w:t xml:space="preserve">, утв. </w:t>
            </w:r>
            <w:hyperlink r:id="rId10">
              <w:r>
                <w:rPr>
                  <w:color w:val="0000FF"/>
                </w:rPr>
                <w:t>Приказом</w:t>
              </w:r>
            </w:hyperlink>
          </w:p>
          <w:p w:rsidR="00E35632" w:rsidRDefault="00E35632">
            <w:pPr>
              <w:pStyle w:val="ConsPlusNormal"/>
              <w:jc w:val="center"/>
            </w:pPr>
            <w:r>
              <w:rPr>
                <w:color w:val="392C69"/>
              </w:rPr>
              <w:t>Минстроя России от 24.01.2019 N 43/пр,</w:t>
            </w:r>
          </w:p>
          <w:p w:rsidR="00E35632" w:rsidRDefault="00E35632">
            <w:pPr>
              <w:pStyle w:val="ConsPlusNormal"/>
              <w:jc w:val="center"/>
            </w:pPr>
            <w:hyperlink r:id="rId11">
              <w:r>
                <w:rPr>
                  <w:color w:val="0000FF"/>
                </w:rPr>
                <w:t>Изменения N 3</w:t>
              </w:r>
            </w:hyperlink>
            <w:r>
              <w:rPr>
                <w:color w:val="392C69"/>
              </w:rPr>
              <w:t xml:space="preserve">, утв. </w:t>
            </w:r>
            <w:hyperlink r:id="rId12">
              <w:r>
                <w:rPr>
                  <w:color w:val="0000FF"/>
                </w:rPr>
                <w:t>Приказом</w:t>
              </w:r>
            </w:hyperlink>
          </w:p>
          <w:p w:rsidR="00E35632" w:rsidRDefault="00E35632">
            <w:pPr>
              <w:pStyle w:val="ConsPlusNormal"/>
              <w:jc w:val="center"/>
            </w:pPr>
            <w:r>
              <w:rPr>
                <w:color w:val="392C69"/>
              </w:rPr>
              <w:t>Минстроя России от 22.11.2019 N 722/пр,</w:t>
            </w:r>
          </w:p>
          <w:p w:rsidR="00E35632" w:rsidRDefault="00E35632">
            <w:pPr>
              <w:pStyle w:val="ConsPlusNormal"/>
              <w:jc w:val="center"/>
            </w:pPr>
            <w:hyperlink r:id="rId13">
              <w:r>
                <w:rPr>
                  <w:color w:val="0000FF"/>
                </w:rPr>
                <w:t>Изменения N 4</w:t>
              </w:r>
            </w:hyperlink>
            <w:r>
              <w:rPr>
                <w:color w:val="392C69"/>
              </w:rPr>
              <w:t xml:space="preserve">, утв. </w:t>
            </w:r>
            <w:hyperlink r:id="rId14">
              <w:r>
                <w:rPr>
                  <w:color w:val="0000FF"/>
                </w:rPr>
                <w:t>Приказом</w:t>
              </w:r>
            </w:hyperlink>
          </w:p>
          <w:p w:rsidR="00E35632" w:rsidRDefault="00E35632">
            <w:pPr>
              <w:pStyle w:val="ConsPlusNormal"/>
              <w:jc w:val="center"/>
            </w:pPr>
            <w:r>
              <w:rPr>
                <w:color w:val="392C69"/>
              </w:rPr>
              <w:t>Минстроя России от 27.12.2021 N 1022/пр)</w:t>
            </w: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r>
    </w:tbl>
    <w:p w:rsidR="00E35632" w:rsidRDefault="00E35632">
      <w:pPr>
        <w:pStyle w:val="ConsPlusNormal"/>
        <w:jc w:val="both"/>
      </w:pPr>
    </w:p>
    <w:p w:rsidR="00E35632" w:rsidRDefault="00E35632">
      <w:pPr>
        <w:pStyle w:val="ConsPlusTitle"/>
        <w:jc w:val="center"/>
        <w:outlineLvl w:val="1"/>
      </w:pPr>
      <w:r>
        <w:t>Предисловие</w:t>
      </w:r>
    </w:p>
    <w:p w:rsidR="00E35632" w:rsidRDefault="00E35632">
      <w:pPr>
        <w:pStyle w:val="ConsPlusNormal"/>
        <w:jc w:val="both"/>
      </w:pPr>
    </w:p>
    <w:p w:rsidR="00E35632" w:rsidRDefault="00E35632">
      <w:pPr>
        <w:pStyle w:val="ConsPlusNormal"/>
        <w:ind w:firstLine="540"/>
        <w:jc w:val="both"/>
      </w:pPr>
      <w:r>
        <w:rPr>
          <w:b/>
        </w:rPr>
        <w:t>Сведения о своде правил</w:t>
      </w:r>
    </w:p>
    <w:p w:rsidR="00E35632" w:rsidRDefault="00E35632">
      <w:pPr>
        <w:pStyle w:val="ConsPlusNormal"/>
        <w:jc w:val="both"/>
      </w:pPr>
    </w:p>
    <w:p w:rsidR="00E35632" w:rsidRDefault="00E35632">
      <w:pPr>
        <w:pStyle w:val="ConsPlusNormal"/>
        <w:ind w:firstLine="540"/>
        <w:jc w:val="both"/>
      </w:pPr>
      <w:r>
        <w:t>1 ИСПОЛНИТЕЛИ - Научно-исследовательский, проектно-изыскательский и конструкторско-технологический институт оснований и подземных сооружений им. Н.М. Герсеванова (НИИОСП им. Н.М. Герсеванова) - институт АО "НИЦ "Строительство"</w:t>
      </w:r>
    </w:p>
    <w:p w:rsidR="00E35632" w:rsidRDefault="00E35632">
      <w:pPr>
        <w:pStyle w:val="ConsPlusNormal"/>
        <w:spacing w:before="220"/>
        <w:ind w:firstLine="540"/>
        <w:jc w:val="both"/>
      </w:pPr>
      <w:r>
        <w:t>2 ВНЕСЕН Техническим комитетом по стандартизации ТК 465 "Строительство"</w:t>
      </w:r>
    </w:p>
    <w:p w:rsidR="00E35632" w:rsidRDefault="00E35632">
      <w:pPr>
        <w:pStyle w:val="ConsPlusNormal"/>
        <w:spacing w:before="220"/>
        <w:ind w:firstLine="540"/>
        <w:jc w:val="both"/>
      </w:pPr>
      <w:r>
        <w:t>3 ПОДГОТОВЛЕН к утверждению Департаментом градостроительной деятельности и архитектуры Министерства строительства и жилищно-коммунального хозяйства Российской Федерации (Минстрой России)</w:t>
      </w:r>
    </w:p>
    <w:p w:rsidR="00E35632" w:rsidRDefault="00E35632">
      <w:pPr>
        <w:pStyle w:val="ConsPlusNormal"/>
        <w:spacing w:before="220"/>
        <w:ind w:firstLine="540"/>
        <w:jc w:val="both"/>
      </w:pPr>
      <w:r>
        <w:t xml:space="preserve">4 УТВЕРЖДЕН </w:t>
      </w:r>
      <w:hyperlink r:id="rId15">
        <w:r>
          <w:rPr>
            <w:color w:val="0000FF"/>
          </w:rPr>
          <w:t>приказом</w:t>
        </w:r>
      </w:hyperlink>
      <w:r>
        <w:t xml:space="preserve"> Министерства строительства и жилищно-коммунального хозяйства Российской Федерации от 16 декабря 2016 г. N 970/пр и введен в действие с 17 июня 2017 г.</w:t>
      </w:r>
    </w:p>
    <w:p w:rsidR="00E35632" w:rsidRDefault="00E35632">
      <w:pPr>
        <w:pStyle w:val="ConsPlusNormal"/>
        <w:spacing w:before="220"/>
        <w:ind w:firstLine="540"/>
        <w:jc w:val="both"/>
      </w:pPr>
      <w:r>
        <w:t xml:space="preserve">5 ЗАРЕГИСТРИРОВАН Федеральным агентством по техническому регулированию и метрологии (Росстандарт). Пересмотр </w:t>
      </w:r>
      <w:hyperlink r:id="rId16">
        <w:r>
          <w:rPr>
            <w:color w:val="0000FF"/>
          </w:rPr>
          <w:t>СП 22.13330.2011</w:t>
        </w:r>
      </w:hyperlink>
    </w:p>
    <w:p w:rsidR="00E35632" w:rsidRDefault="00E35632">
      <w:pPr>
        <w:pStyle w:val="ConsPlusNormal"/>
        <w:jc w:val="both"/>
      </w:pPr>
    </w:p>
    <w:p w:rsidR="00E35632" w:rsidRDefault="00E35632">
      <w:pPr>
        <w:pStyle w:val="ConsPlusNormal"/>
        <w:ind w:firstLine="540"/>
        <w:jc w:val="both"/>
      </w:pPr>
      <w:r>
        <w:t>В случае пересмотра (замены) или отмены настоящего свода правил соответствующее уведомление будет опубликовано в установленном порядке. Соответствующая информация, уведомление и тексты размещаются также в информационной системе общего пользования - на официальном сайте разработчика (Минстрой России) в сети Интернет</w:t>
      </w:r>
    </w:p>
    <w:p w:rsidR="00E35632" w:rsidRDefault="00E35632">
      <w:pPr>
        <w:pStyle w:val="ConsPlusNormal"/>
        <w:jc w:val="both"/>
      </w:pPr>
    </w:p>
    <w:p w:rsidR="00E35632" w:rsidRDefault="00E35632">
      <w:pPr>
        <w:pStyle w:val="ConsPlusTitle"/>
        <w:jc w:val="center"/>
        <w:outlineLvl w:val="1"/>
      </w:pPr>
      <w:r>
        <w:t>Введение</w:t>
      </w:r>
    </w:p>
    <w:p w:rsidR="00E35632" w:rsidRDefault="00E35632">
      <w:pPr>
        <w:pStyle w:val="ConsPlusNormal"/>
        <w:jc w:val="both"/>
      </w:pPr>
    </w:p>
    <w:p w:rsidR="00E35632" w:rsidRDefault="00E35632">
      <w:pPr>
        <w:pStyle w:val="ConsPlusNormal"/>
        <w:ind w:firstLine="540"/>
        <w:jc w:val="both"/>
      </w:pPr>
      <w:r>
        <w:t>Настоящий документ содержит указания по проектированию оснований зданий и сооружений, в том числе подземных, возводимых в различных природных условиях, для различных видов строительства.</w:t>
      </w:r>
    </w:p>
    <w:p w:rsidR="00E35632" w:rsidRDefault="00E35632">
      <w:pPr>
        <w:pStyle w:val="ConsPlusNormal"/>
        <w:spacing w:before="220"/>
        <w:ind w:firstLine="540"/>
        <w:jc w:val="both"/>
      </w:pPr>
      <w:r>
        <w:t xml:space="preserve">Разработаны НИИОСП им. </w:t>
      </w:r>
      <w:r>
        <w:rPr>
          <w:i/>
        </w:rPr>
        <w:t>Н.М. Герсеванова</w:t>
      </w:r>
      <w:r>
        <w:t xml:space="preserve"> - институтом ОАО "НИЦ "Строительство" (д-р техн. наук </w:t>
      </w:r>
      <w:r>
        <w:rPr>
          <w:i/>
        </w:rPr>
        <w:t>В.П. Петрухин</w:t>
      </w:r>
      <w:r>
        <w:t xml:space="preserve">, д-р техн. наук </w:t>
      </w:r>
      <w:r>
        <w:rPr>
          <w:i/>
        </w:rPr>
        <w:t>Е.А. Сорочан</w:t>
      </w:r>
      <w:r>
        <w:t xml:space="preserve">, канд. техн. наук </w:t>
      </w:r>
      <w:r>
        <w:rPr>
          <w:i/>
        </w:rPr>
        <w:t>И.В. Колыбин</w:t>
      </w:r>
      <w:r>
        <w:t xml:space="preserve"> - руководители темы; д-р техн. наук </w:t>
      </w:r>
      <w:r>
        <w:rPr>
          <w:i/>
        </w:rPr>
        <w:t>Б.В. Бахолдин</w:t>
      </w:r>
      <w:r>
        <w:t xml:space="preserve">, д-р техн. наук </w:t>
      </w:r>
      <w:r>
        <w:rPr>
          <w:i/>
        </w:rPr>
        <w:t>А.А. Григорян</w:t>
      </w:r>
      <w:r>
        <w:t xml:space="preserve">, д-р техн. наук </w:t>
      </w:r>
      <w:r>
        <w:rPr>
          <w:i/>
        </w:rPr>
        <w:t>П.А. Коновалов</w:t>
      </w:r>
      <w:r>
        <w:t xml:space="preserve">, д-р техн. наук </w:t>
      </w:r>
      <w:r>
        <w:rPr>
          <w:i/>
        </w:rPr>
        <w:t>В.И. Крутов</w:t>
      </w:r>
      <w:r>
        <w:t xml:space="preserve">, д-р техн. наук Н.С. Никифорова, д-р техн. наук </w:t>
      </w:r>
      <w:r>
        <w:rPr>
          <w:i/>
        </w:rPr>
        <w:t>Л.Р. Ставницер</w:t>
      </w:r>
      <w:r>
        <w:t xml:space="preserve">, д-р техн. наук </w:t>
      </w:r>
      <w:r>
        <w:rPr>
          <w:i/>
        </w:rPr>
        <w:t>В.И. Шейнин</w:t>
      </w:r>
      <w:r>
        <w:t xml:space="preserve">; канд. техн. наук </w:t>
      </w:r>
      <w:r>
        <w:rPr>
          <w:i/>
        </w:rPr>
        <w:t>А.Г. Алексеев</w:t>
      </w:r>
      <w:r>
        <w:t xml:space="preserve">, канд. техн. наук </w:t>
      </w:r>
      <w:r>
        <w:rPr>
          <w:i/>
        </w:rPr>
        <w:t>Г.И. Бондаренко</w:t>
      </w:r>
      <w:r>
        <w:t xml:space="preserve">, канд. техн. наук </w:t>
      </w:r>
      <w:r>
        <w:rPr>
          <w:i/>
        </w:rPr>
        <w:t>В.Г. Буданов</w:t>
      </w:r>
      <w:r>
        <w:t xml:space="preserve">, канд. техн. наук </w:t>
      </w:r>
      <w:r>
        <w:rPr>
          <w:i/>
        </w:rPr>
        <w:t>А.М. Дзагов</w:t>
      </w:r>
      <w:r>
        <w:t xml:space="preserve">, канд. техн. наук </w:t>
      </w:r>
      <w:r>
        <w:rPr>
          <w:i/>
        </w:rPr>
        <w:t>Ф.Ф. Зехниев</w:t>
      </w:r>
      <w:r>
        <w:t xml:space="preserve">, канд. техн. наук </w:t>
      </w:r>
      <w:r>
        <w:rPr>
          <w:i/>
        </w:rPr>
        <w:t>М.Н. Ибрагимов</w:t>
      </w:r>
      <w:r>
        <w:t xml:space="preserve">, канд. техн. наук </w:t>
      </w:r>
      <w:r>
        <w:rPr>
          <w:i/>
        </w:rPr>
        <w:t>О.И. Игнатова</w:t>
      </w:r>
      <w:r>
        <w:t xml:space="preserve">, канд. техн. наук </w:t>
      </w:r>
      <w:r>
        <w:rPr>
          <w:i/>
        </w:rPr>
        <w:t>О.Н. Исаев</w:t>
      </w:r>
      <w:r>
        <w:t xml:space="preserve">, канд. техн. наук </w:t>
      </w:r>
      <w:r>
        <w:rPr>
          <w:i/>
        </w:rPr>
        <w:t>В.А. Ковалев</w:t>
      </w:r>
      <w:r>
        <w:t xml:space="preserve">, канд. техн. наук </w:t>
      </w:r>
      <w:r>
        <w:rPr>
          <w:i/>
        </w:rPr>
        <w:t>В.К. Когай</w:t>
      </w:r>
      <w:r>
        <w:t xml:space="preserve">, канд. техн. наук </w:t>
      </w:r>
      <w:r>
        <w:rPr>
          <w:i/>
        </w:rPr>
        <w:t>М.М. Кузнецов</w:t>
      </w:r>
      <w:r>
        <w:t xml:space="preserve">, канд. техн. наук </w:t>
      </w:r>
      <w:r>
        <w:rPr>
          <w:i/>
        </w:rPr>
        <w:t>И.Г. Ладыженский</w:t>
      </w:r>
      <w:r>
        <w:t xml:space="preserve">, канд. техн. наук </w:t>
      </w:r>
      <w:r>
        <w:rPr>
          <w:i/>
        </w:rPr>
        <w:t>В.В. Михеев</w:t>
      </w:r>
      <w:r>
        <w:t xml:space="preserve">, канд. техн. наук </w:t>
      </w:r>
      <w:r>
        <w:rPr>
          <w:i/>
        </w:rPr>
        <w:t>Д.Е. Разводовский</w:t>
      </w:r>
      <w:r>
        <w:t xml:space="preserve">, канд. техн. наук </w:t>
      </w:r>
      <w:r>
        <w:rPr>
          <w:i/>
        </w:rPr>
        <w:t>В.В. Семкин</w:t>
      </w:r>
      <w:r>
        <w:t xml:space="preserve">, канд. техн. наук </w:t>
      </w:r>
      <w:r>
        <w:rPr>
          <w:i/>
        </w:rPr>
        <w:t>А.Н. Труфанов</w:t>
      </w:r>
      <w:r>
        <w:t xml:space="preserve">, канд. техн. наук </w:t>
      </w:r>
      <w:r>
        <w:rPr>
          <w:i/>
        </w:rPr>
        <w:t>В.Г. Федоровский</w:t>
      </w:r>
      <w:r>
        <w:t xml:space="preserve">, канд. техн. наук </w:t>
      </w:r>
      <w:r>
        <w:rPr>
          <w:i/>
        </w:rPr>
        <w:t>М.Л. Холмянский</w:t>
      </w:r>
      <w:r>
        <w:t xml:space="preserve">, канд. техн. наук </w:t>
      </w:r>
      <w:r>
        <w:rPr>
          <w:i/>
        </w:rPr>
        <w:t>А.В. Шапошников</w:t>
      </w:r>
      <w:r>
        <w:t xml:space="preserve">, канд. техн. наук </w:t>
      </w:r>
      <w:r>
        <w:rPr>
          <w:i/>
        </w:rPr>
        <w:t>Р.Ф. Шарафутдинов</w:t>
      </w:r>
      <w:r>
        <w:t xml:space="preserve">, канд. техн. наук </w:t>
      </w:r>
      <w:r>
        <w:rPr>
          <w:i/>
        </w:rPr>
        <w:t>О.А. Шулятьев</w:t>
      </w:r>
      <w:r>
        <w:t xml:space="preserve">; инж. </w:t>
      </w:r>
      <w:r>
        <w:rPr>
          <w:i/>
        </w:rPr>
        <w:t>Д.А. Внуков</w:t>
      </w:r>
      <w:r>
        <w:t xml:space="preserve">, инж. </w:t>
      </w:r>
      <w:r>
        <w:rPr>
          <w:i/>
        </w:rPr>
        <w:t>А.Б. Мещанский</w:t>
      </w:r>
      <w:r>
        <w:t xml:space="preserve">, инж. </w:t>
      </w:r>
      <w:r>
        <w:rPr>
          <w:i/>
        </w:rPr>
        <w:t>О.А. Мозгачева</w:t>
      </w:r>
      <w:r>
        <w:t xml:space="preserve">, инж. </w:t>
      </w:r>
      <w:r>
        <w:rPr>
          <w:i/>
        </w:rPr>
        <w:t>А.Б. Патрикеев</w:t>
      </w:r>
      <w:r>
        <w:t xml:space="preserve">, инж. </w:t>
      </w:r>
      <w:r>
        <w:rPr>
          <w:i/>
        </w:rPr>
        <w:t>А.И. Харичкин</w:t>
      </w:r>
      <w:r>
        <w:t>).</w:t>
      </w:r>
    </w:p>
    <w:p w:rsidR="00E35632" w:rsidRDefault="00E35632">
      <w:pPr>
        <w:pStyle w:val="ConsPlusNormal"/>
        <w:spacing w:before="220"/>
        <w:ind w:firstLine="540"/>
        <w:jc w:val="both"/>
      </w:pPr>
      <w:r>
        <w:t xml:space="preserve">Изменение N 1 к СП 22.13330.2016 разработано АО "НИЦ "Строительство" - НИИОСП им. Н.М. Герсеванова (руководитель темы - канд. техн. наук </w:t>
      </w:r>
      <w:r>
        <w:rPr>
          <w:i/>
        </w:rPr>
        <w:t>И.В. Колыбин;</w:t>
      </w:r>
      <w:r>
        <w:t xml:space="preserve"> исполнители - канд. техн. наук </w:t>
      </w:r>
      <w:r>
        <w:rPr>
          <w:i/>
        </w:rPr>
        <w:t>Буданов,</w:t>
      </w:r>
      <w:r>
        <w:t xml:space="preserve"> канд. техн. наук </w:t>
      </w:r>
      <w:r>
        <w:rPr>
          <w:i/>
        </w:rPr>
        <w:t>В.А. Ковалев,</w:t>
      </w:r>
      <w:r>
        <w:t xml:space="preserve"> канд. техн. наук </w:t>
      </w:r>
      <w:r>
        <w:rPr>
          <w:i/>
        </w:rPr>
        <w:t>И.Г. Ладыженский,</w:t>
      </w:r>
      <w:r>
        <w:t xml:space="preserve"> канд. техн. наук </w:t>
      </w:r>
      <w:r>
        <w:rPr>
          <w:i/>
        </w:rPr>
        <w:t>Д.Е. Разводовский,</w:t>
      </w:r>
      <w:r>
        <w:t xml:space="preserve"> канд. техн. наук </w:t>
      </w:r>
      <w:r>
        <w:rPr>
          <w:i/>
        </w:rPr>
        <w:t>А.Н. Труфанов,</w:t>
      </w:r>
      <w:r>
        <w:t xml:space="preserve"> канд. техн. наук </w:t>
      </w:r>
      <w:r>
        <w:rPr>
          <w:i/>
        </w:rPr>
        <w:t>О.А. Шулятьев,</w:t>
      </w:r>
      <w:r>
        <w:t xml:space="preserve"> канд. техн. наук </w:t>
      </w:r>
      <w:r>
        <w:rPr>
          <w:i/>
        </w:rPr>
        <w:t>С.О. Шулятьев;</w:t>
      </w:r>
      <w:r>
        <w:t xml:space="preserve"> инж. </w:t>
      </w:r>
      <w:r>
        <w:rPr>
          <w:i/>
        </w:rPr>
        <w:t>А.Б. Патрикеев).</w:t>
      </w:r>
    </w:p>
    <w:p w:rsidR="00E35632" w:rsidRDefault="00E35632">
      <w:pPr>
        <w:pStyle w:val="ConsPlusNormal"/>
        <w:jc w:val="both"/>
      </w:pPr>
      <w:r>
        <w:t xml:space="preserve">(абзац введен </w:t>
      </w:r>
      <w:hyperlink r:id="rId17">
        <w:r>
          <w:rPr>
            <w:color w:val="0000FF"/>
          </w:rPr>
          <w:t>Изменением N 1</w:t>
        </w:r>
      </w:hyperlink>
      <w:r>
        <w:t>, утв. Приказом Минстроя России от 20.11.2018 N 736/пр)</w:t>
      </w:r>
    </w:p>
    <w:p w:rsidR="00E35632" w:rsidRDefault="00E35632">
      <w:pPr>
        <w:pStyle w:val="ConsPlusNormal"/>
        <w:spacing w:before="220"/>
        <w:ind w:firstLine="540"/>
        <w:jc w:val="both"/>
      </w:pPr>
      <w:r>
        <w:t xml:space="preserve">Изменение N 2 разработано авторским коллективом АО "НИЦ "Строительство" - НИИОСП им. Н.М. Герсеванова (канд. техн. наук </w:t>
      </w:r>
      <w:r>
        <w:rPr>
          <w:i/>
        </w:rPr>
        <w:t>И.В. Колыбин</w:t>
      </w:r>
      <w:r>
        <w:t xml:space="preserve">, канд. техн. наук </w:t>
      </w:r>
      <w:r>
        <w:rPr>
          <w:i/>
        </w:rPr>
        <w:t>Д.Е. Разводовский</w:t>
      </w:r>
      <w:r>
        <w:t xml:space="preserve"> - руководители разработки; канд. техн. наук </w:t>
      </w:r>
      <w:r>
        <w:rPr>
          <w:i/>
        </w:rPr>
        <w:t>А.Г. Алексеев</w:t>
      </w:r>
      <w:r>
        <w:t xml:space="preserve">, канд. техн. наук </w:t>
      </w:r>
      <w:r>
        <w:rPr>
          <w:i/>
        </w:rPr>
        <w:t>В.А. Ковалев</w:t>
      </w:r>
      <w:r>
        <w:t xml:space="preserve">, канд. техн. наук </w:t>
      </w:r>
      <w:r>
        <w:rPr>
          <w:i/>
        </w:rPr>
        <w:t>В.В. Семкин</w:t>
      </w:r>
      <w:r>
        <w:t xml:space="preserve">, канд. техн. наук </w:t>
      </w:r>
      <w:r>
        <w:rPr>
          <w:i/>
        </w:rPr>
        <w:t>А.Н. Труфанов</w:t>
      </w:r>
      <w:r>
        <w:t xml:space="preserve">, канд. техн. наук </w:t>
      </w:r>
      <w:r>
        <w:rPr>
          <w:i/>
        </w:rPr>
        <w:t>А.В. Шапошников</w:t>
      </w:r>
      <w:r>
        <w:t xml:space="preserve">, инж. </w:t>
      </w:r>
      <w:r>
        <w:rPr>
          <w:i/>
        </w:rPr>
        <w:t>А.Б. Патрикеев</w:t>
      </w:r>
      <w:r>
        <w:t>).</w:t>
      </w:r>
    </w:p>
    <w:p w:rsidR="00E35632" w:rsidRDefault="00E35632">
      <w:pPr>
        <w:pStyle w:val="ConsPlusNormal"/>
        <w:jc w:val="both"/>
      </w:pPr>
      <w:r>
        <w:t xml:space="preserve">(абзац введен </w:t>
      </w:r>
      <w:hyperlink r:id="rId18">
        <w:r>
          <w:rPr>
            <w:color w:val="0000FF"/>
          </w:rPr>
          <w:t>Изменением N 2</w:t>
        </w:r>
      </w:hyperlink>
      <w:r>
        <w:t>, утв. Приказом Минстроя России от 24.01.2019 N 43/пр)</w:t>
      </w:r>
    </w:p>
    <w:p w:rsidR="00E35632" w:rsidRDefault="00E35632">
      <w:pPr>
        <w:pStyle w:val="ConsPlusNormal"/>
        <w:spacing w:before="220"/>
        <w:ind w:firstLine="540"/>
        <w:jc w:val="both"/>
      </w:pPr>
      <w:r>
        <w:t xml:space="preserve">Изменение N 3 разработано авторским коллективом АО "НИЦ "Строительство" - НИИОСП им. Н.М. Герсеванова (канд. техн. наук </w:t>
      </w:r>
      <w:r>
        <w:rPr>
          <w:i/>
        </w:rPr>
        <w:t>И</w:t>
      </w:r>
      <w:r>
        <w:t>.</w:t>
      </w:r>
      <w:r>
        <w:rPr>
          <w:i/>
        </w:rPr>
        <w:t>В. Колыбин</w:t>
      </w:r>
      <w:r>
        <w:t xml:space="preserve">, канд. техн. наук </w:t>
      </w:r>
      <w:r>
        <w:rPr>
          <w:i/>
        </w:rPr>
        <w:t>Д.Е. Разводовский</w:t>
      </w:r>
      <w:r>
        <w:t xml:space="preserve"> - руководители разработки; канд. техн. наук </w:t>
      </w:r>
      <w:r>
        <w:rPr>
          <w:i/>
        </w:rPr>
        <w:t>В.А. Ковалев</w:t>
      </w:r>
      <w:r>
        <w:t xml:space="preserve">, канд. техн. наук </w:t>
      </w:r>
      <w:r>
        <w:rPr>
          <w:i/>
        </w:rPr>
        <w:t>М.Л. Холмянский</w:t>
      </w:r>
      <w:r>
        <w:t xml:space="preserve">, канд. техн. наук </w:t>
      </w:r>
      <w:r>
        <w:rPr>
          <w:i/>
        </w:rPr>
        <w:t>Р.Ф. Шарафутдинов</w:t>
      </w:r>
      <w:r>
        <w:t xml:space="preserve">, </w:t>
      </w:r>
      <w:r>
        <w:rPr>
          <w:i/>
        </w:rPr>
        <w:t>А.Б. Патрикеев).</w:t>
      </w:r>
    </w:p>
    <w:p w:rsidR="00E35632" w:rsidRDefault="00E35632">
      <w:pPr>
        <w:pStyle w:val="ConsPlusNormal"/>
        <w:jc w:val="both"/>
      </w:pPr>
      <w:r>
        <w:t xml:space="preserve">(абзац введен </w:t>
      </w:r>
      <w:hyperlink r:id="rId19">
        <w:r>
          <w:rPr>
            <w:color w:val="0000FF"/>
          </w:rPr>
          <w:t>Изменением N 3</w:t>
        </w:r>
      </w:hyperlink>
      <w:r>
        <w:t>, утв. Приказом Минстроя России от 22.11.2019 N 722/пр)</w:t>
      </w:r>
    </w:p>
    <w:p w:rsidR="00E35632" w:rsidRDefault="00E35632">
      <w:pPr>
        <w:pStyle w:val="ConsPlusNormal"/>
        <w:spacing w:before="220"/>
        <w:ind w:firstLine="540"/>
        <w:jc w:val="both"/>
      </w:pPr>
      <w:r>
        <w:t xml:space="preserve">Изменение N 4 разработано авторским коллективом АО "НИЦ "Строительство" - НИИОСП им. Н.М. Герсеванова (канд. техн. наук </w:t>
      </w:r>
      <w:r>
        <w:rPr>
          <w:i/>
        </w:rPr>
        <w:t>И.В. Колыбин</w:t>
      </w:r>
      <w:r>
        <w:t xml:space="preserve">, канд. техн. наук </w:t>
      </w:r>
      <w:r>
        <w:rPr>
          <w:i/>
        </w:rPr>
        <w:t>Д.Е. Разводовский</w:t>
      </w:r>
      <w:r>
        <w:t xml:space="preserve"> - руководители разработки; д-р техн. наук </w:t>
      </w:r>
      <w:r>
        <w:rPr>
          <w:i/>
        </w:rPr>
        <w:t>В.И. Шейнин</w:t>
      </w:r>
      <w:r>
        <w:t xml:space="preserve">; канд. техн. наук </w:t>
      </w:r>
      <w:r>
        <w:rPr>
          <w:i/>
        </w:rPr>
        <w:t>В.А. Ковалев</w:t>
      </w:r>
      <w:r>
        <w:t xml:space="preserve">, канд. техн. наук </w:t>
      </w:r>
      <w:r>
        <w:rPr>
          <w:i/>
        </w:rPr>
        <w:t>А.Г. Алексеев</w:t>
      </w:r>
      <w:r>
        <w:t xml:space="preserve">, канд. техн. наук </w:t>
      </w:r>
      <w:r>
        <w:rPr>
          <w:i/>
        </w:rPr>
        <w:t>О.Н. Исаев</w:t>
      </w:r>
      <w:r>
        <w:t xml:space="preserve">, канд. техн. наук </w:t>
      </w:r>
      <w:r>
        <w:rPr>
          <w:i/>
        </w:rPr>
        <w:t>И.К. Попсуенко</w:t>
      </w:r>
      <w:r>
        <w:t xml:space="preserve">, канд. техн. наук </w:t>
      </w:r>
      <w:r>
        <w:rPr>
          <w:i/>
        </w:rPr>
        <w:t>А.В. Скориков</w:t>
      </w:r>
      <w:r>
        <w:t xml:space="preserve">, канд. техн. </w:t>
      </w:r>
      <w:r>
        <w:rPr>
          <w:i/>
        </w:rPr>
        <w:t>наук А.Н. Труфанов</w:t>
      </w:r>
      <w:r>
        <w:t xml:space="preserve">, канд. техн. наук </w:t>
      </w:r>
      <w:r>
        <w:rPr>
          <w:i/>
        </w:rPr>
        <w:t>О.А. Шулятьев</w:t>
      </w:r>
      <w:r>
        <w:t xml:space="preserve">, канд. техн. наук </w:t>
      </w:r>
      <w:r>
        <w:rPr>
          <w:i/>
        </w:rPr>
        <w:t>С.О. Шулятьев</w:t>
      </w:r>
      <w:r>
        <w:t xml:space="preserve">, </w:t>
      </w:r>
      <w:r>
        <w:rPr>
          <w:i/>
        </w:rPr>
        <w:t>А.Б. Патрикеев</w:t>
      </w:r>
      <w:r>
        <w:t xml:space="preserve">, </w:t>
      </w:r>
      <w:r>
        <w:rPr>
          <w:i/>
        </w:rPr>
        <w:t>В.С. Поспехов</w:t>
      </w:r>
      <w:r>
        <w:t>).</w:t>
      </w:r>
    </w:p>
    <w:p w:rsidR="00E35632" w:rsidRDefault="00E35632">
      <w:pPr>
        <w:pStyle w:val="ConsPlusNormal"/>
        <w:jc w:val="both"/>
      </w:pPr>
      <w:r>
        <w:t xml:space="preserve">(абзац введен </w:t>
      </w:r>
      <w:hyperlink r:id="rId20">
        <w:r>
          <w:rPr>
            <w:color w:val="0000FF"/>
          </w:rPr>
          <w:t>Изменением N 4</w:t>
        </w:r>
      </w:hyperlink>
      <w:r>
        <w:t>, утв. Приказом Минстроя России от 27.12.2021 N 1022/пр)</w:t>
      </w:r>
    </w:p>
    <w:p w:rsidR="00E35632" w:rsidRDefault="00E35632">
      <w:pPr>
        <w:pStyle w:val="ConsPlusNormal"/>
        <w:jc w:val="both"/>
      </w:pPr>
    </w:p>
    <w:p w:rsidR="00E35632" w:rsidRDefault="00E35632">
      <w:pPr>
        <w:pStyle w:val="ConsPlusTitle"/>
        <w:ind w:firstLine="540"/>
        <w:jc w:val="both"/>
        <w:outlineLvl w:val="1"/>
      </w:pPr>
      <w:r>
        <w:t>1 Область применения</w:t>
      </w:r>
    </w:p>
    <w:p w:rsidR="00E35632" w:rsidRDefault="00E35632">
      <w:pPr>
        <w:pStyle w:val="ConsPlusNormal"/>
        <w:jc w:val="both"/>
      </w:pPr>
      <w:r>
        <w:t xml:space="preserve">(раздел 1 в ред. </w:t>
      </w:r>
      <w:hyperlink r:id="rId21">
        <w:r>
          <w:rPr>
            <w:color w:val="0000FF"/>
          </w:rPr>
          <w:t>Изменения N 4</w:t>
        </w:r>
      </w:hyperlink>
      <w:r>
        <w:t>, утв. Приказом Минстроя России от 27.12.2021 N 1022/пр)</w:t>
      </w:r>
    </w:p>
    <w:p w:rsidR="00E35632" w:rsidRDefault="00E35632">
      <w:pPr>
        <w:pStyle w:val="ConsPlusNormal"/>
        <w:ind w:firstLine="540"/>
        <w:jc w:val="both"/>
      </w:pPr>
    </w:p>
    <w:p w:rsidR="00E35632" w:rsidRDefault="00E35632">
      <w:pPr>
        <w:pStyle w:val="ConsPlusNormal"/>
        <w:ind w:firstLine="540"/>
        <w:jc w:val="both"/>
      </w:pPr>
      <w:r>
        <w:t>Настоящий свод правил распространяется на проектирование оснований вновь строящихся и реконструируемых зданий и сооружений в котлованах, траншеях и открытых выработках, а также на подземные сооружения, возводимые закрытым способом, в части оценки их влияния на окружающую застройку.</w:t>
      </w:r>
    </w:p>
    <w:p w:rsidR="00E35632" w:rsidRDefault="00E35632">
      <w:pPr>
        <w:pStyle w:val="ConsPlusNormal"/>
        <w:spacing w:before="220"/>
        <w:ind w:firstLine="540"/>
        <w:jc w:val="both"/>
      </w:pPr>
      <w:r>
        <w:lastRenderedPageBreak/>
        <w:t>Примечание - Далее вместо термина "здания и сооружения" используется термин "сооружения", в число которых входят также подземные сооружения, в том числе устраиваемые закрытым способом.</w:t>
      </w:r>
    </w:p>
    <w:p w:rsidR="00E35632" w:rsidRDefault="00E35632">
      <w:pPr>
        <w:pStyle w:val="ConsPlusNormal"/>
        <w:jc w:val="both"/>
      </w:pPr>
    </w:p>
    <w:p w:rsidR="00E35632" w:rsidRDefault="00E35632">
      <w:pPr>
        <w:pStyle w:val="ConsPlusNormal"/>
        <w:ind w:firstLine="540"/>
        <w:jc w:val="both"/>
      </w:pPr>
      <w:r>
        <w:t>Настоящий свод правил не распространяется на проектирование оснований гидротехнических сооружений, дорог, аэродромных покрытий, сооружений, возводимых на вечномерзлых грунтах, а также оснований глубоких опор и фундаментов машин с динамическими нагрузками.</w:t>
      </w:r>
    </w:p>
    <w:p w:rsidR="00E35632" w:rsidRDefault="00E35632">
      <w:pPr>
        <w:pStyle w:val="ConsPlusNormal"/>
        <w:jc w:val="both"/>
      </w:pPr>
    </w:p>
    <w:p w:rsidR="00E35632" w:rsidRDefault="00E35632">
      <w:pPr>
        <w:pStyle w:val="ConsPlusTitle"/>
        <w:ind w:firstLine="540"/>
        <w:jc w:val="both"/>
        <w:outlineLvl w:val="1"/>
      </w:pPr>
      <w:bookmarkStart w:id="1" w:name="P60"/>
      <w:bookmarkEnd w:id="1"/>
      <w:r>
        <w:t>2 Нормативные ссылки</w:t>
      </w:r>
    </w:p>
    <w:p w:rsidR="00E35632" w:rsidRDefault="00E35632">
      <w:pPr>
        <w:pStyle w:val="ConsPlusNormal"/>
        <w:jc w:val="both"/>
      </w:pPr>
    </w:p>
    <w:p w:rsidR="00E35632" w:rsidRDefault="00E35632">
      <w:pPr>
        <w:pStyle w:val="ConsPlusNormal"/>
        <w:ind w:firstLine="540"/>
        <w:jc w:val="both"/>
      </w:pPr>
      <w:r>
        <w:t>В настоящем своде правил приведены ссылки на следующие документы:</w:t>
      </w:r>
    </w:p>
    <w:p w:rsidR="00E35632" w:rsidRDefault="00E35632">
      <w:pPr>
        <w:pStyle w:val="ConsPlusNormal"/>
        <w:spacing w:before="220"/>
        <w:ind w:firstLine="540"/>
        <w:jc w:val="both"/>
      </w:pPr>
      <w:hyperlink r:id="rId22">
        <w:r>
          <w:rPr>
            <w:color w:val="0000FF"/>
          </w:rPr>
          <w:t>ГОСТ 5180-2015</w:t>
        </w:r>
      </w:hyperlink>
      <w:r>
        <w:t xml:space="preserve"> Грунты. Методы лабораторного определения физических характеристик</w:t>
      </w:r>
    </w:p>
    <w:p w:rsidR="00E35632" w:rsidRDefault="00E35632">
      <w:pPr>
        <w:pStyle w:val="ConsPlusNormal"/>
        <w:spacing w:before="220"/>
        <w:ind w:firstLine="540"/>
        <w:jc w:val="both"/>
      </w:pPr>
      <w:r>
        <w:t xml:space="preserve">Ссылка исключена с 28.01.2022. - </w:t>
      </w:r>
      <w:hyperlink r:id="rId23">
        <w:r>
          <w:rPr>
            <w:color w:val="0000FF"/>
          </w:rPr>
          <w:t>Изменение N 4</w:t>
        </w:r>
      </w:hyperlink>
      <w:r>
        <w:t>, утв. Приказом Минстроя России от 27.12.2021 N 1022/пр.</w:t>
      </w:r>
    </w:p>
    <w:p w:rsidR="00E35632" w:rsidRDefault="00E35632">
      <w:pPr>
        <w:pStyle w:val="ConsPlusNormal"/>
        <w:spacing w:before="220"/>
        <w:ind w:firstLine="540"/>
        <w:jc w:val="both"/>
      </w:pPr>
      <w:hyperlink r:id="rId24">
        <w:r>
          <w:rPr>
            <w:color w:val="0000FF"/>
          </w:rPr>
          <w:t>ГОСТ 12248.1-2020</w:t>
        </w:r>
      </w:hyperlink>
      <w:r>
        <w:t xml:space="preserve"> Грунты. Определение характеристик прочности методом одноплоскостного среза</w:t>
      </w:r>
    </w:p>
    <w:p w:rsidR="00E35632" w:rsidRDefault="00E35632">
      <w:pPr>
        <w:pStyle w:val="ConsPlusNormal"/>
        <w:jc w:val="both"/>
      </w:pPr>
      <w:r>
        <w:t xml:space="preserve">(ссылка введена </w:t>
      </w:r>
      <w:hyperlink r:id="rId25">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26">
        <w:r>
          <w:rPr>
            <w:color w:val="0000FF"/>
          </w:rPr>
          <w:t>ГОСТ 12248.2-2020</w:t>
        </w:r>
      </w:hyperlink>
      <w:r>
        <w:t xml:space="preserve"> Грунты. Определение характеристик прочности методом одноосного сжатия</w:t>
      </w:r>
    </w:p>
    <w:p w:rsidR="00E35632" w:rsidRDefault="00E35632">
      <w:pPr>
        <w:pStyle w:val="ConsPlusNormal"/>
        <w:jc w:val="both"/>
      </w:pPr>
      <w:r>
        <w:t xml:space="preserve">(ссылка введена </w:t>
      </w:r>
      <w:hyperlink r:id="rId27">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28">
        <w:r>
          <w:rPr>
            <w:color w:val="0000FF"/>
          </w:rPr>
          <w:t>ГОСТ 12248.3-2020</w:t>
        </w:r>
      </w:hyperlink>
      <w:r>
        <w:t xml:space="preserve"> Грунты. Определение характеристик прочности и деформируемости методом трехосного сжатия</w:t>
      </w:r>
    </w:p>
    <w:p w:rsidR="00E35632" w:rsidRDefault="00E35632">
      <w:pPr>
        <w:pStyle w:val="ConsPlusNormal"/>
        <w:jc w:val="both"/>
      </w:pPr>
      <w:r>
        <w:t xml:space="preserve">(ссылка введена </w:t>
      </w:r>
      <w:hyperlink r:id="rId29">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30">
        <w:r>
          <w:rPr>
            <w:color w:val="0000FF"/>
          </w:rPr>
          <w:t>ГОСТ 12248.4-2020</w:t>
        </w:r>
      </w:hyperlink>
      <w:r>
        <w:t xml:space="preserve"> Грунты. Определение характеристик деформируемости методом компрессионного сжатия</w:t>
      </w:r>
    </w:p>
    <w:p w:rsidR="00E35632" w:rsidRDefault="00E35632">
      <w:pPr>
        <w:pStyle w:val="ConsPlusNormal"/>
        <w:jc w:val="both"/>
      </w:pPr>
      <w:r>
        <w:t xml:space="preserve">(ссылка введена </w:t>
      </w:r>
      <w:hyperlink r:id="rId31">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32">
        <w:r>
          <w:rPr>
            <w:color w:val="0000FF"/>
          </w:rPr>
          <w:t>ГОСТ 12536-2014</w:t>
        </w:r>
      </w:hyperlink>
      <w:r>
        <w:t xml:space="preserve"> Грунты. Методы лабораторного определения гранулометрического (зернового) и микроагрегатного состава</w:t>
      </w:r>
    </w:p>
    <w:p w:rsidR="00E35632" w:rsidRDefault="00E35632">
      <w:pPr>
        <w:pStyle w:val="ConsPlusNormal"/>
        <w:spacing w:before="220"/>
        <w:ind w:firstLine="540"/>
        <w:jc w:val="both"/>
      </w:pPr>
      <w:hyperlink r:id="rId33">
        <w:r>
          <w:rPr>
            <w:color w:val="0000FF"/>
          </w:rPr>
          <w:t>ГОСТ 17177-94</w:t>
        </w:r>
      </w:hyperlink>
      <w:r>
        <w:t xml:space="preserve"> Материалы и изделия строительные теплоизоляционные. Методы испытаний</w:t>
      </w:r>
    </w:p>
    <w:p w:rsidR="00E35632" w:rsidRDefault="00E35632">
      <w:pPr>
        <w:pStyle w:val="ConsPlusNormal"/>
        <w:jc w:val="both"/>
      </w:pPr>
      <w:r>
        <w:t xml:space="preserve">(ссылка введена </w:t>
      </w:r>
      <w:hyperlink r:id="rId34">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35">
        <w:r>
          <w:rPr>
            <w:color w:val="0000FF"/>
          </w:rPr>
          <w:t>ГОСТ 19912-2012</w:t>
        </w:r>
      </w:hyperlink>
      <w:r>
        <w:t xml:space="preserve"> Грунты. Методы полевых испытаний статическим и динамическим зондированием</w:t>
      </w:r>
    </w:p>
    <w:p w:rsidR="00E35632" w:rsidRDefault="00E35632">
      <w:pPr>
        <w:pStyle w:val="ConsPlusNormal"/>
        <w:spacing w:before="220"/>
        <w:ind w:firstLine="540"/>
        <w:jc w:val="both"/>
      </w:pPr>
      <w:r>
        <w:t xml:space="preserve">Ссылка исключена с 28.01.2022. - </w:t>
      </w:r>
      <w:hyperlink r:id="rId36">
        <w:r>
          <w:rPr>
            <w:color w:val="0000FF"/>
          </w:rPr>
          <w:t>Изменение N 4</w:t>
        </w:r>
      </w:hyperlink>
      <w:r>
        <w:t>, утв. Приказом Минстроя России от 27.12.2021 N 1022/пр.</w:t>
      </w:r>
    </w:p>
    <w:p w:rsidR="00E35632" w:rsidRDefault="00E35632">
      <w:pPr>
        <w:pStyle w:val="ConsPlusNormal"/>
        <w:spacing w:before="220"/>
        <w:ind w:firstLine="540"/>
        <w:jc w:val="both"/>
      </w:pPr>
      <w:hyperlink r:id="rId37">
        <w:r>
          <w:rPr>
            <w:color w:val="0000FF"/>
          </w:rPr>
          <w:t>ГОСТ 20276.1-2020</w:t>
        </w:r>
      </w:hyperlink>
      <w:r>
        <w:t xml:space="preserve"> Грунты. Методы испытания штампом</w:t>
      </w:r>
    </w:p>
    <w:p w:rsidR="00E35632" w:rsidRDefault="00E35632">
      <w:pPr>
        <w:pStyle w:val="ConsPlusNormal"/>
        <w:jc w:val="both"/>
      </w:pPr>
      <w:r>
        <w:t xml:space="preserve">(ссылка введена </w:t>
      </w:r>
      <w:hyperlink r:id="rId38">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39">
        <w:r>
          <w:rPr>
            <w:color w:val="0000FF"/>
          </w:rPr>
          <w:t>ГОСТ 20276.2-2020</w:t>
        </w:r>
      </w:hyperlink>
      <w:r>
        <w:t xml:space="preserve"> Грунты. Метод испытания радиальным прессиометром</w:t>
      </w:r>
    </w:p>
    <w:p w:rsidR="00E35632" w:rsidRDefault="00E35632">
      <w:pPr>
        <w:pStyle w:val="ConsPlusNormal"/>
        <w:jc w:val="both"/>
      </w:pPr>
      <w:r>
        <w:t xml:space="preserve">(ссылка введена </w:t>
      </w:r>
      <w:hyperlink r:id="rId40">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41">
        <w:r>
          <w:rPr>
            <w:color w:val="0000FF"/>
          </w:rPr>
          <w:t>ГОСТ 20276.4-2020</w:t>
        </w:r>
      </w:hyperlink>
      <w:r>
        <w:t xml:space="preserve"> Грунты. Метод среза целиков грунта</w:t>
      </w:r>
    </w:p>
    <w:p w:rsidR="00E35632" w:rsidRDefault="00E35632">
      <w:pPr>
        <w:pStyle w:val="ConsPlusNormal"/>
        <w:jc w:val="both"/>
      </w:pPr>
      <w:r>
        <w:t xml:space="preserve">(ссылка введена </w:t>
      </w:r>
      <w:hyperlink r:id="rId42">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43">
        <w:r>
          <w:rPr>
            <w:color w:val="0000FF"/>
          </w:rPr>
          <w:t>ГОСТ 20276.5-2020</w:t>
        </w:r>
      </w:hyperlink>
      <w:r>
        <w:t xml:space="preserve"> Грунты. Метод вращательного среза</w:t>
      </w:r>
    </w:p>
    <w:p w:rsidR="00E35632" w:rsidRDefault="00E35632">
      <w:pPr>
        <w:pStyle w:val="ConsPlusNormal"/>
        <w:jc w:val="both"/>
      </w:pPr>
      <w:r>
        <w:lastRenderedPageBreak/>
        <w:t xml:space="preserve">(ссылка введена </w:t>
      </w:r>
      <w:hyperlink r:id="rId44">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45">
        <w:r>
          <w:rPr>
            <w:color w:val="0000FF"/>
          </w:rPr>
          <w:t>ГОСТ 20276.6-2020</w:t>
        </w:r>
      </w:hyperlink>
      <w:r>
        <w:t xml:space="preserve"> Грунты. Метод испытания лопастным прессиометром</w:t>
      </w:r>
    </w:p>
    <w:p w:rsidR="00E35632" w:rsidRDefault="00E35632">
      <w:pPr>
        <w:pStyle w:val="ConsPlusNormal"/>
        <w:jc w:val="both"/>
      </w:pPr>
      <w:r>
        <w:t xml:space="preserve">(ссылка введена </w:t>
      </w:r>
      <w:hyperlink r:id="rId46">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47">
        <w:r>
          <w:rPr>
            <w:color w:val="0000FF"/>
          </w:rPr>
          <w:t>ГОСТ 20276.7-2020</w:t>
        </w:r>
      </w:hyperlink>
      <w:r>
        <w:t xml:space="preserve"> Грунты. Метод испытания прессиометром с секторным приложением нагрузки</w:t>
      </w:r>
    </w:p>
    <w:p w:rsidR="00E35632" w:rsidRDefault="00E35632">
      <w:pPr>
        <w:pStyle w:val="ConsPlusNormal"/>
        <w:jc w:val="both"/>
      </w:pPr>
      <w:r>
        <w:t xml:space="preserve">(ссылка введена </w:t>
      </w:r>
      <w:hyperlink r:id="rId48">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49">
        <w:r>
          <w:rPr>
            <w:color w:val="0000FF"/>
          </w:rPr>
          <w:t>ГОСТ 20522-2012</w:t>
        </w:r>
      </w:hyperlink>
      <w:r>
        <w:t xml:space="preserve"> Грунты. Методы статистической обработки результатов испытаний</w:t>
      </w:r>
    </w:p>
    <w:p w:rsidR="00E35632" w:rsidRDefault="00E35632">
      <w:pPr>
        <w:pStyle w:val="ConsPlusNormal"/>
        <w:spacing w:before="220"/>
        <w:ind w:firstLine="540"/>
        <w:jc w:val="both"/>
      </w:pPr>
      <w:hyperlink r:id="rId50">
        <w:r>
          <w:rPr>
            <w:color w:val="0000FF"/>
          </w:rPr>
          <w:t>ГОСТ 21153.2-84</w:t>
        </w:r>
      </w:hyperlink>
      <w:r>
        <w:t xml:space="preserve"> Породы горные. Методы определения предела прочности при одноосном сжатии</w:t>
      </w:r>
    </w:p>
    <w:p w:rsidR="00E35632" w:rsidRDefault="00E35632">
      <w:pPr>
        <w:pStyle w:val="ConsPlusNormal"/>
        <w:spacing w:before="220"/>
        <w:ind w:firstLine="540"/>
        <w:jc w:val="both"/>
      </w:pPr>
      <w:hyperlink r:id="rId51">
        <w:r>
          <w:rPr>
            <w:color w:val="0000FF"/>
          </w:rPr>
          <w:t>ГОСТ 23278-2014</w:t>
        </w:r>
      </w:hyperlink>
      <w:r>
        <w:t xml:space="preserve"> Грунты. Методы полевых испытаний проницаемости</w:t>
      </w:r>
    </w:p>
    <w:p w:rsidR="00E35632" w:rsidRDefault="00E35632">
      <w:pPr>
        <w:pStyle w:val="ConsPlusNormal"/>
        <w:spacing w:before="220"/>
        <w:ind w:firstLine="540"/>
        <w:jc w:val="both"/>
      </w:pPr>
      <w:hyperlink r:id="rId52">
        <w:r>
          <w:rPr>
            <w:color w:val="0000FF"/>
          </w:rPr>
          <w:t>ГОСТ 23740-2016</w:t>
        </w:r>
      </w:hyperlink>
      <w:r>
        <w:t xml:space="preserve"> Грунты. Методы определения содержания органических веществ</w:t>
      </w:r>
    </w:p>
    <w:p w:rsidR="00E35632" w:rsidRDefault="00E35632">
      <w:pPr>
        <w:pStyle w:val="ConsPlusNormal"/>
        <w:jc w:val="both"/>
      </w:pPr>
      <w:r>
        <w:t xml:space="preserve">(в ред. </w:t>
      </w:r>
      <w:hyperlink r:id="rId53">
        <w:r>
          <w:rPr>
            <w:color w:val="0000FF"/>
          </w:rPr>
          <w:t>Изменения N 3</w:t>
        </w:r>
      </w:hyperlink>
      <w:r>
        <w:t>, утв. Приказом Минстроя России от 22.11.2019 N 722/пр)</w:t>
      </w:r>
    </w:p>
    <w:p w:rsidR="00E35632" w:rsidRDefault="00E35632">
      <w:pPr>
        <w:pStyle w:val="ConsPlusNormal"/>
        <w:spacing w:before="220"/>
        <w:ind w:firstLine="540"/>
        <w:jc w:val="both"/>
      </w:pPr>
      <w:hyperlink r:id="rId54">
        <w:r>
          <w:rPr>
            <w:color w:val="0000FF"/>
          </w:rPr>
          <w:t>ГОСТ 24846-2019</w:t>
        </w:r>
      </w:hyperlink>
      <w:r>
        <w:t xml:space="preserve"> Грунты. Методы измерения деформаций оснований зданий и сооружений</w:t>
      </w:r>
    </w:p>
    <w:p w:rsidR="00E35632" w:rsidRDefault="00E35632">
      <w:pPr>
        <w:pStyle w:val="ConsPlusNormal"/>
        <w:jc w:val="both"/>
      </w:pPr>
      <w:r>
        <w:t xml:space="preserve">(в ред. </w:t>
      </w:r>
      <w:hyperlink r:id="rId55">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56">
        <w:r>
          <w:rPr>
            <w:color w:val="0000FF"/>
          </w:rPr>
          <w:t>ГОСТ 24847-2017</w:t>
        </w:r>
      </w:hyperlink>
      <w:r>
        <w:t xml:space="preserve"> Грунты. Методы определения глубины сезонного промерзания</w:t>
      </w:r>
    </w:p>
    <w:p w:rsidR="00E35632" w:rsidRDefault="00E35632">
      <w:pPr>
        <w:pStyle w:val="ConsPlusNormal"/>
        <w:jc w:val="both"/>
      </w:pPr>
      <w:r>
        <w:t xml:space="preserve">(в ред. </w:t>
      </w:r>
      <w:hyperlink r:id="rId57">
        <w:r>
          <w:rPr>
            <w:color w:val="0000FF"/>
          </w:rPr>
          <w:t>Изменения N 3</w:t>
        </w:r>
      </w:hyperlink>
      <w:r>
        <w:t>, утв. Приказом Минстроя России от 22.11.2019 N 722/пр)</w:t>
      </w:r>
    </w:p>
    <w:p w:rsidR="00E35632" w:rsidRDefault="00E35632">
      <w:pPr>
        <w:pStyle w:val="ConsPlusNormal"/>
        <w:spacing w:before="220"/>
        <w:ind w:firstLine="540"/>
        <w:jc w:val="both"/>
      </w:pPr>
      <w:hyperlink r:id="rId58">
        <w:r>
          <w:rPr>
            <w:color w:val="0000FF"/>
          </w:rPr>
          <w:t>ГОСТ 25100-2020</w:t>
        </w:r>
      </w:hyperlink>
      <w:r>
        <w:t xml:space="preserve"> Грунты. Классификация</w:t>
      </w:r>
    </w:p>
    <w:p w:rsidR="00E35632" w:rsidRDefault="00E35632">
      <w:pPr>
        <w:pStyle w:val="ConsPlusNormal"/>
        <w:jc w:val="both"/>
      </w:pPr>
      <w:r>
        <w:t xml:space="preserve">(в ред. </w:t>
      </w:r>
      <w:hyperlink r:id="rId59">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60">
        <w:r>
          <w:rPr>
            <w:color w:val="0000FF"/>
          </w:rPr>
          <w:t>ГОСТ 25584-2016</w:t>
        </w:r>
      </w:hyperlink>
      <w:r>
        <w:t xml:space="preserve"> Грунты. Методы лабораторного определения коэффициента фильтрации</w:t>
      </w:r>
    </w:p>
    <w:p w:rsidR="00E35632" w:rsidRDefault="00E35632">
      <w:pPr>
        <w:pStyle w:val="ConsPlusNormal"/>
        <w:jc w:val="both"/>
      </w:pPr>
      <w:r>
        <w:t xml:space="preserve">(в ред. </w:t>
      </w:r>
      <w:hyperlink r:id="rId61">
        <w:r>
          <w:rPr>
            <w:color w:val="0000FF"/>
          </w:rPr>
          <w:t>Изменения N 3</w:t>
        </w:r>
      </w:hyperlink>
      <w:r>
        <w:t>, утв. Приказом Минстроя России от 22.11.2019 N 722/пр)</w:t>
      </w:r>
    </w:p>
    <w:p w:rsidR="00E35632" w:rsidRDefault="00E35632">
      <w:pPr>
        <w:pStyle w:val="ConsPlusNormal"/>
        <w:spacing w:before="220"/>
        <w:ind w:firstLine="540"/>
        <w:jc w:val="both"/>
      </w:pPr>
      <w:hyperlink r:id="rId62">
        <w:r>
          <w:rPr>
            <w:color w:val="0000FF"/>
          </w:rPr>
          <w:t>ГОСТ 27751-2014</w:t>
        </w:r>
      </w:hyperlink>
      <w:r>
        <w:t xml:space="preserve"> Надежность строительных конструкций и оснований. Основные положения</w:t>
      </w:r>
    </w:p>
    <w:p w:rsidR="00E35632" w:rsidRDefault="00E35632">
      <w:pPr>
        <w:pStyle w:val="ConsPlusNormal"/>
        <w:spacing w:before="220"/>
        <w:ind w:firstLine="540"/>
        <w:jc w:val="both"/>
      </w:pPr>
      <w:hyperlink r:id="rId63">
        <w:r>
          <w:rPr>
            <w:color w:val="0000FF"/>
          </w:rPr>
          <w:t>ГОСТ 30416-2020</w:t>
        </w:r>
      </w:hyperlink>
      <w:r>
        <w:t xml:space="preserve"> Грунты. Лабораторные испытания. Общие положения</w:t>
      </w:r>
    </w:p>
    <w:p w:rsidR="00E35632" w:rsidRDefault="00E35632">
      <w:pPr>
        <w:pStyle w:val="ConsPlusNormal"/>
        <w:jc w:val="both"/>
      </w:pPr>
      <w:r>
        <w:t xml:space="preserve">(в ред. </w:t>
      </w:r>
      <w:hyperlink r:id="rId64">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65">
        <w:r>
          <w:rPr>
            <w:color w:val="0000FF"/>
          </w:rPr>
          <w:t>ГОСТ 30672-2019</w:t>
        </w:r>
      </w:hyperlink>
      <w:r>
        <w:t xml:space="preserve"> Грунты. Полевые испытания. Общие положения</w:t>
      </w:r>
    </w:p>
    <w:p w:rsidR="00E35632" w:rsidRDefault="00E35632">
      <w:pPr>
        <w:pStyle w:val="ConsPlusNormal"/>
        <w:jc w:val="both"/>
      </w:pPr>
      <w:r>
        <w:t xml:space="preserve">(в ред. </w:t>
      </w:r>
      <w:hyperlink r:id="rId66">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67">
        <w:r>
          <w:rPr>
            <w:color w:val="0000FF"/>
          </w:rPr>
          <w:t>ГОСТ EN 826-2011</w:t>
        </w:r>
      </w:hyperlink>
      <w:r>
        <w:t xml:space="preserve"> Изделия теплоизоляционные, применяемые в строительстве. Методы определения характеристик сжатия</w:t>
      </w:r>
    </w:p>
    <w:p w:rsidR="00E35632" w:rsidRDefault="00E35632">
      <w:pPr>
        <w:pStyle w:val="ConsPlusNormal"/>
        <w:jc w:val="both"/>
      </w:pPr>
      <w:r>
        <w:t xml:space="preserve">(ссылка введена </w:t>
      </w:r>
      <w:hyperlink r:id="rId68">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69">
        <w:r>
          <w:rPr>
            <w:color w:val="0000FF"/>
          </w:rPr>
          <w:t>ГОСТ EN 12087-2011</w:t>
        </w:r>
      </w:hyperlink>
      <w:r>
        <w:t xml:space="preserve"> Изделия теплоизоляционные, применяемые в строительстве. Методы определения водопоглощения при длительном погружении</w:t>
      </w:r>
    </w:p>
    <w:p w:rsidR="00E35632" w:rsidRDefault="00E35632">
      <w:pPr>
        <w:pStyle w:val="ConsPlusNormal"/>
        <w:jc w:val="both"/>
      </w:pPr>
      <w:r>
        <w:t xml:space="preserve">(ссылка введена </w:t>
      </w:r>
      <w:hyperlink r:id="rId70">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71">
        <w:r>
          <w:rPr>
            <w:color w:val="0000FF"/>
          </w:rPr>
          <w:t>СП 14.13330.2018</w:t>
        </w:r>
      </w:hyperlink>
      <w:r>
        <w:t xml:space="preserve"> "СНиП II-7-81* Строительство в сейсмических районах"</w:t>
      </w:r>
    </w:p>
    <w:p w:rsidR="00E35632" w:rsidRDefault="00E35632">
      <w:pPr>
        <w:pStyle w:val="ConsPlusNormal"/>
        <w:jc w:val="both"/>
      </w:pPr>
      <w:r>
        <w:t xml:space="preserve">(в ред. </w:t>
      </w:r>
      <w:hyperlink r:id="rId72">
        <w:r>
          <w:rPr>
            <w:color w:val="0000FF"/>
          </w:rPr>
          <w:t>Изменения N 3</w:t>
        </w:r>
      </w:hyperlink>
      <w:r>
        <w:t>, утв. Приказом Минстроя России от 22.11.2019 N 722/пр)</w:t>
      </w:r>
    </w:p>
    <w:p w:rsidR="00E35632" w:rsidRDefault="00E35632">
      <w:pPr>
        <w:pStyle w:val="ConsPlusNormal"/>
        <w:spacing w:before="220"/>
        <w:ind w:firstLine="540"/>
        <w:jc w:val="both"/>
      </w:pPr>
      <w:hyperlink r:id="rId73">
        <w:r>
          <w:rPr>
            <w:color w:val="0000FF"/>
          </w:rPr>
          <w:t>СП 15.13330.2020</w:t>
        </w:r>
      </w:hyperlink>
      <w:r>
        <w:t xml:space="preserve"> "СНиП II-22-81* Каменные и армокаменные конструкции"</w:t>
      </w:r>
    </w:p>
    <w:p w:rsidR="00E35632" w:rsidRDefault="00E35632">
      <w:pPr>
        <w:pStyle w:val="ConsPlusNormal"/>
        <w:jc w:val="both"/>
      </w:pPr>
      <w:r>
        <w:t xml:space="preserve">(в ред. </w:t>
      </w:r>
      <w:hyperlink r:id="rId74">
        <w:r>
          <w:rPr>
            <w:color w:val="0000FF"/>
          </w:rPr>
          <w:t>Изменения N 3</w:t>
        </w:r>
      </w:hyperlink>
      <w:r>
        <w:t xml:space="preserve">, утв. Приказом Минстроя России от 22.11.2019 N 722/пр, </w:t>
      </w:r>
      <w:hyperlink r:id="rId75">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76">
        <w:r>
          <w:rPr>
            <w:color w:val="0000FF"/>
          </w:rPr>
          <w:t>СП 16.13330.2017</w:t>
        </w:r>
      </w:hyperlink>
      <w:r>
        <w:t xml:space="preserve"> "СНиП II-23-81* Стальные конструкции" (с изменениями N 1, N 2)</w:t>
      </w:r>
    </w:p>
    <w:p w:rsidR="00E35632" w:rsidRDefault="00E35632">
      <w:pPr>
        <w:pStyle w:val="ConsPlusNormal"/>
        <w:jc w:val="both"/>
      </w:pPr>
      <w:r>
        <w:t xml:space="preserve">(в ред. </w:t>
      </w:r>
      <w:hyperlink r:id="rId77">
        <w:r>
          <w:rPr>
            <w:color w:val="0000FF"/>
          </w:rPr>
          <w:t>Изменения N 3</w:t>
        </w:r>
      </w:hyperlink>
      <w:r>
        <w:t xml:space="preserve">, утв. Приказом Минстроя России от 22.11.2019 N 722/пр, </w:t>
      </w:r>
      <w:hyperlink r:id="rId78">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79">
        <w:r>
          <w:rPr>
            <w:color w:val="0000FF"/>
          </w:rPr>
          <w:t>СП 20.13330.2016</w:t>
        </w:r>
      </w:hyperlink>
      <w:r>
        <w:t xml:space="preserve"> "СНиП 2.01.07-85* Нагрузки и воздействия" (с изменениями N 1, N 2, N 3)</w:t>
      </w:r>
    </w:p>
    <w:p w:rsidR="00E35632" w:rsidRDefault="00E35632">
      <w:pPr>
        <w:pStyle w:val="ConsPlusNormal"/>
        <w:jc w:val="both"/>
      </w:pPr>
      <w:r>
        <w:t xml:space="preserve">(в ред. </w:t>
      </w:r>
      <w:hyperlink r:id="rId80">
        <w:r>
          <w:rPr>
            <w:color w:val="0000FF"/>
          </w:rPr>
          <w:t>Изменения N 3</w:t>
        </w:r>
      </w:hyperlink>
      <w:r>
        <w:t xml:space="preserve">, утв. Приказом Минстроя России от 22.11.2019 N 722/пр, </w:t>
      </w:r>
      <w:hyperlink r:id="rId81">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82">
        <w:r>
          <w:rPr>
            <w:color w:val="0000FF"/>
          </w:rPr>
          <w:t>СП 21.13330.2012</w:t>
        </w:r>
      </w:hyperlink>
      <w:r>
        <w:t xml:space="preserve"> "СНиП 2.01.09-91 Здания и сооружения на подрабатываемых территориях и просадочных грунтах" (с изменением N 1)</w:t>
      </w:r>
    </w:p>
    <w:p w:rsidR="00E35632" w:rsidRDefault="00E35632">
      <w:pPr>
        <w:pStyle w:val="ConsPlusNormal"/>
        <w:jc w:val="both"/>
      </w:pPr>
      <w:r>
        <w:t xml:space="preserve">(в ред. </w:t>
      </w:r>
      <w:hyperlink r:id="rId83">
        <w:r>
          <w:rPr>
            <w:color w:val="0000FF"/>
          </w:rPr>
          <w:t>Изменения N 3</w:t>
        </w:r>
      </w:hyperlink>
      <w:r>
        <w:t>, утв. Приказом Минстроя России от 22.11.2019 N 722/пр)</w:t>
      </w:r>
    </w:p>
    <w:p w:rsidR="00E35632" w:rsidRDefault="00E35632">
      <w:pPr>
        <w:pStyle w:val="ConsPlusNormal"/>
        <w:spacing w:before="220"/>
        <w:ind w:firstLine="540"/>
        <w:jc w:val="both"/>
      </w:pPr>
      <w:hyperlink r:id="rId84">
        <w:r>
          <w:rPr>
            <w:color w:val="0000FF"/>
          </w:rPr>
          <w:t>СП 24.13330.2011</w:t>
        </w:r>
      </w:hyperlink>
      <w:r>
        <w:t xml:space="preserve"> "СНиП 2.02.03-85 Свайные фундаменты" (с изменениями N 1, N 2, N 3)</w:t>
      </w:r>
    </w:p>
    <w:p w:rsidR="00E35632" w:rsidRDefault="00E35632">
      <w:pPr>
        <w:pStyle w:val="ConsPlusNormal"/>
        <w:jc w:val="both"/>
      </w:pPr>
      <w:r>
        <w:t xml:space="preserve">(в ред. </w:t>
      </w:r>
      <w:hyperlink r:id="rId85">
        <w:r>
          <w:rPr>
            <w:color w:val="0000FF"/>
          </w:rPr>
          <w:t>Изменения N 3</w:t>
        </w:r>
      </w:hyperlink>
      <w:r>
        <w:t>, утв. Приказом Минстроя России от 22.11.2019 N 722/пр)</w:t>
      </w:r>
    </w:p>
    <w:p w:rsidR="00E35632" w:rsidRDefault="00E35632">
      <w:pPr>
        <w:pStyle w:val="ConsPlusNormal"/>
        <w:spacing w:before="220"/>
        <w:ind w:firstLine="540"/>
        <w:jc w:val="both"/>
      </w:pPr>
      <w:hyperlink r:id="rId86">
        <w:r>
          <w:rPr>
            <w:color w:val="0000FF"/>
          </w:rPr>
          <w:t>СП 25.13330.2020</w:t>
        </w:r>
      </w:hyperlink>
      <w:r>
        <w:t xml:space="preserve"> "СНиП 2.02.04-88 Основания и фундаменты на вечномерзлых грунтах"</w:t>
      </w:r>
    </w:p>
    <w:p w:rsidR="00E35632" w:rsidRDefault="00E35632">
      <w:pPr>
        <w:pStyle w:val="ConsPlusNormal"/>
        <w:jc w:val="both"/>
      </w:pPr>
      <w:r>
        <w:t xml:space="preserve">(в ред. </w:t>
      </w:r>
      <w:hyperlink r:id="rId87">
        <w:r>
          <w:rPr>
            <w:color w:val="0000FF"/>
          </w:rPr>
          <w:t>Изменения N 3</w:t>
        </w:r>
      </w:hyperlink>
      <w:r>
        <w:t xml:space="preserve">, утв. Приказом Минстроя России от 22.11.2019 N 722/пр, </w:t>
      </w:r>
      <w:hyperlink r:id="rId88">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89">
        <w:r>
          <w:rPr>
            <w:color w:val="0000FF"/>
          </w:rPr>
          <w:t>СП 26.13330.2012</w:t>
        </w:r>
      </w:hyperlink>
      <w:r>
        <w:t xml:space="preserve"> "СНиП 2.02.05-87 Фундаменты машин с динамическими нагрузками" (с изменением N 1)</w:t>
      </w:r>
    </w:p>
    <w:p w:rsidR="00E35632" w:rsidRDefault="00E35632">
      <w:pPr>
        <w:pStyle w:val="ConsPlusNormal"/>
        <w:jc w:val="both"/>
      </w:pPr>
      <w:r>
        <w:t xml:space="preserve">(ссылка введена </w:t>
      </w:r>
      <w:hyperlink r:id="rId90">
        <w:r>
          <w:rPr>
            <w:color w:val="0000FF"/>
          </w:rPr>
          <w:t>Изменением N 3</w:t>
        </w:r>
      </w:hyperlink>
      <w:r>
        <w:t>, утв. Приказом Минстроя России от 22.11.2019 N 722/пр)</w:t>
      </w:r>
    </w:p>
    <w:p w:rsidR="00E35632" w:rsidRDefault="00E35632">
      <w:pPr>
        <w:pStyle w:val="ConsPlusNormal"/>
        <w:spacing w:before="220"/>
        <w:ind w:firstLine="540"/>
        <w:jc w:val="both"/>
      </w:pPr>
      <w:hyperlink r:id="rId91">
        <w:r>
          <w:rPr>
            <w:color w:val="0000FF"/>
          </w:rPr>
          <w:t>СП 28.13330.2017</w:t>
        </w:r>
      </w:hyperlink>
      <w:r>
        <w:t xml:space="preserve"> "СНиП 2.03.11-85 Защита строительных конструкций от коррозии" (с изменениями N 1, N 2)</w:t>
      </w:r>
    </w:p>
    <w:p w:rsidR="00E35632" w:rsidRDefault="00E35632">
      <w:pPr>
        <w:pStyle w:val="ConsPlusNormal"/>
        <w:jc w:val="both"/>
      </w:pPr>
      <w:r>
        <w:t xml:space="preserve">(в ред. </w:t>
      </w:r>
      <w:hyperlink r:id="rId92">
        <w:r>
          <w:rPr>
            <w:color w:val="0000FF"/>
          </w:rPr>
          <w:t>Изменения N 3</w:t>
        </w:r>
      </w:hyperlink>
      <w:r>
        <w:t xml:space="preserve">, утв. Приказом Минстроя России от 22.11.2019 N 722/пр, </w:t>
      </w:r>
      <w:hyperlink r:id="rId93">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94">
        <w:r>
          <w:rPr>
            <w:color w:val="0000FF"/>
          </w:rPr>
          <w:t>СП 31.13330.2012</w:t>
        </w:r>
      </w:hyperlink>
      <w:r>
        <w:t xml:space="preserve"> "СНиП 2.04.02-84* Водоснабжение. Наружные сети и сооружения" (с изменениями N 1, N 2, N 3, N 4, N 5)</w:t>
      </w:r>
    </w:p>
    <w:p w:rsidR="00E35632" w:rsidRDefault="00E35632">
      <w:pPr>
        <w:pStyle w:val="ConsPlusNormal"/>
        <w:jc w:val="both"/>
      </w:pPr>
      <w:r>
        <w:t xml:space="preserve">(в ред. </w:t>
      </w:r>
      <w:hyperlink r:id="rId95">
        <w:r>
          <w:rPr>
            <w:color w:val="0000FF"/>
          </w:rPr>
          <w:t>Изменения N 3</w:t>
        </w:r>
      </w:hyperlink>
      <w:r>
        <w:t xml:space="preserve">, утв. Приказом Минстроя России от 22.11.2019 N 722/пр, </w:t>
      </w:r>
      <w:hyperlink r:id="rId96">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97">
        <w:r>
          <w:rPr>
            <w:color w:val="0000FF"/>
          </w:rPr>
          <w:t>СП 32.13330.2018</w:t>
        </w:r>
      </w:hyperlink>
      <w:r>
        <w:t xml:space="preserve"> "СНиП 2.04.03-85 Канализация. Наружные сети и сооружения" (с изменением N 1)</w:t>
      </w:r>
    </w:p>
    <w:p w:rsidR="00E35632" w:rsidRDefault="00E35632">
      <w:pPr>
        <w:pStyle w:val="ConsPlusNormal"/>
        <w:jc w:val="both"/>
      </w:pPr>
      <w:r>
        <w:t xml:space="preserve">(в ред. </w:t>
      </w:r>
      <w:hyperlink r:id="rId98">
        <w:r>
          <w:rPr>
            <w:color w:val="0000FF"/>
          </w:rPr>
          <w:t>Изменения N 3</w:t>
        </w:r>
      </w:hyperlink>
      <w:r>
        <w:t xml:space="preserve">, утв. Приказом Минстроя России от 22.11.2019 N 722/пр, </w:t>
      </w:r>
      <w:hyperlink r:id="rId99">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100">
        <w:r>
          <w:rPr>
            <w:color w:val="0000FF"/>
          </w:rPr>
          <w:t>СП 35.13330.2011</w:t>
        </w:r>
      </w:hyperlink>
      <w:r>
        <w:t xml:space="preserve"> "СНиП 2.05.03-84* Мосты и трубы" (с изменениями N 1, N 2, N 3)</w:t>
      </w:r>
    </w:p>
    <w:p w:rsidR="00E35632" w:rsidRDefault="00E35632">
      <w:pPr>
        <w:pStyle w:val="ConsPlusNormal"/>
        <w:jc w:val="both"/>
      </w:pPr>
      <w:r>
        <w:t xml:space="preserve">(в ред. </w:t>
      </w:r>
      <w:hyperlink r:id="rId101">
        <w:r>
          <w:rPr>
            <w:color w:val="0000FF"/>
          </w:rPr>
          <w:t>Изменения N 3</w:t>
        </w:r>
      </w:hyperlink>
      <w:r>
        <w:t xml:space="preserve">, утв. Приказом Минстроя России от 22.11.2019 N 722/пр, </w:t>
      </w:r>
      <w:hyperlink r:id="rId102">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103">
        <w:r>
          <w:rPr>
            <w:color w:val="0000FF"/>
          </w:rPr>
          <w:t>СП 45.13330.2017</w:t>
        </w:r>
      </w:hyperlink>
      <w:r>
        <w:t xml:space="preserve"> "СНиП 3.02.01-87 Земляные сооружения, основания и фундаменты" (с изменениями N 1, N 2)</w:t>
      </w:r>
    </w:p>
    <w:p w:rsidR="00E35632" w:rsidRDefault="00E35632">
      <w:pPr>
        <w:pStyle w:val="ConsPlusNormal"/>
        <w:jc w:val="both"/>
      </w:pPr>
      <w:r>
        <w:t xml:space="preserve">(в ред. </w:t>
      </w:r>
      <w:hyperlink r:id="rId104">
        <w:r>
          <w:rPr>
            <w:color w:val="0000FF"/>
          </w:rPr>
          <w:t>Изменения N 3</w:t>
        </w:r>
      </w:hyperlink>
      <w:r>
        <w:t xml:space="preserve">, утв. Приказом Минстроя России от 22.11.2019 N 722/пр, </w:t>
      </w:r>
      <w:hyperlink r:id="rId105">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106">
        <w:r>
          <w:rPr>
            <w:color w:val="0000FF"/>
          </w:rPr>
          <w:t>СП 47.13330.2016</w:t>
        </w:r>
      </w:hyperlink>
      <w:r>
        <w:t xml:space="preserve"> "СНиП 11-02-96 Инженерные изыскания для строительства. Основные положения" (с изменением N 1)</w:t>
      </w:r>
    </w:p>
    <w:p w:rsidR="00E35632" w:rsidRDefault="00E35632">
      <w:pPr>
        <w:pStyle w:val="ConsPlusNormal"/>
        <w:jc w:val="both"/>
      </w:pPr>
      <w:r>
        <w:t xml:space="preserve">(в ред. </w:t>
      </w:r>
      <w:hyperlink r:id="rId107">
        <w:r>
          <w:rPr>
            <w:color w:val="0000FF"/>
          </w:rPr>
          <w:t>Изменения N 3</w:t>
        </w:r>
      </w:hyperlink>
      <w:r>
        <w:t xml:space="preserve">, утв. Приказом Минстроя России от 22.11.2019 N 722/пр, </w:t>
      </w:r>
      <w:hyperlink r:id="rId108">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109">
        <w:r>
          <w:rPr>
            <w:color w:val="0000FF"/>
          </w:rPr>
          <w:t>СП 48.13330.2019</w:t>
        </w:r>
      </w:hyperlink>
      <w:r>
        <w:t xml:space="preserve"> "СНиП 12-01-2004 Организация строительства"</w:t>
      </w:r>
    </w:p>
    <w:p w:rsidR="00E35632" w:rsidRDefault="00E35632">
      <w:pPr>
        <w:pStyle w:val="ConsPlusNormal"/>
        <w:jc w:val="both"/>
      </w:pPr>
      <w:r>
        <w:t xml:space="preserve">(в ред. </w:t>
      </w:r>
      <w:hyperlink r:id="rId110">
        <w:r>
          <w:rPr>
            <w:color w:val="0000FF"/>
          </w:rPr>
          <w:t>Изменения N 3</w:t>
        </w:r>
      </w:hyperlink>
      <w:r>
        <w:t xml:space="preserve">, утв. Приказом Минстроя России от 22.11.2019 N 722/пр, </w:t>
      </w:r>
      <w:hyperlink r:id="rId111">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112">
        <w:r>
          <w:rPr>
            <w:color w:val="0000FF"/>
          </w:rPr>
          <w:t>СП 63.13330.2018</w:t>
        </w:r>
      </w:hyperlink>
      <w:r>
        <w:t xml:space="preserve"> "СНиП 52-01-2003 Бетонные и железобетонные конструкции. Основные положения" (с изменением N 1)</w:t>
      </w:r>
    </w:p>
    <w:p w:rsidR="00E35632" w:rsidRDefault="00E35632">
      <w:pPr>
        <w:pStyle w:val="ConsPlusNormal"/>
        <w:jc w:val="both"/>
      </w:pPr>
      <w:r>
        <w:t xml:space="preserve">(в ред. </w:t>
      </w:r>
      <w:hyperlink r:id="rId113">
        <w:r>
          <w:rPr>
            <w:color w:val="0000FF"/>
          </w:rPr>
          <w:t>Изменения N 3</w:t>
        </w:r>
      </w:hyperlink>
      <w:r>
        <w:t xml:space="preserve">, утв. Приказом Минстроя России от 22.11.2019 N 722/пр, </w:t>
      </w:r>
      <w:hyperlink r:id="rId114">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115">
        <w:r>
          <w:rPr>
            <w:color w:val="0000FF"/>
          </w:rPr>
          <w:t>СП 70.13330.2012</w:t>
        </w:r>
      </w:hyperlink>
      <w:r>
        <w:t xml:space="preserve"> "СНиП 3.03.01-87 Несущие и ограждающие конструкции" (с изменениями N 1, N 3, N 4)</w:t>
      </w:r>
    </w:p>
    <w:p w:rsidR="00E35632" w:rsidRDefault="00E35632">
      <w:pPr>
        <w:pStyle w:val="ConsPlusNormal"/>
        <w:jc w:val="both"/>
      </w:pPr>
      <w:r>
        <w:t xml:space="preserve">(в ред. </w:t>
      </w:r>
      <w:hyperlink r:id="rId116">
        <w:r>
          <w:rPr>
            <w:color w:val="0000FF"/>
          </w:rPr>
          <w:t>Изменения N 3</w:t>
        </w:r>
      </w:hyperlink>
      <w:r>
        <w:t xml:space="preserve">, утв. Приказом Минстроя России от 22.11.2019 N 722/пр, </w:t>
      </w:r>
      <w:hyperlink r:id="rId117">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118">
        <w:r>
          <w:rPr>
            <w:color w:val="0000FF"/>
          </w:rPr>
          <w:t>СП 71.13330.2017</w:t>
        </w:r>
      </w:hyperlink>
      <w:r>
        <w:t xml:space="preserve"> "СНиП 3.04.01-87 Изоляционные и отделочные покрытия" (с изменением N 1)</w:t>
      </w:r>
    </w:p>
    <w:p w:rsidR="00E35632" w:rsidRDefault="00E35632">
      <w:pPr>
        <w:pStyle w:val="ConsPlusNormal"/>
        <w:jc w:val="both"/>
      </w:pPr>
      <w:r>
        <w:t xml:space="preserve">(в ред. </w:t>
      </w:r>
      <w:hyperlink r:id="rId119">
        <w:r>
          <w:rPr>
            <w:color w:val="0000FF"/>
          </w:rPr>
          <w:t>Изменения N 3</w:t>
        </w:r>
      </w:hyperlink>
      <w:r>
        <w:t>, утв. Приказом Минстроя России от 22.11.2019 N 722/пр)</w:t>
      </w:r>
    </w:p>
    <w:p w:rsidR="00E35632" w:rsidRDefault="00E35632">
      <w:pPr>
        <w:pStyle w:val="ConsPlusNormal"/>
        <w:spacing w:before="220"/>
        <w:ind w:firstLine="540"/>
        <w:jc w:val="both"/>
      </w:pPr>
      <w:hyperlink r:id="rId120">
        <w:r>
          <w:rPr>
            <w:color w:val="0000FF"/>
          </w:rPr>
          <w:t>СП 100.13330.2016</w:t>
        </w:r>
      </w:hyperlink>
      <w:r>
        <w:t xml:space="preserve"> "СНиП 2.06.03-85 Мелиоративные системы и сооружения" (с изменением N 1)</w:t>
      </w:r>
    </w:p>
    <w:p w:rsidR="00E35632" w:rsidRDefault="00E35632">
      <w:pPr>
        <w:pStyle w:val="ConsPlusNormal"/>
        <w:jc w:val="both"/>
      </w:pPr>
      <w:r>
        <w:t xml:space="preserve">(в ред. </w:t>
      </w:r>
      <w:hyperlink r:id="rId121">
        <w:r>
          <w:rPr>
            <w:color w:val="0000FF"/>
          </w:rPr>
          <w:t>Изменения N 3</w:t>
        </w:r>
      </w:hyperlink>
      <w:r>
        <w:t>, утв. Приказом Минстроя России от 22.11.2019 N 722/пр)</w:t>
      </w:r>
    </w:p>
    <w:p w:rsidR="00E35632" w:rsidRDefault="00E35632">
      <w:pPr>
        <w:pStyle w:val="ConsPlusNormal"/>
        <w:spacing w:before="220"/>
        <w:ind w:firstLine="540"/>
        <w:jc w:val="both"/>
      </w:pPr>
      <w:hyperlink r:id="rId122">
        <w:r>
          <w:rPr>
            <w:color w:val="0000FF"/>
          </w:rPr>
          <w:t>СП 103.13330.2012</w:t>
        </w:r>
      </w:hyperlink>
      <w:r>
        <w:t xml:space="preserve"> "СНиП 2.06.14-85 Защита горных выработок от подземных и поверхностных вод"</w:t>
      </w:r>
    </w:p>
    <w:p w:rsidR="00E35632" w:rsidRDefault="00E35632">
      <w:pPr>
        <w:pStyle w:val="ConsPlusNormal"/>
        <w:spacing w:before="220"/>
        <w:ind w:firstLine="540"/>
        <w:jc w:val="both"/>
      </w:pPr>
      <w:hyperlink r:id="rId123">
        <w:r>
          <w:rPr>
            <w:color w:val="0000FF"/>
          </w:rPr>
          <w:t>СП 116.13330.2012</w:t>
        </w:r>
      </w:hyperlink>
      <w:r>
        <w:t xml:space="preserve"> "СНиП 22-02-2003 Инженерная защита территорий, зданий и сооружений от опасных геологических процессов. Основные положения" (с изменением N 1)</w:t>
      </w:r>
    </w:p>
    <w:p w:rsidR="00E35632" w:rsidRDefault="00E35632">
      <w:pPr>
        <w:pStyle w:val="ConsPlusNormal"/>
        <w:jc w:val="both"/>
      </w:pPr>
      <w:r>
        <w:t xml:space="preserve">(в ред. </w:t>
      </w:r>
      <w:hyperlink r:id="rId124">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125">
        <w:r>
          <w:rPr>
            <w:color w:val="0000FF"/>
          </w:rPr>
          <w:t>СП 118.13330.2012</w:t>
        </w:r>
      </w:hyperlink>
      <w:r>
        <w:t xml:space="preserve"> "СНиП 31-06-2009 Общественные здания и сооружения" (с изменениями N 1, N 2, N 3, N 4)</w:t>
      </w:r>
    </w:p>
    <w:p w:rsidR="00E35632" w:rsidRDefault="00E35632">
      <w:pPr>
        <w:pStyle w:val="ConsPlusNormal"/>
        <w:jc w:val="both"/>
      </w:pPr>
      <w:r>
        <w:t xml:space="preserve">(в ред. </w:t>
      </w:r>
      <w:hyperlink r:id="rId126">
        <w:r>
          <w:rPr>
            <w:color w:val="0000FF"/>
          </w:rPr>
          <w:t>Изменения N 3</w:t>
        </w:r>
      </w:hyperlink>
      <w:r>
        <w:t xml:space="preserve">, утв. Приказом Минстроя России от 22.11.2019 N 722/пр, </w:t>
      </w:r>
      <w:hyperlink r:id="rId127">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hyperlink r:id="rId128">
        <w:r>
          <w:rPr>
            <w:color w:val="0000FF"/>
          </w:rPr>
          <w:t>СП 126.13330.2017</w:t>
        </w:r>
      </w:hyperlink>
      <w:r>
        <w:t xml:space="preserve"> "СНиП 3.01.03-84 Геодезические работы в строительстве"</w:t>
      </w:r>
    </w:p>
    <w:p w:rsidR="00E35632" w:rsidRDefault="00E35632">
      <w:pPr>
        <w:pStyle w:val="ConsPlusNormal"/>
        <w:jc w:val="both"/>
      </w:pPr>
      <w:r>
        <w:t xml:space="preserve">(в ред. </w:t>
      </w:r>
      <w:hyperlink r:id="rId129">
        <w:r>
          <w:rPr>
            <w:color w:val="0000FF"/>
          </w:rPr>
          <w:t>Изменения N 3</w:t>
        </w:r>
      </w:hyperlink>
      <w:r>
        <w:t>, утв. Приказом Минстроя России от 22.11.2019 N 722/пр)</w:t>
      </w:r>
    </w:p>
    <w:p w:rsidR="00E35632" w:rsidRDefault="00E35632">
      <w:pPr>
        <w:pStyle w:val="ConsPlusNormal"/>
        <w:spacing w:before="220"/>
        <w:ind w:firstLine="540"/>
        <w:jc w:val="both"/>
      </w:pPr>
      <w:hyperlink r:id="rId130">
        <w:r>
          <w:rPr>
            <w:color w:val="0000FF"/>
          </w:rPr>
          <w:t>СП 131.13330.2020</w:t>
        </w:r>
      </w:hyperlink>
      <w:r>
        <w:t xml:space="preserve"> "СНиП 23-01-99* Строительная климатология"</w:t>
      </w:r>
    </w:p>
    <w:p w:rsidR="00E35632" w:rsidRDefault="00E35632">
      <w:pPr>
        <w:pStyle w:val="ConsPlusNormal"/>
        <w:jc w:val="both"/>
      </w:pPr>
      <w:r>
        <w:t xml:space="preserve">(в ред. </w:t>
      </w:r>
      <w:hyperlink r:id="rId131">
        <w:r>
          <w:rPr>
            <w:color w:val="0000FF"/>
          </w:rPr>
          <w:t>Изменения N 3</w:t>
        </w:r>
      </w:hyperlink>
      <w:r>
        <w:t xml:space="preserve">, утв. Приказом Минстроя России от 22.11.2019 N 722/пр, </w:t>
      </w:r>
      <w:hyperlink r:id="rId132">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xml:space="preserve">Ссылка исключена с 28.01.2022. - </w:t>
      </w:r>
      <w:hyperlink r:id="rId133">
        <w:r>
          <w:rPr>
            <w:color w:val="0000FF"/>
          </w:rPr>
          <w:t>Изменение N 4</w:t>
        </w:r>
      </w:hyperlink>
      <w:r>
        <w:t>, утв. Приказом Минстроя России от 27.12.2021 N 1022/пр.</w:t>
      </w:r>
    </w:p>
    <w:p w:rsidR="00E35632" w:rsidRDefault="00E35632">
      <w:pPr>
        <w:pStyle w:val="ConsPlusNormal"/>
        <w:spacing w:before="220"/>
        <w:ind w:firstLine="540"/>
        <w:jc w:val="both"/>
      </w:pPr>
      <w:r>
        <w:t xml:space="preserve">Ссылка исключена с 28.01.2022. - </w:t>
      </w:r>
      <w:hyperlink r:id="rId134">
        <w:r>
          <w:rPr>
            <w:color w:val="0000FF"/>
          </w:rPr>
          <w:t>Изменение N 4</w:t>
        </w:r>
      </w:hyperlink>
      <w:r>
        <w:t>, утв. Приказом Минстроя России от 27.12.2021 N 1022/пр.</w:t>
      </w:r>
    </w:p>
    <w:p w:rsidR="00E35632" w:rsidRDefault="00E35632">
      <w:pPr>
        <w:pStyle w:val="ConsPlusNormal"/>
        <w:spacing w:before="220"/>
        <w:ind w:firstLine="540"/>
        <w:jc w:val="both"/>
      </w:pPr>
      <w:hyperlink r:id="rId135">
        <w:r>
          <w:rPr>
            <w:color w:val="0000FF"/>
          </w:rPr>
          <w:t>СП 248.1325800.2016</w:t>
        </w:r>
      </w:hyperlink>
      <w:r>
        <w:t xml:space="preserve"> Сооружения подземные. Правила проектирования</w:t>
      </w:r>
    </w:p>
    <w:p w:rsidR="00E35632" w:rsidRDefault="00E35632">
      <w:pPr>
        <w:pStyle w:val="ConsPlusNormal"/>
        <w:jc w:val="both"/>
      </w:pPr>
      <w:r>
        <w:t xml:space="preserve">(ссылка введена </w:t>
      </w:r>
      <w:hyperlink r:id="rId136">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137">
        <w:r>
          <w:rPr>
            <w:color w:val="0000FF"/>
          </w:rPr>
          <w:t>СП 291.1325800.2017</w:t>
        </w:r>
      </w:hyperlink>
      <w:r>
        <w:t xml:space="preserve"> Конструкции грунтоцементные армированные. Правила проектирования</w:t>
      </w:r>
    </w:p>
    <w:p w:rsidR="00E35632" w:rsidRDefault="00E35632">
      <w:pPr>
        <w:pStyle w:val="ConsPlusNormal"/>
        <w:jc w:val="both"/>
      </w:pPr>
      <w:r>
        <w:t xml:space="preserve">(ссылка введена </w:t>
      </w:r>
      <w:hyperlink r:id="rId138">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139">
        <w:r>
          <w:rPr>
            <w:color w:val="0000FF"/>
          </w:rPr>
          <w:t>СП 381.1325800.2018</w:t>
        </w:r>
      </w:hyperlink>
      <w:r>
        <w:t xml:space="preserve"> Сооружения подпорные. Правила проектирования</w:t>
      </w:r>
    </w:p>
    <w:p w:rsidR="00E35632" w:rsidRDefault="00E35632">
      <w:pPr>
        <w:pStyle w:val="ConsPlusNormal"/>
        <w:jc w:val="both"/>
      </w:pPr>
      <w:r>
        <w:t xml:space="preserve">(ссылка введена </w:t>
      </w:r>
      <w:hyperlink r:id="rId140">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141">
        <w:r>
          <w:rPr>
            <w:color w:val="0000FF"/>
          </w:rPr>
          <w:t>СП 399.1325800.2018</w:t>
        </w:r>
      </w:hyperlink>
      <w:r>
        <w:t xml:space="preserve"> Системы водоснабжения и канализации наружные из полимерных материалов. Правила проектирования и монтажа</w:t>
      </w:r>
    </w:p>
    <w:p w:rsidR="00E35632" w:rsidRDefault="00E35632">
      <w:pPr>
        <w:pStyle w:val="ConsPlusNormal"/>
        <w:jc w:val="both"/>
      </w:pPr>
      <w:r>
        <w:t xml:space="preserve">(ссылка введена </w:t>
      </w:r>
      <w:hyperlink r:id="rId142">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143">
        <w:r>
          <w:rPr>
            <w:color w:val="0000FF"/>
          </w:rPr>
          <w:t>СП 499.1325800.2021</w:t>
        </w:r>
      </w:hyperlink>
      <w:r>
        <w:t xml:space="preserve"> Инженерная защита территорий, зданий и сооружений от карстово-суффозионных процессов. Правила проектирования</w:t>
      </w:r>
    </w:p>
    <w:p w:rsidR="00E35632" w:rsidRDefault="00E35632">
      <w:pPr>
        <w:pStyle w:val="ConsPlusNormal"/>
        <w:jc w:val="both"/>
      </w:pPr>
      <w:r>
        <w:t xml:space="preserve">(ссылка введена </w:t>
      </w:r>
      <w:hyperlink r:id="rId144">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145">
        <w:r>
          <w:rPr>
            <w:color w:val="0000FF"/>
          </w:rPr>
          <w:t>СанПиН 2.1.3684-21</w:t>
        </w:r>
      </w:hyperlink>
      <w:r>
        <w:t xml:space="preserve">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E35632" w:rsidRDefault="00E35632">
      <w:pPr>
        <w:pStyle w:val="ConsPlusNormal"/>
        <w:jc w:val="both"/>
      </w:pPr>
      <w:r>
        <w:t xml:space="preserve">(ссылка введена </w:t>
      </w:r>
      <w:hyperlink r:id="rId146">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hyperlink r:id="rId147">
        <w:r>
          <w:rPr>
            <w:color w:val="0000FF"/>
          </w:rPr>
          <w:t>СанПиН 1.2.3685-21</w:t>
        </w:r>
      </w:hyperlink>
      <w:r>
        <w:t xml:space="preserve"> Гигиенические нормативы и требования к обеспечению безопасности и (или) безвредности для человека факторов среды обитания</w:t>
      </w:r>
    </w:p>
    <w:p w:rsidR="00E35632" w:rsidRDefault="00E35632">
      <w:pPr>
        <w:pStyle w:val="ConsPlusNormal"/>
        <w:jc w:val="both"/>
      </w:pPr>
      <w:r>
        <w:t xml:space="preserve">(ссылка введена </w:t>
      </w:r>
      <w:hyperlink r:id="rId148">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t>Примечание - При пользовании настоящим сводом правил целесообразно проверить действие ссылочных документов в информационной системе общего пользования - на официальном сайте федерального органа исполнительной власти в сфере стандартизации в сети Интернет или по ежегодному информационному указателю "Национальные стандарты", который опубликован по состоянию на 1 января текущего года, и по выпускам ежемесячного информационного указателя "Национальные стандарты" за текущий год. Если заменен ссылочный документ, на который дана недатированная ссылка, то рекомендуется использовать действующую версию этого документа с учетом всех внесенных в данную версию изменений. Если заменен ссылочный документ, на который дана датированная ссылка, то рекомендуется использовать версию этого документа с указанным выше годом утверждения (принятия). Если после утверждения настоящего свода правил в ссылочный документ, на который дана датированная ссылка, внесено изменение, затрагивающее положение, на которое дана ссылка, то это положение рекомендуется применять без учета данного изменения. Если ссылочный документ отменен без замены, то положение, в котором дана ссылка на него, рекомендуется применять в части, не затрагивающей эту ссылку. Сведения о действии сводов правил целесообразно проверить в Федеральном информационном фонде стандартов.</w:t>
      </w:r>
    </w:p>
    <w:p w:rsidR="00E35632" w:rsidRDefault="00E35632">
      <w:pPr>
        <w:pStyle w:val="ConsPlusNormal"/>
        <w:jc w:val="both"/>
      </w:pPr>
    </w:p>
    <w:p w:rsidR="00E35632" w:rsidRDefault="00E35632">
      <w:pPr>
        <w:pStyle w:val="ConsPlusTitle"/>
        <w:ind w:firstLine="540"/>
        <w:jc w:val="both"/>
        <w:outlineLvl w:val="1"/>
      </w:pPr>
      <w:r>
        <w:t>3 Термины и определения</w:t>
      </w:r>
    </w:p>
    <w:p w:rsidR="00E35632" w:rsidRDefault="00E35632">
      <w:pPr>
        <w:pStyle w:val="ConsPlusNormal"/>
        <w:jc w:val="both"/>
      </w:pPr>
    </w:p>
    <w:p w:rsidR="00E35632" w:rsidRDefault="00E35632">
      <w:pPr>
        <w:pStyle w:val="ConsPlusNormal"/>
        <w:ind w:firstLine="540"/>
        <w:jc w:val="both"/>
      </w:pPr>
      <w:r>
        <w:t>В настоящем своде правил применены следующие термины с соответствующими определениями:</w:t>
      </w:r>
    </w:p>
    <w:p w:rsidR="00E35632" w:rsidRDefault="00E35632">
      <w:pPr>
        <w:pStyle w:val="ConsPlusNormal"/>
        <w:spacing w:before="220"/>
        <w:ind w:firstLine="540"/>
        <w:jc w:val="both"/>
      </w:pPr>
      <w:r>
        <w:t xml:space="preserve">3.1 </w:t>
      </w:r>
      <w:r>
        <w:rPr>
          <w:b/>
        </w:rPr>
        <w:t>армированный грунт:</w:t>
      </w:r>
      <w:r>
        <w:t xml:space="preserve"> Композитный материал, состоящий из насыпного грунта и армирующих его более прочных элементов.</w:t>
      </w:r>
    </w:p>
    <w:p w:rsidR="00E35632" w:rsidRDefault="00E35632">
      <w:pPr>
        <w:pStyle w:val="ConsPlusNormal"/>
        <w:spacing w:before="220"/>
        <w:ind w:firstLine="540"/>
        <w:jc w:val="both"/>
      </w:pPr>
      <w:r>
        <w:t xml:space="preserve">3.2 </w:t>
      </w:r>
      <w:r>
        <w:rPr>
          <w:b/>
        </w:rPr>
        <w:t>армированный массив грунта:</w:t>
      </w:r>
      <w:r>
        <w:t xml:space="preserve"> Естественный грунтовый массив, усиленный армирующими элементами.</w:t>
      </w:r>
    </w:p>
    <w:p w:rsidR="00E35632" w:rsidRDefault="00E35632">
      <w:pPr>
        <w:pStyle w:val="ConsPlusNormal"/>
        <w:spacing w:before="220"/>
        <w:ind w:firstLine="540"/>
        <w:jc w:val="both"/>
      </w:pPr>
      <w:r>
        <w:t xml:space="preserve">3.3 </w:t>
      </w:r>
      <w:r>
        <w:rPr>
          <w:b/>
        </w:rPr>
        <w:t>барражный эффект:</w:t>
      </w:r>
      <w:r>
        <w:t xml:space="preserve"> Эффект, возникающий вследствие полного или частичного перекрытия водоносного горизонта подземным сооружением или его частью, проявляется в подъеме уровня подземных вод перед преградой фильтрационному потоку и его снижении за ней.</w:t>
      </w:r>
    </w:p>
    <w:p w:rsidR="00E35632" w:rsidRDefault="00E35632">
      <w:pPr>
        <w:pStyle w:val="ConsPlusNormal"/>
        <w:spacing w:before="220"/>
        <w:ind w:firstLine="540"/>
        <w:jc w:val="both"/>
      </w:pPr>
      <w:r>
        <w:t xml:space="preserve">3.4 </w:t>
      </w:r>
      <w:r>
        <w:rPr>
          <w:b/>
        </w:rPr>
        <w:t>верификация:</w:t>
      </w:r>
      <w:r>
        <w:t xml:space="preserve"> Проверка, подтверждение правильности каких-либо положений, расчетных алгоритмов, программ и процедур путем их сопоставления с опытными (эталонными или эмпирическими) данными, алгоритмами и результатами.</w:t>
      </w:r>
    </w:p>
    <w:p w:rsidR="00E35632" w:rsidRDefault="00E35632">
      <w:pPr>
        <w:pStyle w:val="ConsPlusNormal"/>
        <w:spacing w:before="220"/>
        <w:ind w:firstLine="540"/>
        <w:jc w:val="both"/>
      </w:pPr>
      <w:r>
        <w:t xml:space="preserve">3.4а </w:t>
      </w:r>
      <w:r>
        <w:rPr>
          <w:b/>
        </w:rPr>
        <w:t>верхняя оценка</w:t>
      </w:r>
      <w:r>
        <w:t>: Решение, соответствующее наиболее высокому значению несущей способности (прочности или устойчивости), полученное аналитически или численно на основании применения кинематически допустимого поля скоростей в грунтовом основании.</w:t>
      </w:r>
    </w:p>
    <w:p w:rsidR="00E35632" w:rsidRDefault="00E35632">
      <w:pPr>
        <w:pStyle w:val="ConsPlusNormal"/>
        <w:jc w:val="both"/>
      </w:pPr>
      <w:r>
        <w:t xml:space="preserve">(п. 3.4а введен </w:t>
      </w:r>
      <w:hyperlink r:id="rId149">
        <w:r>
          <w:rPr>
            <w:color w:val="0000FF"/>
          </w:rPr>
          <w:t>Изменением N 1</w:t>
        </w:r>
      </w:hyperlink>
      <w:r>
        <w:t>, утв. Приказом Минстроя России от 20.11.2018 N 736/пр)</w:t>
      </w:r>
    </w:p>
    <w:p w:rsidR="00E35632" w:rsidRDefault="00E35632">
      <w:pPr>
        <w:pStyle w:val="ConsPlusNormal"/>
        <w:spacing w:before="220"/>
        <w:ind w:firstLine="540"/>
        <w:jc w:val="both"/>
      </w:pPr>
      <w:r>
        <w:t xml:space="preserve">3.5 </w:t>
      </w:r>
      <w:r>
        <w:rPr>
          <w:b/>
        </w:rPr>
        <w:t>водоупор (водоупорный слой грунта):</w:t>
      </w:r>
      <w:r>
        <w:t xml:space="preserve"> Слабопроницаемый слой грунта, фильтрацией воды через который можно пренебречь.</w:t>
      </w:r>
    </w:p>
    <w:p w:rsidR="00E35632" w:rsidRDefault="00E35632">
      <w:pPr>
        <w:pStyle w:val="ConsPlusNormal"/>
        <w:spacing w:before="220"/>
        <w:ind w:firstLine="540"/>
        <w:jc w:val="both"/>
      </w:pPr>
      <w:r>
        <w:lastRenderedPageBreak/>
        <w:t xml:space="preserve">3.6 </w:t>
      </w:r>
      <w:r>
        <w:rPr>
          <w:b/>
        </w:rPr>
        <w:t>выравнивание сооружения:</w:t>
      </w:r>
      <w:r>
        <w:t xml:space="preserve"> Подъем (с помощью домкратов или других приспособлений) или опускание (путем выбуривания грунта и т.п.) сооружения или отдельных его частей при неравномерных деформациях, превышающих предельные.</w:t>
      </w:r>
    </w:p>
    <w:p w:rsidR="00E35632" w:rsidRDefault="00E35632">
      <w:pPr>
        <w:pStyle w:val="ConsPlusNormal"/>
        <w:spacing w:before="220"/>
        <w:ind w:firstLine="540"/>
        <w:jc w:val="both"/>
      </w:pPr>
      <w:r>
        <w:t xml:space="preserve">3.7 </w:t>
      </w:r>
      <w:r>
        <w:rPr>
          <w:b/>
        </w:rPr>
        <w:t>высотные здания:</w:t>
      </w:r>
      <w:r>
        <w:t xml:space="preserve"> Здания высотой более 75 м.</w:t>
      </w:r>
    </w:p>
    <w:p w:rsidR="00E35632" w:rsidRDefault="00E35632">
      <w:pPr>
        <w:pStyle w:val="ConsPlusNormal"/>
        <w:spacing w:before="220"/>
        <w:ind w:firstLine="540"/>
        <w:jc w:val="both"/>
      </w:pPr>
      <w:r>
        <w:t xml:space="preserve">Примечание - Архитектурная высота здания определяется согласно </w:t>
      </w:r>
      <w:hyperlink r:id="rId150">
        <w:r>
          <w:rPr>
            <w:color w:val="0000FF"/>
          </w:rPr>
          <w:t>СП 118.13330</w:t>
        </w:r>
      </w:hyperlink>
      <w:r>
        <w:t>.</w:t>
      </w:r>
    </w:p>
    <w:p w:rsidR="00E35632" w:rsidRDefault="00E35632">
      <w:pPr>
        <w:pStyle w:val="ConsPlusNormal"/>
        <w:jc w:val="both"/>
      </w:pPr>
    </w:p>
    <w:p w:rsidR="00E35632" w:rsidRDefault="00E35632">
      <w:pPr>
        <w:pStyle w:val="ConsPlusNormal"/>
        <w:ind w:firstLine="540"/>
        <w:jc w:val="both"/>
      </w:pPr>
      <w:r>
        <w:t xml:space="preserve">3.8 </w:t>
      </w:r>
      <w:r>
        <w:rPr>
          <w:b/>
        </w:rPr>
        <w:t>геотехническая категория:</w:t>
      </w:r>
      <w:r>
        <w:t xml:space="preserve"> Категория сложности объекта строительства с точки зрения проектирования оснований и фундаментов, определяемая в зависимости от уровня ответственности и сложности инженерно-геологических условий площадки строительства.</w:t>
      </w:r>
    </w:p>
    <w:p w:rsidR="00E35632" w:rsidRDefault="00E35632">
      <w:pPr>
        <w:pStyle w:val="ConsPlusNormal"/>
        <w:spacing w:before="220"/>
        <w:ind w:firstLine="540"/>
        <w:jc w:val="both"/>
      </w:pPr>
      <w:r>
        <w:t xml:space="preserve">3.8а </w:t>
      </w:r>
      <w:r>
        <w:rPr>
          <w:b/>
        </w:rPr>
        <w:t>геомеханические модели с упрочнением:</w:t>
      </w:r>
      <w:r>
        <w:t xml:space="preserve"> Модели механического поведения грунта, в которых вводятся поверхности нагружения при уплотнении, при сдвиге или при сдвиге и уплотнении, а также зависимость, описывающая поведения грунта при деформациях формоизменения.</w:t>
      </w:r>
    </w:p>
    <w:p w:rsidR="00E35632" w:rsidRDefault="00E35632">
      <w:pPr>
        <w:pStyle w:val="ConsPlusNormal"/>
        <w:jc w:val="both"/>
      </w:pPr>
      <w:r>
        <w:t xml:space="preserve">(п. 3.8а в ред. </w:t>
      </w:r>
      <w:hyperlink r:id="rId151">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xml:space="preserve">3.9 </w:t>
      </w:r>
      <w:r>
        <w:rPr>
          <w:b/>
        </w:rPr>
        <w:t>геотехнический прогноз:</w:t>
      </w:r>
      <w:r>
        <w:t xml:space="preserve"> Комплекс работ аналитического и расчетного характера, целью которых является качественная и количественная оценка поведения оснований, фундаментов и конструкций проектируемого сооружения и окружающей застройки в процессе строительства и эксплуатации.</w:t>
      </w:r>
    </w:p>
    <w:p w:rsidR="00E35632" w:rsidRDefault="00E35632">
      <w:pPr>
        <w:pStyle w:val="ConsPlusNormal"/>
        <w:spacing w:before="220"/>
        <w:ind w:firstLine="540"/>
        <w:jc w:val="both"/>
      </w:pPr>
      <w:r>
        <w:t xml:space="preserve">3.10 </w:t>
      </w:r>
      <w:r>
        <w:rPr>
          <w:b/>
        </w:rPr>
        <w:t>геотехнический экран:</w:t>
      </w:r>
      <w:r>
        <w:t xml:space="preserve"> Сплошная или прерывистая линейная конструкция, которая устраивается в грунтах из различных материалов и по различным технологиям, позволяющая снизить негативное влияние на окружающую застройку за счет отделения или ограничения области грунтового массива, в котором возникают изменения, его напряженно-деформированного состояния от строительства новых заглубленных или подземных сооружений, от области грунтового массива, вмещающего конструкции фундаментов окружающей застройки (в т.ч. подземные коммуникации).</w:t>
      </w:r>
    </w:p>
    <w:p w:rsidR="00E35632" w:rsidRDefault="00E35632">
      <w:pPr>
        <w:pStyle w:val="ConsPlusNormal"/>
        <w:spacing w:before="220"/>
        <w:ind w:firstLine="540"/>
        <w:jc w:val="both"/>
      </w:pPr>
      <w:r>
        <w:t xml:space="preserve">3.11 </w:t>
      </w:r>
      <w:r>
        <w:rPr>
          <w:b/>
        </w:rPr>
        <w:t>гидрогеологический прогноз:</w:t>
      </w:r>
      <w:r>
        <w:t xml:space="preserve"> Комплекс работ расчетного характера, целью которых является качественная и количественная оценка изменений гидрогеологических условий, вызванных строительством.</w:t>
      </w:r>
    </w:p>
    <w:p w:rsidR="00E35632" w:rsidRDefault="00E35632">
      <w:pPr>
        <w:pStyle w:val="ConsPlusNormal"/>
        <w:spacing w:before="220"/>
        <w:ind w:firstLine="540"/>
        <w:jc w:val="both"/>
      </w:pPr>
      <w:r>
        <w:t xml:space="preserve">3.12 </w:t>
      </w:r>
      <w:r>
        <w:rPr>
          <w:b/>
        </w:rPr>
        <w:t>глубина котлована:</w:t>
      </w:r>
      <w:r>
        <w:t xml:space="preserve"> Максимальная глубина выработки грунтового массива, определяемая наибольшей разностью высотных отметок по контуру котлована в уровне поверхности рельефа и в уровне его дна, включая глубину подготовительного (пионерного) котлована.</w:t>
      </w:r>
    </w:p>
    <w:p w:rsidR="00E35632" w:rsidRDefault="00E35632">
      <w:pPr>
        <w:pStyle w:val="ConsPlusNormal"/>
        <w:spacing w:before="220"/>
        <w:ind w:firstLine="540"/>
        <w:jc w:val="both"/>
      </w:pPr>
      <w:r>
        <w:t xml:space="preserve">3.13 </w:t>
      </w:r>
      <w:r>
        <w:rPr>
          <w:b/>
        </w:rPr>
        <w:t>горизонтальные перемещения:</w:t>
      </w:r>
      <w:r>
        <w:t xml:space="preserve"> Горизонтальные составляющие деформаций основания, связанные с действием горизонтальных нагрузок на основание (фундаменты распорных систем, подпорные стены и т.д.) или со значительными вертикальными перемещениями поверхности при оседаниях, просадках грунтов от собственного веса и т.п.</w:t>
      </w:r>
    </w:p>
    <w:p w:rsidR="00E35632" w:rsidRDefault="00E35632">
      <w:pPr>
        <w:pStyle w:val="ConsPlusNormal"/>
        <w:spacing w:before="220"/>
        <w:ind w:firstLine="540"/>
        <w:jc w:val="both"/>
      </w:pPr>
      <w:r>
        <w:t xml:space="preserve">3.14 </w:t>
      </w:r>
      <w:r>
        <w:rPr>
          <w:b/>
        </w:rPr>
        <w:t>грунтоцементный элемент:</w:t>
      </w:r>
      <w:r>
        <w:t xml:space="preserve"> Объем грунта, закрепленного цементным вяжущим по струйной или буросмесительной технологии с приданием ему повышенной прочности и пониженной водопроницаемости.</w:t>
      </w:r>
    </w:p>
    <w:p w:rsidR="00E35632" w:rsidRDefault="00E35632">
      <w:pPr>
        <w:pStyle w:val="ConsPlusNormal"/>
        <w:spacing w:before="220"/>
        <w:ind w:firstLine="540"/>
        <w:jc w:val="both"/>
      </w:pPr>
      <w:r>
        <w:t xml:space="preserve">3.15 </w:t>
      </w:r>
      <w:r>
        <w:rPr>
          <w:b/>
        </w:rPr>
        <w:t>защитные мероприятия:</w:t>
      </w:r>
      <w:r>
        <w:t xml:space="preserve"> Комплекс организационно-технических мероприятий по защите окружающей застройки от сверхнормативных деформаций и прочих недопустимых воздействий, оказываемых негативным влиянием строительства или реконструкции.</w:t>
      </w:r>
    </w:p>
    <w:p w:rsidR="00E35632" w:rsidRDefault="00E35632">
      <w:pPr>
        <w:pStyle w:val="ConsPlusNormal"/>
        <w:spacing w:before="220"/>
        <w:ind w:firstLine="540"/>
        <w:jc w:val="both"/>
      </w:pPr>
      <w:r>
        <w:t xml:space="preserve">3.16 </w:t>
      </w:r>
      <w:r>
        <w:rPr>
          <w:b/>
        </w:rPr>
        <w:t>зона влияния нового строительства или реконструкции:</w:t>
      </w:r>
      <w:r>
        <w:t xml:space="preserve"> Расстояние, за пределами которого негативное воздействие на окружающую застройку пренебрежимо мало.</w:t>
      </w:r>
    </w:p>
    <w:p w:rsidR="00E35632" w:rsidRDefault="00E35632">
      <w:pPr>
        <w:pStyle w:val="ConsPlusNormal"/>
        <w:spacing w:before="220"/>
        <w:ind w:firstLine="540"/>
        <w:jc w:val="both"/>
      </w:pPr>
      <w:r>
        <w:lastRenderedPageBreak/>
        <w:t>3.17</w:t>
      </w:r>
    </w:p>
    <w:p w:rsidR="00E35632" w:rsidRDefault="00E35632">
      <w:pPr>
        <w:pStyle w:val="ConsPlusNormal"/>
        <w:spacing w:after="1"/>
      </w:pPr>
    </w:p>
    <w:tbl>
      <w:tblPr>
        <w:tblW w:w="0" w:type="auto"/>
        <w:tblBorders>
          <w:top w:val="single" w:sz="4" w:space="0" w:color="auto"/>
          <w:left w:val="single" w:sz="4" w:space="0" w:color="auto"/>
          <w:bottom w:val="single" w:sz="4" w:space="0" w:color="auto"/>
          <w:right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9071"/>
      </w:tblGrid>
      <w:tr w:rsidR="00E35632">
        <w:tc>
          <w:tcPr>
            <w:tcW w:w="9071" w:type="dxa"/>
            <w:tcBorders>
              <w:top w:val="single" w:sz="4" w:space="0" w:color="auto"/>
              <w:left w:val="single" w:sz="4" w:space="0" w:color="auto"/>
              <w:bottom w:val="single" w:sz="4" w:space="0" w:color="auto"/>
              <w:right w:val="single" w:sz="4" w:space="0" w:color="auto"/>
            </w:tcBorders>
          </w:tcPr>
          <w:p w:rsidR="00E35632" w:rsidRDefault="00E35632">
            <w:pPr>
              <w:pStyle w:val="ConsPlusNormal"/>
              <w:ind w:firstLine="283"/>
              <w:jc w:val="both"/>
            </w:pPr>
            <w:r>
              <w:rPr>
                <w:b/>
              </w:rPr>
              <w:t>инженерная цифровая модель местности (ИЦММ):</w:t>
            </w:r>
            <w:r>
              <w:t xml:space="preserve"> Форма представления инженерно-топографического плана в цифровом объектно-пространственном виде для автоматизированного решения инженерных задач и проектирования объектов строительства. ИЦММ состоит из цифровой модели рельефа и цифровой модели ситуации.</w:t>
            </w:r>
          </w:p>
          <w:p w:rsidR="00E35632" w:rsidRDefault="00E35632">
            <w:pPr>
              <w:pStyle w:val="ConsPlusNormal"/>
              <w:ind w:firstLine="283"/>
              <w:jc w:val="both"/>
            </w:pPr>
            <w:r>
              <w:t xml:space="preserve">[СП 333.1325800, </w:t>
            </w:r>
            <w:hyperlink r:id="rId152">
              <w:r>
                <w:rPr>
                  <w:color w:val="0000FF"/>
                </w:rPr>
                <w:t>статья 3.9.2</w:t>
              </w:r>
            </w:hyperlink>
            <w:r>
              <w:t>]</w:t>
            </w:r>
          </w:p>
        </w:tc>
      </w:tr>
    </w:tbl>
    <w:p w:rsidR="00E35632" w:rsidRDefault="00E35632">
      <w:pPr>
        <w:pStyle w:val="ConsPlusNormal"/>
        <w:jc w:val="both"/>
      </w:pPr>
      <w:r>
        <w:t xml:space="preserve">(п. 3.17 в ред. </w:t>
      </w:r>
      <w:hyperlink r:id="rId153">
        <w:r>
          <w:rPr>
            <w:color w:val="0000FF"/>
          </w:rPr>
          <w:t>Изменения N 2</w:t>
        </w:r>
      </w:hyperlink>
      <w:r>
        <w:t>, утв. Приказом Минстроя России от 24.01.2019 N 43/пр)</w:t>
      </w:r>
    </w:p>
    <w:p w:rsidR="00E35632" w:rsidRDefault="00E35632">
      <w:pPr>
        <w:pStyle w:val="ConsPlusNormal"/>
        <w:spacing w:before="220"/>
        <w:ind w:firstLine="540"/>
        <w:jc w:val="both"/>
      </w:pPr>
      <w:r>
        <w:t xml:space="preserve">3.18 </w:t>
      </w:r>
      <w:r>
        <w:rPr>
          <w:b/>
        </w:rPr>
        <w:t>компенсационные мероприятия:</w:t>
      </w:r>
      <w:r>
        <w:t xml:space="preserve"> Мероприятия, направленные на сохранение или восстановление напряженно-деформированного состояния оснований реконструируемых сооружений или сооружений окружающей застройки и гидрогеологического режима.</w:t>
      </w:r>
    </w:p>
    <w:p w:rsidR="00E35632" w:rsidRDefault="00E35632">
      <w:pPr>
        <w:pStyle w:val="ConsPlusNormal"/>
        <w:spacing w:before="220"/>
        <w:ind w:firstLine="540"/>
        <w:jc w:val="both"/>
      </w:pPr>
      <w:r>
        <w:t xml:space="preserve">3.18а </w:t>
      </w:r>
      <w:r>
        <w:rPr>
          <w:b/>
        </w:rPr>
        <w:t>коэффициент переуплотнения грунта</w:t>
      </w:r>
      <w:r>
        <w:t>; OCR: Отношение вертикального эффективного напряжения от собственного веса грунта к напряжению предварительного уплотнения (предуплотнения).</w:t>
      </w:r>
    </w:p>
    <w:p w:rsidR="00E35632" w:rsidRDefault="00E35632">
      <w:pPr>
        <w:pStyle w:val="ConsPlusNormal"/>
        <w:jc w:val="both"/>
      </w:pPr>
      <w:r>
        <w:t xml:space="preserve">(п. 3.18а введен </w:t>
      </w:r>
      <w:hyperlink r:id="rId154">
        <w:r>
          <w:rPr>
            <w:color w:val="0000FF"/>
          </w:rPr>
          <w:t>Изменением N 1</w:t>
        </w:r>
      </w:hyperlink>
      <w:r>
        <w:t>, утв. Приказом Минстроя России от 20.11.2018 N 736/пр)</w:t>
      </w:r>
    </w:p>
    <w:p w:rsidR="00E35632" w:rsidRDefault="00E35632">
      <w:pPr>
        <w:pStyle w:val="ConsPlusNormal"/>
        <w:spacing w:before="220"/>
        <w:ind w:firstLine="540"/>
        <w:jc w:val="both"/>
      </w:pPr>
      <w:r>
        <w:t xml:space="preserve">3.19 </w:t>
      </w:r>
      <w:r>
        <w:rPr>
          <w:b/>
        </w:rPr>
        <w:t>малозаглубленный фундамент:</w:t>
      </w:r>
      <w:r>
        <w:t xml:space="preserve"> Фундамент с глубиной заложения подошвы выше расчетной глубины сезонного промерзания грунта.</w:t>
      </w:r>
    </w:p>
    <w:p w:rsidR="00E35632" w:rsidRDefault="00E35632">
      <w:pPr>
        <w:pStyle w:val="ConsPlusNormal"/>
        <w:spacing w:before="220"/>
        <w:ind w:firstLine="540"/>
        <w:jc w:val="both"/>
      </w:pPr>
      <w:r>
        <w:t xml:space="preserve">3.20 </w:t>
      </w:r>
      <w:r>
        <w:rPr>
          <w:b/>
        </w:rPr>
        <w:t>малоэтажные здания:</w:t>
      </w:r>
      <w:r>
        <w:t xml:space="preserve"> Жилые и общественные здания высотой, не превышающей три этажа.</w:t>
      </w:r>
    </w:p>
    <w:p w:rsidR="00E35632" w:rsidRDefault="00E35632">
      <w:pPr>
        <w:pStyle w:val="ConsPlusNormal"/>
        <w:spacing w:before="220"/>
        <w:ind w:firstLine="540"/>
        <w:jc w:val="both"/>
      </w:pPr>
      <w:r>
        <w:t xml:space="preserve">3.21 </w:t>
      </w:r>
      <w:r>
        <w:rPr>
          <w:b/>
        </w:rPr>
        <w:t>наблюдательный метод:</w:t>
      </w:r>
      <w:r>
        <w:t xml:space="preserve"> Метод проектирования, изначально предполагающий возможность корректировать проект на основании результатов геотехнического мониторинга.</w:t>
      </w:r>
    </w:p>
    <w:p w:rsidR="00E35632" w:rsidRDefault="00E35632">
      <w:pPr>
        <w:pStyle w:val="ConsPlusNormal"/>
        <w:spacing w:before="220"/>
        <w:ind w:firstLine="540"/>
        <w:jc w:val="both"/>
      </w:pPr>
      <w:r>
        <w:t xml:space="preserve">3.21а </w:t>
      </w:r>
      <w:r>
        <w:rPr>
          <w:b/>
        </w:rPr>
        <w:t>напряжение предварительного уплотнения</w:t>
      </w:r>
      <w:r>
        <w:t>: Условное максимальное вертикальное эффективное напряжение, которое испытывал грунт за время своего существования.</w:t>
      </w:r>
    </w:p>
    <w:p w:rsidR="00E35632" w:rsidRDefault="00E35632">
      <w:pPr>
        <w:pStyle w:val="ConsPlusNormal"/>
        <w:jc w:val="both"/>
      </w:pPr>
      <w:r>
        <w:t xml:space="preserve">(п. 3.21а введен </w:t>
      </w:r>
      <w:hyperlink r:id="rId155">
        <w:r>
          <w:rPr>
            <w:color w:val="0000FF"/>
          </w:rPr>
          <w:t>Изменением N 1</w:t>
        </w:r>
      </w:hyperlink>
      <w:r>
        <w:t>, утв. Приказом Минстроя России от 20.11.2018 N 736/пр)</w:t>
      </w:r>
    </w:p>
    <w:p w:rsidR="00E35632" w:rsidRDefault="00E35632">
      <w:pPr>
        <w:pStyle w:val="ConsPlusNormal"/>
        <w:spacing w:before="220"/>
        <w:ind w:firstLine="540"/>
        <w:jc w:val="both"/>
      </w:pPr>
      <w:r>
        <w:t xml:space="preserve">3.22 </w:t>
      </w:r>
      <w:r>
        <w:rPr>
          <w:b/>
        </w:rPr>
        <w:t>научно-техническое сопровождение:</w:t>
      </w:r>
      <w:r>
        <w:t xml:space="preserve"> Комплекс работ научно-аналитического, методического, информационного, экспертно-контрольного и организационного характера, осуществляемых в процессе изысканий, проектирования и строительства в целях обеспечения надежности сооружений с учетом применения нестандартных расчетных методов, конструктивных и технологических решений.</w:t>
      </w:r>
    </w:p>
    <w:p w:rsidR="00E35632" w:rsidRDefault="00E35632">
      <w:pPr>
        <w:pStyle w:val="ConsPlusNormal"/>
        <w:spacing w:before="220"/>
        <w:ind w:firstLine="540"/>
        <w:jc w:val="both"/>
      </w:pPr>
      <w:r>
        <w:t xml:space="preserve">3.23 </w:t>
      </w:r>
      <w:r>
        <w:rPr>
          <w:b/>
        </w:rPr>
        <w:t>окружающая застройка:</w:t>
      </w:r>
      <w:r>
        <w:t xml:space="preserve"> Существующие здания и сооружения, инженерные и транспортные коммуникации, расположенные вблизи объектов нового строительства или реконструкции.</w:t>
      </w:r>
    </w:p>
    <w:p w:rsidR="00E35632" w:rsidRDefault="00E35632">
      <w:pPr>
        <w:pStyle w:val="ConsPlusNormal"/>
        <w:spacing w:before="220"/>
        <w:ind w:firstLine="540"/>
        <w:jc w:val="both"/>
      </w:pPr>
      <w:r>
        <w:t xml:space="preserve">3.23а </w:t>
      </w:r>
      <w:r>
        <w:rPr>
          <w:b/>
        </w:rPr>
        <w:t>нижняя оценка</w:t>
      </w:r>
      <w:r>
        <w:t>: Решение, соответствующее наиболее низкому значению несущей способности (прочности или устойчивости), полученное аналитически или численно на основании применения статически допустимого поля напряжений в грунтовом основании.</w:t>
      </w:r>
    </w:p>
    <w:p w:rsidR="00E35632" w:rsidRDefault="00E35632">
      <w:pPr>
        <w:pStyle w:val="ConsPlusNormal"/>
        <w:jc w:val="both"/>
      </w:pPr>
      <w:r>
        <w:t xml:space="preserve">(п. 3.23а введен </w:t>
      </w:r>
      <w:hyperlink r:id="rId156">
        <w:r>
          <w:rPr>
            <w:color w:val="0000FF"/>
          </w:rPr>
          <w:t>Изменением N 1</w:t>
        </w:r>
      </w:hyperlink>
      <w:r>
        <w:t>, утв. Приказом Минстроя России от 20.11.2018 N 736/пр)</w:t>
      </w:r>
    </w:p>
    <w:p w:rsidR="00E35632" w:rsidRDefault="00E35632">
      <w:pPr>
        <w:pStyle w:val="ConsPlusNormal"/>
        <w:spacing w:before="220"/>
        <w:ind w:firstLine="540"/>
        <w:jc w:val="both"/>
      </w:pPr>
      <w:r>
        <w:t xml:space="preserve">3.23б </w:t>
      </w:r>
      <w:r>
        <w:rPr>
          <w:b/>
        </w:rPr>
        <w:t>обобщенный нагрузочный эффект:</w:t>
      </w:r>
      <w:r>
        <w:t xml:space="preserve"> Нагрузка на основание от сооружения.</w:t>
      </w:r>
    </w:p>
    <w:p w:rsidR="00E35632" w:rsidRDefault="00E35632">
      <w:pPr>
        <w:pStyle w:val="ConsPlusNormal"/>
        <w:jc w:val="both"/>
      </w:pPr>
      <w:r>
        <w:t xml:space="preserve">(п. 3.23б введен </w:t>
      </w:r>
      <w:hyperlink r:id="rId157">
        <w:r>
          <w:rPr>
            <w:color w:val="0000FF"/>
          </w:rPr>
          <w:t>Изменением N 2</w:t>
        </w:r>
      </w:hyperlink>
      <w:r>
        <w:t>, утв. Приказом Минстроя России от 24.01.2019 N 43/пр)</w:t>
      </w:r>
    </w:p>
    <w:p w:rsidR="00E35632" w:rsidRDefault="00E35632">
      <w:pPr>
        <w:pStyle w:val="ConsPlusNormal"/>
        <w:spacing w:before="220"/>
        <w:ind w:firstLine="540"/>
        <w:jc w:val="both"/>
      </w:pPr>
      <w:r>
        <w:t xml:space="preserve">3.24 </w:t>
      </w:r>
      <w:r>
        <w:rPr>
          <w:b/>
        </w:rPr>
        <w:t>осадки:</w:t>
      </w:r>
      <w:r>
        <w:t xml:space="preserve"> Вертикальные составляющие деформаций основания, происходящие в результате внешних воздействий и в отдельных случаях от собственного веса грунта, не сопровождающееся изменением его структуры.</w:t>
      </w:r>
    </w:p>
    <w:p w:rsidR="00E35632" w:rsidRDefault="00E35632">
      <w:pPr>
        <w:pStyle w:val="ConsPlusNormal"/>
        <w:spacing w:before="220"/>
        <w:ind w:firstLine="540"/>
        <w:jc w:val="both"/>
      </w:pPr>
      <w:r>
        <w:t xml:space="preserve">3.25 </w:t>
      </w:r>
      <w:r>
        <w:rPr>
          <w:b/>
        </w:rPr>
        <w:t>оседания:</w:t>
      </w:r>
      <w:r>
        <w:t xml:space="preserve"> Деформации земной поверхности, вызываемые подработкой, изменением гидрогеологических условий, карстово-суффозионными процессами и т.п.</w:t>
      </w:r>
    </w:p>
    <w:p w:rsidR="00E35632" w:rsidRDefault="00E35632">
      <w:pPr>
        <w:pStyle w:val="ConsPlusNormal"/>
        <w:spacing w:before="220"/>
        <w:ind w:firstLine="540"/>
        <w:jc w:val="both"/>
      </w:pPr>
      <w:r>
        <w:lastRenderedPageBreak/>
        <w:t xml:space="preserve">3.26 </w:t>
      </w:r>
      <w:r>
        <w:rPr>
          <w:b/>
        </w:rPr>
        <w:t>основание сооружения:</w:t>
      </w:r>
      <w:r>
        <w:t xml:space="preserve"> Массив грунта, взаимодействующий с сооружением.</w:t>
      </w:r>
    </w:p>
    <w:p w:rsidR="00E35632" w:rsidRDefault="00E35632">
      <w:pPr>
        <w:pStyle w:val="ConsPlusNormal"/>
        <w:spacing w:before="220"/>
        <w:ind w:firstLine="540"/>
        <w:jc w:val="both"/>
      </w:pPr>
      <w:r>
        <w:t xml:space="preserve">3.27 </w:t>
      </w:r>
      <w:r>
        <w:rPr>
          <w:b/>
        </w:rPr>
        <w:t>особые условия:</w:t>
      </w:r>
      <w:r>
        <w:t xml:space="preserve"> Условия, характеризующиеся наличием:</w:t>
      </w:r>
    </w:p>
    <w:p w:rsidR="00E35632" w:rsidRDefault="00E35632">
      <w:pPr>
        <w:pStyle w:val="ConsPlusNormal"/>
        <w:spacing w:before="220"/>
        <w:ind w:firstLine="540"/>
        <w:jc w:val="both"/>
      </w:pPr>
      <w:r>
        <w:t>- неблагоприятных геологических и инженерно-геологических процессов (карст, суффозия, горные подработки, оползни и т.д.);</w:t>
      </w:r>
    </w:p>
    <w:p w:rsidR="00E35632" w:rsidRDefault="00E35632">
      <w:pPr>
        <w:pStyle w:val="ConsPlusNormal"/>
        <w:spacing w:before="220"/>
        <w:ind w:firstLine="540"/>
        <w:jc w:val="both"/>
      </w:pPr>
      <w:r>
        <w:t>- сейсмических, динамических и других воздействий;</w:t>
      </w:r>
    </w:p>
    <w:p w:rsidR="00E35632" w:rsidRDefault="00E35632">
      <w:pPr>
        <w:pStyle w:val="ConsPlusNormal"/>
        <w:spacing w:before="220"/>
        <w:ind w:firstLine="540"/>
        <w:jc w:val="both"/>
      </w:pPr>
      <w:r>
        <w:t>- специфических грунтов (просадочные, набухающие, засоленные и др.).</w:t>
      </w:r>
    </w:p>
    <w:p w:rsidR="00E35632" w:rsidRDefault="00E35632">
      <w:pPr>
        <w:pStyle w:val="ConsPlusNormal"/>
        <w:spacing w:before="220"/>
        <w:ind w:firstLine="540"/>
        <w:jc w:val="both"/>
      </w:pPr>
      <w:r>
        <w:t xml:space="preserve">3.28 </w:t>
      </w:r>
      <w:r>
        <w:rPr>
          <w:b/>
        </w:rPr>
        <w:t>подземное сооружение или подземная часть сооружения:</w:t>
      </w:r>
      <w:r>
        <w:t xml:space="preserve"> Сооружение или часть сооружения, расположенные ниже уровня поверхности земли (планировки).</w:t>
      </w:r>
    </w:p>
    <w:p w:rsidR="00E35632" w:rsidRDefault="00E35632">
      <w:pPr>
        <w:pStyle w:val="ConsPlusNormal"/>
        <w:spacing w:before="220"/>
        <w:ind w:firstLine="540"/>
        <w:jc w:val="both"/>
      </w:pPr>
      <w:r>
        <w:t xml:space="preserve">3.29 </w:t>
      </w:r>
      <w:r>
        <w:rPr>
          <w:b/>
        </w:rPr>
        <w:t>подъемы и осадки:</w:t>
      </w:r>
      <w:r>
        <w:t xml:space="preserve"> Вертикальные составляющие деформаций основания, связанные с изменением объема грунтов при изменении их влажности или воздействием химических веществ (набухание и усадка) и при замерзании воды и оттаивании льда в порах грунта (морозное пучение и оттаивание грунта).</w:t>
      </w:r>
    </w:p>
    <w:p w:rsidR="00E35632" w:rsidRDefault="00E35632">
      <w:pPr>
        <w:pStyle w:val="ConsPlusNormal"/>
        <w:spacing w:before="220"/>
        <w:ind w:firstLine="540"/>
        <w:jc w:val="both"/>
      </w:pPr>
      <w:r>
        <w:t xml:space="preserve">3.30 </w:t>
      </w:r>
      <w:r>
        <w:rPr>
          <w:b/>
        </w:rPr>
        <w:t>поровое давление:</w:t>
      </w:r>
      <w:r>
        <w:t xml:space="preserve"> Напряжения в основании, передающиеся через поровую жидкость.</w:t>
      </w:r>
    </w:p>
    <w:p w:rsidR="00E35632" w:rsidRDefault="00E35632">
      <w:pPr>
        <w:pStyle w:val="ConsPlusNormal"/>
        <w:spacing w:before="220"/>
        <w:ind w:firstLine="540"/>
        <w:jc w:val="both"/>
      </w:pPr>
      <w:r>
        <w:t xml:space="preserve">3.31 </w:t>
      </w:r>
      <w:r>
        <w:rPr>
          <w:b/>
        </w:rPr>
        <w:t>провалы:</w:t>
      </w:r>
      <w:r>
        <w:t xml:space="preserve"> Деформации земной поверхности с нарушением сплошности грунтов, образующиеся вследствие обрушения толщи грунтов над карстовыми полостями, горными выработками или зонами суффозионного выноса грунта.</w:t>
      </w:r>
    </w:p>
    <w:p w:rsidR="00E35632" w:rsidRDefault="00E35632">
      <w:pPr>
        <w:pStyle w:val="ConsPlusNormal"/>
        <w:spacing w:before="220"/>
        <w:ind w:firstLine="540"/>
        <w:jc w:val="both"/>
      </w:pPr>
      <w:r>
        <w:t xml:space="preserve">3.32 </w:t>
      </w:r>
      <w:r>
        <w:rPr>
          <w:b/>
        </w:rPr>
        <w:t>просадки:</w:t>
      </w:r>
      <w:r>
        <w:t xml:space="preserve"> Вертикальные составляющие деформаций основания, происходящие в результате уплотнения грунта и коренного изменения структуры грунта под воздействием как внешних нагрузок и собственного веса грунта, так и дополнительных факторов, таких, например, как замачивание просадочного грунта, оттаивание ледовых прослоек в замерзшем грунте и т.п.</w:t>
      </w:r>
    </w:p>
    <w:p w:rsidR="00E35632" w:rsidRDefault="00E35632">
      <w:pPr>
        <w:pStyle w:val="ConsPlusNormal"/>
        <w:spacing w:before="220"/>
        <w:ind w:firstLine="540"/>
        <w:jc w:val="both"/>
      </w:pPr>
      <w:r>
        <w:t xml:space="preserve">3.33 </w:t>
      </w:r>
      <w:r>
        <w:rPr>
          <w:b/>
        </w:rPr>
        <w:t>проектная ситуация:</w:t>
      </w:r>
      <w:r>
        <w:t xml:space="preserve"> Учитываемый при проектировании и расчете сооружения комплекс наиболее неблагоприятных условий, которые могут возникнуть при его возведении и эксплуатации.</w:t>
      </w:r>
    </w:p>
    <w:p w:rsidR="00E35632" w:rsidRDefault="00E35632">
      <w:pPr>
        <w:pStyle w:val="ConsPlusNormal"/>
        <w:spacing w:before="220"/>
        <w:ind w:firstLine="540"/>
        <w:jc w:val="both"/>
      </w:pPr>
      <w:r>
        <w:t xml:space="preserve">3.33а </w:t>
      </w:r>
      <w:r>
        <w:rPr>
          <w:b/>
        </w:rPr>
        <w:t>проектные параметры:</w:t>
      </w:r>
      <w:r>
        <w:t xml:space="preserve"> Параметры, отражающие состояние системы "основание-сооружение", задаваемые в проекте и контролируемые при строительстве и эксплуатации.</w:t>
      </w:r>
    </w:p>
    <w:p w:rsidR="00E35632" w:rsidRDefault="00E35632">
      <w:pPr>
        <w:pStyle w:val="ConsPlusNormal"/>
        <w:jc w:val="both"/>
      </w:pPr>
      <w:r>
        <w:t xml:space="preserve">(п. 3.33а введен </w:t>
      </w:r>
      <w:hyperlink r:id="rId158">
        <w:r>
          <w:rPr>
            <w:color w:val="0000FF"/>
          </w:rPr>
          <w:t>Изменением N 2</w:t>
        </w:r>
      </w:hyperlink>
      <w:r>
        <w:t>, утв. Приказом Минстроя России от 24.01.2019 N 43/пр)</w:t>
      </w:r>
    </w:p>
    <w:p w:rsidR="00E35632" w:rsidRDefault="00E35632">
      <w:pPr>
        <w:pStyle w:val="ConsPlusNormal"/>
        <w:spacing w:before="220"/>
        <w:ind w:firstLine="540"/>
        <w:jc w:val="both"/>
      </w:pPr>
      <w:r>
        <w:t xml:space="preserve">3.34 </w:t>
      </w:r>
      <w:r>
        <w:rPr>
          <w:b/>
        </w:rPr>
        <w:t>проектный сценарий:</w:t>
      </w:r>
      <w:r>
        <w:t xml:space="preserve"> Учитываемый при проектировании и расчете сооружения комплекс наиболее неблагоприятных последовательностей изменения взаимосвязанных проектных ситуаций, которые могут возникнуть при его возведении и эксплуатации.</w:t>
      </w:r>
    </w:p>
    <w:p w:rsidR="00E35632" w:rsidRDefault="00E35632">
      <w:pPr>
        <w:pStyle w:val="ConsPlusNormal"/>
        <w:spacing w:before="220"/>
        <w:ind w:firstLine="540"/>
        <w:jc w:val="both"/>
      </w:pPr>
      <w:r>
        <w:t xml:space="preserve">3.35 </w:t>
      </w:r>
      <w:r>
        <w:rPr>
          <w:b/>
        </w:rPr>
        <w:t>прочность грунтоцемента:</w:t>
      </w:r>
      <w:r>
        <w:t xml:space="preserve"> Сопротивление одноосному сжатию статической нагрузкой до физического разрушения.</w:t>
      </w:r>
    </w:p>
    <w:p w:rsidR="00E35632" w:rsidRDefault="00E35632">
      <w:pPr>
        <w:pStyle w:val="ConsPlusNormal"/>
        <w:spacing w:before="220"/>
        <w:ind w:firstLine="540"/>
        <w:jc w:val="both"/>
      </w:pPr>
      <w:r>
        <w:t xml:space="preserve">3.35а </w:t>
      </w:r>
      <w:r>
        <w:rPr>
          <w:b/>
        </w:rPr>
        <w:t>саморасширяющиеся растворы:</w:t>
      </w:r>
      <w:r>
        <w:t xml:space="preserve"> Растворы, способные к увеличению объема (включая двух- и более компонентные синтетические материалы, увеличивающиеся в объеме при смешивании компонентов).</w:t>
      </w:r>
    </w:p>
    <w:p w:rsidR="00E35632" w:rsidRDefault="00E35632">
      <w:pPr>
        <w:pStyle w:val="ConsPlusNormal"/>
        <w:jc w:val="both"/>
      </w:pPr>
      <w:r>
        <w:t xml:space="preserve">(п. 3.35а введен </w:t>
      </w:r>
      <w:hyperlink r:id="rId159">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t xml:space="preserve">3.36 </w:t>
      </w:r>
      <w:r>
        <w:rPr>
          <w:b/>
        </w:rPr>
        <w:t>силы отрицательного (негативного) трения:</w:t>
      </w:r>
      <w:r>
        <w:t xml:space="preserve"> Силы, возникающие на боковой поверхности фундаментов и подземных частей сооружений, при перемещении грунтов вниз относительно них.</w:t>
      </w:r>
    </w:p>
    <w:p w:rsidR="00E35632" w:rsidRDefault="00E35632">
      <w:pPr>
        <w:pStyle w:val="ConsPlusNormal"/>
        <w:spacing w:before="220"/>
        <w:ind w:firstLine="540"/>
        <w:jc w:val="both"/>
      </w:pPr>
      <w:r>
        <w:t xml:space="preserve">3.37 </w:t>
      </w:r>
      <w:r>
        <w:rPr>
          <w:b/>
        </w:rPr>
        <w:t>сопоставимый геотехнический опыт:</w:t>
      </w:r>
      <w:r>
        <w:t xml:space="preserve"> Ранее полученная документированная либо иная четко установленная информация, включающая свойства грунтов, конструкций, нагрузок и технологий строительства, аналогичные используемым в проекте.</w:t>
      </w:r>
    </w:p>
    <w:p w:rsidR="00E35632" w:rsidRDefault="00E35632">
      <w:pPr>
        <w:pStyle w:val="ConsPlusNormal"/>
        <w:spacing w:before="220"/>
        <w:ind w:firstLine="540"/>
        <w:jc w:val="both"/>
      </w:pPr>
      <w:r>
        <w:lastRenderedPageBreak/>
        <w:t xml:space="preserve">3.38 </w:t>
      </w:r>
      <w:r>
        <w:rPr>
          <w:b/>
        </w:rPr>
        <w:t>специализированные организации:</w:t>
      </w:r>
      <w:r>
        <w:t xml:space="preserve"> Организации, основным направлением деятельности которых является выполнение комплексных инженерных изысканий и проектирование оснований, фундаментов и подземных частей сооружений, располагающие квалифицированным и опытным персоналом, в т.ч. с обязательным привлечением научных кадров, соответствующим сертифицированным оборудованием и программным обеспечением.</w:t>
      </w:r>
    </w:p>
    <w:p w:rsidR="00E35632" w:rsidRDefault="00E35632">
      <w:pPr>
        <w:pStyle w:val="ConsPlusNormal"/>
        <w:spacing w:before="220"/>
        <w:ind w:firstLine="540"/>
        <w:jc w:val="both"/>
      </w:pPr>
      <w:r>
        <w:t xml:space="preserve">3.39 </w:t>
      </w:r>
      <w:r>
        <w:rPr>
          <w:b/>
        </w:rPr>
        <w:t>срок эксплуатации сооружения:</w:t>
      </w:r>
      <w:r>
        <w:t xml:space="preserve"> Проектный срок эксплуатации сооружения, принимаемый в соответствии с </w:t>
      </w:r>
      <w:hyperlink r:id="rId160">
        <w:r>
          <w:rPr>
            <w:color w:val="0000FF"/>
          </w:rPr>
          <w:t>ГОСТ 27751</w:t>
        </w:r>
      </w:hyperlink>
      <w:r>
        <w:t>.</w:t>
      </w:r>
    </w:p>
    <w:p w:rsidR="00E35632" w:rsidRDefault="00E35632">
      <w:pPr>
        <w:pStyle w:val="ConsPlusNormal"/>
        <w:spacing w:before="220"/>
        <w:ind w:firstLine="540"/>
        <w:jc w:val="both"/>
      </w:pPr>
      <w:r>
        <w:t xml:space="preserve">3.40 </w:t>
      </w:r>
      <w:r>
        <w:rPr>
          <w:b/>
        </w:rPr>
        <w:t>струйная цементация ("jet grouting"):</w:t>
      </w:r>
      <w:r>
        <w:t xml:space="preserve"> Закрепление грунта технологиями, позволяющими разрушать грунт струей цементного раствора (jet1) или струей цементного раствора, усиленной воздушным потоком (jet2), или струей воды с последующей подачей цементного раствора (jet3) для смешения его с грунтом и создания элемента из закрепленного грунта, обладающего заданными прочностными свойствами.</w:t>
      </w:r>
    </w:p>
    <w:p w:rsidR="00E35632" w:rsidRDefault="00E35632">
      <w:pPr>
        <w:pStyle w:val="ConsPlusNormal"/>
        <w:spacing w:before="220"/>
        <w:ind w:firstLine="540"/>
        <w:jc w:val="both"/>
      </w:pPr>
      <w:r>
        <w:t xml:space="preserve">3.41 </w:t>
      </w:r>
      <w:r>
        <w:rPr>
          <w:b/>
        </w:rPr>
        <w:t>трансверсально-изотропная среда:</w:t>
      </w:r>
      <w:r>
        <w:t xml:space="preserve"> Среда, свойства которой одинаковы в определенной плоскости и отличны в нормальном к этой плоскости направлении.</w:t>
      </w:r>
    </w:p>
    <w:p w:rsidR="00E35632" w:rsidRDefault="00E35632">
      <w:pPr>
        <w:pStyle w:val="ConsPlusNormal"/>
        <w:spacing w:before="220"/>
        <w:ind w:firstLine="540"/>
        <w:jc w:val="both"/>
      </w:pPr>
      <w:r>
        <w:t xml:space="preserve">3.41а </w:t>
      </w:r>
      <w:r>
        <w:rPr>
          <w:b/>
        </w:rPr>
        <w:t>угловой эффект ограждающей конструкции котлована:</w:t>
      </w:r>
      <w:r>
        <w:t xml:space="preserve"> Эффект уменьшения перемещений ограждающей конструкции и грунта основания в угловых зонах котлована.</w:t>
      </w:r>
    </w:p>
    <w:p w:rsidR="00E35632" w:rsidRDefault="00E35632">
      <w:pPr>
        <w:pStyle w:val="ConsPlusNormal"/>
        <w:jc w:val="both"/>
      </w:pPr>
      <w:r>
        <w:t xml:space="preserve">(п. 3.41а введен </w:t>
      </w:r>
      <w:hyperlink r:id="rId161">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t xml:space="preserve">3.42 </w:t>
      </w:r>
      <w:r>
        <w:rPr>
          <w:b/>
        </w:rPr>
        <w:t>уникальные сооружения:</w:t>
      </w:r>
      <w:r>
        <w:t xml:space="preserve"> Сооружения, определяемые в соответствии с </w:t>
      </w:r>
      <w:hyperlink w:anchor="P8324">
        <w:r>
          <w:rPr>
            <w:color w:val="0000FF"/>
          </w:rPr>
          <w:t>[1]</w:t>
        </w:r>
      </w:hyperlink>
      <w:r>
        <w:t>.</w:t>
      </w:r>
    </w:p>
    <w:p w:rsidR="00E35632" w:rsidRDefault="00E35632">
      <w:pPr>
        <w:pStyle w:val="ConsPlusNormal"/>
        <w:spacing w:before="220"/>
        <w:ind w:firstLine="540"/>
        <w:jc w:val="both"/>
      </w:pPr>
      <w:r>
        <w:t xml:space="preserve">3.43 </w:t>
      </w:r>
      <w:r>
        <w:rPr>
          <w:b/>
        </w:rPr>
        <w:t>фундамент сооружения:</w:t>
      </w:r>
      <w:r>
        <w:t xml:space="preserve"> Часть сооружения, которая служит для передачи нагрузки от сооружения на основание.</w:t>
      </w:r>
    </w:p>
    <w:p w:rsidR="00E35632" w:rsidRDefault="00E35632">
      <w:pPr>
        <w:pStyle w:val="ConsPlusNormal"/>
        <w:spacing w:before="220"/>
        <w:ind w:firstLine="540"/>
        <w:jc w:val="both"/>
      </w:pPr>
      <w:r>
        <w:t xml:space="preserve">3.44 </w:t>
      </w:r>
      <w:r>
        <w:rPr>
          <w:b/>
        </w:rPr>
        <w:t>элемент закрепленного грунта:</w:t>
      </w:r>
      <w:r>
        <w:t xml:space="preserve"> Объем грунта, закрепленного каким-либо технологическим способом, характеризуемый геометрическими параметрами и физико-механическими свойствами, назначенными при проектировании и подтвержденными опытными работами.</w:t>
      </w:r>
    </w:p>
    <w:p w:rsidR="00E35632" w:rsidRDefault="00E35632">
      <w:pPr>
        <w:pStyle w:val="ConsPlusNormal"/>
        <w:spacing w:before="220"/>
        <w:ind w:firstLine="540"/>
        <w:jc w:val="both"/>
      </w:pPr>
      <w:r>
        <w:t xml:space="preserve">3.45 </w:t>
      </w:r>
      <w:r>
        <w:rPr>
          <w:b/>
        </w:rPr>
        <w:t>эффективные напряжения:</w:t>
      </w:r>
      <w:r>
        <w:t xml:space="preserve"> Напряжения в основании, передающиеся через скелет грунта.</w:t>
      </w:r>
    </w:p>
    <w:p w:rsidR="00E35632" w:rsidRDefault="00E35632">
      <w:pPr>
        <w:pStyle w:val="ConsPlusNormal"/>
        <w:jc w:val="both"/>
      </w:pPr>
    </w:p>
    <w:p w:rsidR="00E35632" w:rsidRDefault="00E35632">
      <w:pPr>
        <w:pStyle w:val="ConsPlusTitle"/>
        <w:ind w:firstLine="540"/>
        <w:jc w:val="both"/>
        <w:outlineLvl w:val="1"/>
      </w:pPr>
      <w:bookmarkStart w:id="2" w:name="P252"/>
      <w:bookmarkEnd w:id="2"/>
      <w:r>
        <w:t>4 Общие положения</w:t>
      </w:r>
    </w:p>
    <w:p w:rsidR="00E35632" w:rsidRDefault="00E35632">
      <w:pPr>
        <w:pStyle w:val="ConsPlusNormal"/>
        <w:jc w:val="both"/>
      </w:pPr>
    </w:p>
    <w:p w:rsidR="00E35632" w:rsidRDefault="00E35632">
      <w:pPr>
        <w:pStyle w:val="ConsPlusNormal"/>
        <w:ind w:firstLine="540"/>
        <w:jc w:val="both"/>
      </w:pPr>
      <w:r>
        <w:t>4.1 Настоящий свод правил основан на приведенных ниже допущениях и предусматривает следующее:</w:t>
      </w:r>
    </w:p>
    <w:p w:rsidR="00E35632" w:rsidRDefault="00E35632">
      <w:pPr>
        <w:pStyle w:val="ConsPlusNormal"/>
        <w:spacing w:before="220"/>
        <w:ind w:firstLine="540"/>
        <w:jc w:val="both"/>
      </w:pPr>
      <w:r>
        <w:t>- исходные данные для проектирования должны собирать в необходимом и достаточном объеме, регистрировать и интерпретировать специалисты, обладающие соответствующими квалификацией и опытом;</w:t>
      </w:r>
    </w:p>
    <w:p w:rsidR="00E35632" w:rsidRDefault="00E35632">
      <w:pPr>
        <w:pStyle w:val="ConsPlusNormal"/>
        <w:spacing w:before="220"/>
        <w:ind w:firstLine="540"/>
        <w:jc w:val="both"/>
      </w:pPr>
      <w:r>
        <w:t>- проектирование должны выполнять специалисты, имеющие соответствующие квалификацию и опыт;</w:t>
      </w:r>
    </w:p>
    <w:p w:rsidR="00E35632" w:rsidRDefault="00E35632">
      <w:pPr>
        <w:pStyle w:val="ConsPlusNormal"/>
        <w:spacing w:before="220"/>
        <w:ind w:firstLine="540"/>
        <w:jc w:val="both"/>
      </w:pPr>
      <w:r>
        <w:t>- должны быть обеспечены координация и связь между специалистами по инженерным изысканиям, проектированию и строительству;</w:t>
      </w:r>
    </w:p>
    <w:p w:rsidR="00E35632" w:rsidRDefault="00E35632">
      <w:pPr>
        <w:pStyle w:val="ConsPlusNormal"/>
        <w:spacing w:before="220"/>
        <w:ind w:firstLine="540"/>
        <w:jc w:val="both"/>
      </w:pPr>
      <w:r>
        <w:t>- при производстве строительных изделий и выполнении работ на строительной площадке должен быть обеспечен соответствующий контроль качества;</w:t>
      </w:r>
    </w:p>
    <w:p w:rsidR="00E35632" w:rsidRDefault="00E35632">
      <w:pPr>
        <w:pStyle w:val="ConsPlusNormal"/>
        <w:spacing w:before="220"/>
        <w:ind w:firstLine="540"/>
        <w:jc w:val="both"/>
      </w:pPr>
      <w:r>
        <w:t>- строительные работы должен выполнять квалифицированный и опытный персонал;</w:t>
      </w:r>
    </w:p>
    <w:p w:rsidR="00E35632" w:rsidRDefault="00E35632">
      <w:pPr>
        <w:pStyle w:val="ConsPlusNormal"/>
        <w:spacing w:before="220"/>
        <w:ind w:firstLine="540"/>
        <w:jc w:val="both"/>
      </w:pPr>
      <w:r>
        <w:t xml:space="preserve">- используемые материалы и изделия должны удовлетворять требованиям проекта и </w:t>
      </w:r>
      <w:r>
        <w:lastRenderedPageBreak/>
        <w:t>технических условий;</w:t>
      </w:r>
    </w:p>
    <w:p w:rsidR="00E35632" w:rsidRDefault="00E35632">
      <w:pPr>
        <w:pStyle w:val="ConsPlusNormal"/>
        <w:spacing w:before="220"/>
        <w:ind w:firstLine="540"/>
        <w:jc w:val="both"/>
      </w:pPr>
      <w:r>
        <w:t>- техническое обслуживание сооружения и связанных с ним инженерных систем должно обеспечивать его безопасность и рабочее состояние на весь срок эксплуатации;</w:t>
      </w:r>
    </w:p>
    <w:p w:rsidR="00E35632" w:rsidRDefault="00E35632">
      <w:pPr>
        <w:pStyle w:val="ConsPlusNormal"/>
        <w:spacing w:before="220"/>
        <w:ind w:firstLine="540"/>
        <w:jc w:val="both"/>
      </w:pPr>
      <w:r>
        <w:t>- сооружение следует использовать по его назначению в соответствии с проектом.</w:t>
      </w:r>
    </w:p>
    <w:p w:rsidR="00E35632" w:rsidRDefault="00E35632">
      <w:pPr>
        <w:pStyle w:val="ConsPlusNormal"/>
        <w:spacing w:before="220"/>
        <w:ind w:firstLine="540"/>
        <w:jc w:val="both"/>
      </w:pPr>
      <w:bookmarkStart w:id="3" w:name="P263"/>
      <w:bookmarkEnd w:id="3"/>
      <w:r>
        <w:t>4.2 Основания и фундаменты сооружений следует проектировать на основе и с учетом:</w:t>
      </w:r>
    </w:p>
    <w:p w:rsidR="00E35632" w:rsidRDefault="00E35632">
      <w:pPr>
        <w:pStyle w:val="ConsPlusNormal"/>
        <w:spacing w:before="220"/>
        <w:ind w:firstLine="540"/>
        <w:jc w:val="both"/>
      </w:pPr>
      <w:r>
        <w:t>а) результатов инженерных изысканий для строительства;</w:t>
      </w:r>
    </w:p>
    <w:p w:rsidR="00E35632" w:rsidRDefault="00E35632">
      <w:pPr>
        <w:pStyle w:val="ConsPlusNormal"/>
        <w:spacing w:before="220"/>
        <w:ind w:firstLine="540"/>
        <w:jc w:val="both"/>
      </w:pPr>
      <w:r>
        <w:t>б) инженерной цифровой модели местности (ИЦММ) с отображением подземных и надземных сооружений и коммуникаций;</w:t>
      </w:r>
    </w:p>
    <w:p w:rsidR="00E35632" w:rsidRDefault="00E35632">
      <w:pPr>
        <w:pStyle w:val="ConsPlusNormal"/>
        <w:spacing w:before="220"/>
        <w:ind w:firstLine="540"/>
        <w:jc w:val="both"/>
      </w:pPr>
      <w:r>
        <w:t>в) данных, характеризующих назначение, конструктивные и технологические особенности сооружения и условия его эксплуатации;</w:t>
      </w:r>
    </w:p>
    <w:p w:rsidR="00E35632" w:rsidRDefault="00E35632">
      <w:pPr>
        <w:pStyle w:val="ConsPlusNormal"/>
        <w:spacing w:before="220"/>
        <w:ind w:firstLine="540"/>
        <w:jc w:val="both"/>
      </w:pPr>
      <w:r>
        <w:t>г) нагрузок, действующих на фундаменты;</w:t>
      </w:r>
    </w:p>
    <w:p w:rsidR="00E35632" w:rsidRDefault="00E35632">
      <w:pPr>
        <w:pStyle w:val="ConsPlusNormal"/>
        <w:spacing w:before="220"/>
        <w:ind w:firstLine="540"/>
        <w:jc w:val="both"/>
      </w:pPr>
      <w:r>
        <w:t>д) результатов технического обследования зданий и сооружений окружающей застройки и прогноза влияния на них вновь строящихся и реконструируемых сооружений;</w:t>
      </w:r>
    </w:p>
    <w:p w:rsidR="00E35632" w:rsidRDefault="00E35632">
      <w:pPr>
        <w:pStyle w:val="ConsPlusNormal"/>
        <w:spacing w:before="220"/>
        <w:ind w:firstLine="540"/>
        <w:jc w:val="both"/>
      </w:pPr>
      <w:r>
        <w:t>е) проектов строящихся зданий и сооружений в зоне влияния строительства;</w:t>
      </w:r>
    </w:p>
    <w:p w:rsidR="00E35632" w:rsidRDefault="00E35632">
      <w:pPr>
        <w:pStyle w:val="ConsPlusNormal"/>
        <w:spacing w:before="220"/>
        <w:ind w:firstLine="540"/>
        <w:jc w:val="both"/>
      </w:pPr>
      <w:r>
        <w:t>ж) экологических и санитарно-эпидемиологических требований;</w:t>
      </w:r>
    </w:p>
    <w:p w:rsidR="00E35632" w:rsidRDefault="00E35632">
      <w:pPr>
        <w:pStyle w:val="ConsPlusNormal"/>
        <w:spacing w:before="220"/>
        <w:ind w:firstLine="540"/>
        <w:jc w:val="both"/>
      </w:pPr>
      <w:r>
        <w:t>и) технических условий, выданных всеми уполномоченными заинтересованными организациями.</w:t>
      </w:r>
    </w:p>
    <w:p w:rsidR="00E35632" w:rsidRDefault="00E35632">
      <w:pPr>
        <w:pStyle w:val="ConsPlusNormal"/>
        <w:spacing w:before="220"/>
        <w:ind w:firstLine="540"/>
        <w:jc w:val="both"/>
      </w:pPr>
      <w:r>
        <w:t>4.3 Исходные данные для разработки проектов (включая ИЦММ, результаты инженерных изысканий и обследований) должны быть актуальны на момент выполнения проектирования. Необходимость актуализации исходных данных следует проверять до начала проектирования.</w:t>
      </w:r>
    </w:p>
    <w:p w:rsidR="00E35632" w:rsidRDefault="00E35632">
      <w:pPr>
        <w:pStyle w:val="ConsPlusNormal"/>
        <w:spacing w:before="220"/>
        <w:ind w:firstLine="540"/>
        <w:jc w:val="both"/>
      </w:pPr>
      <w:r>
        <w:t>Результаты инженерных изысканий и обследований, а также ИЦММ допускается использовать без актуализации при сроках давности их выполнения, не превышающих установленных нормативными требованиями.</w:t>
      </w:r>
    </w:p>
    <w:p w:rsidR="00E35632" w:rsidRDefault="00E35632">
      <w:pPr>
        <w:pStyle w:val="ConsPlusNormal"/>
        <w:spacing w:before="220"/>
        <w:ind w:firstLine="540"/>
        <w:jc w:val="both"/>
      </w:pPr>
      <w:r>
        <w:t>4.4 При проектировании оснований и фундаментов должны быть предусмотрены решения, обеспечивающие надежность, долговечность и экономичность на всех стадиях строительства и эксплуатации сооружений. Необходимо проводить технико-экономическое сравнение возможных вариантов проектных решений для выбора наиболее экономичного и надежного проектного решения, обеспечивающего наиболее полное использование прочностных и деформационных характеристик грунтов и физико-механических свойств материалов фундаментов и других подземных конструкций.</w:t>
      </w:r>
    </w:p>
    <w:p w:rsidR="00E35632" w:rsidRDefault="00E35632">
      <w:pPr>
        <w:pStyle w:val="ConsPlusNormal"/>
        <w:spacing w:before="220"/>
        <w:ind w:firstLine="540"/>
        <w:jc w:val="both"/>
      </w:pPr>
      <w:r>
        <w:t xml:space="preserve">Технико-экономическое сравнение возможных вариантов проектных решений следует проводить с использованием критериев конструктивной и экономической эффективности в соответствии с </w:t>
      </w:r>
      <w:hyperlink w:anchor="P8265">
        <w:r>
          <w:rPr>
            <w:color w:val="0000FF"/>
          </w:rPr>
          <w:t>приложением Р</w:t>
        </w:r>
      </w:hyperlink>
      <w:r>
        <w:t>.</w:t>
      </w:r>
    </w:p>
    <w:p w:rsidR="00E35632" w:rsidRDefault="00E35632">
      <w:pPr>
        <w:pStyle w:val="ConsPlusNormal"/>
        <w:jc w:val="both"/>
      </w:pPr>
      <w:r>
        <w:t xml:space="preserve">(абзац введен </w:t>
      </w:r>
      <w:hyperlink r:id="rId162">
        <w:r>
          <w:rPr>
            <w:color w:val="0000FF"/>
          </w:rPr>
          <w:t>Изменением N 2</w:t>
        </w:r>
      </w:hyperlink>
      <w:r>
        <w:t>, утв. Приказом Минстроя России от 24.01.2019 N 43/пр)</w:t>
      </w:r>
    </w:p>
    <w:p w:rsidR="00E35632" w:rsidRDefault="00E35632">
      <w:pPr>
        <w:pStyle w:val="ConsPlusNormal"/>
        <w:spacing w:before="220"/>
        <w:ind w:firstLine="540"/>
        <w:jc w:val="both"/>
      </w:pPr>
      <w:r>
        <w:t>При разработке проектов производства работ и организации строительства следует выполнять требования по обеспечению надежности конструкций на всех стадиях их возведения.</w:t>
      </w:r>
    </w:p>
    <w:p w:rsidR="00E35632" w:rsidRDefault="00E35632">
      <w:pPr>
        <w:pStyle w:val="ConsPlusNormal"/>
        <w:spacing w:before="220"/>
        <w:ind w:firstLine="540"/>
        <w:jc w:val="both"/>
      </w:pPr>
      <w:r>
        <w:t xml:space="preserve">4.5 Работы по проектированию следует вести в соответствии с техническим заданием на проектирование и необходимыми исходными данными (см. </w:t>
      </w:r>
      <w:hyperlink w:anchor="P263">
        <w:r>
          <w:rPr>
            <w:color w:val="0000FF"/>
          </w:rPr>
          <w:t>4.2</w:t>
        </w:r>
      </w:hyperlink>
      <w:r>
        <w:t>).</w:t>
      </w:r>
    </w:p>
    <w:p w:rsidR="00E35632" w:rsidRDefault="00E35632">
      <w:pPr>
        <w:pStyle w:val="ConsPlusNormal"/>
        <w:spacing w:before="220"/>
        <w:ind w:firstLine="540"/>
        <w:jc w:val="both"/>
      </w:pPr>
      <w:r>
        <w:t xml:space="preserve">4.6 Требования, предъявляемые к инженерным изысканиям, расчетам и проектированию </w:t>
      </w:r>
      <w:r>
        <w:lastRenderedPageBreak/>
        <w:t>оснований и фундаментов сооружений, зависят от уровня их ответственности и их геотехнической категории.</w:t>
      </w:r>
    </w:p>
    <w:p w:rsidR="00E35632" w:rsidRDefault="00E35632">
      <w:pPr>
        <w:pStyle w:val="ConsPlusNormal"/>
        <w:spacing w:before="220"/>
        <w:ind w:firstLine="540"/>
        <w:jc w:val="both"/>
      </w:pPr>
      <w:r>
        <w:t xml:space="preserve">Уровень ответственности сооружения следует устанавливать в соответствии с </w:t>
      </w:r>
      <w:hyperlink w:anchor="P8324">
        <w:r>
          <w:rPr>
            <w:color w:val="0000FF"/>
          </w:rPr>
          <w:t>[1]</w:t>
        </w:r>
      </w:hyperlink>
      <w:r>
        <w:t xml:space="preserve">, </w:t>
      </w:r>
      <w:hyperlink w:anchor="P8327">
        <w:r>
          <w:rPr>
            <w:color w:val="0000FF"/>
          </w:rPr>
          <w:t>[2]</w:t>
        </w:r>
      </w:hyperlink>
      <w:r>
        <w:t xml:space="preserve"> и требованиями </w:t>
      </w:r>
      <w:hyperlink r:id="rId163">
        <w:r>
          <w:rPr>
            <w:color w:val="0000FF"/>
          </w:rPr>
          <w:t>ГОСТ 27751</w:t>
        </w:r>
      </w:hyperlink>
      <w:r>
        <w:t>.</w:t>
      </w:r>
    </w:p>
    <w:p w:rsidR="00E35632" w:rsidRDefault="00E35632">
      <w:pPr>
        <w:pStyle w:val="ConsPlusNormal"/>
        <w:spacing w:before="220"/>
        <w:ind w:firstLine="540"/>
        <w:jc w:val="both"/>
      </w:pPr>
      <w:r>
        <w:t>Геотехническая категория объекта строительства представляет собой категорию его сложности с точки зрения геотехнического проектирования, которую определяют в зависимости от уровня ответственности объекта и сложности инженерно-геологических условий площадки строительства.</w:t>
      </w:r>
    </w:p>
    <w:p w:rsidR="00E35632" w:rsidRDefault="00E35632">
      <w:pPr>
        <w:pStyle w:val="ConsPlusNormal"/>
        <w:spacing w:before="220"/>
        <w:ind w:firstLine="540"/>
        <w:jc w:val="both"/>
      </w:pPr>
      <w:r>
        <w:t xml:space="preserve">Категорию сложности инженерно-геологических условий площадки (участка) строительства следует определять в соответствии с </w:t>
      </w:r>
      <w:hyperlink r:id="rId164">
        <w:r>
          <w:rPr>
            <w:color w:val="0000FF"/>
          </w:rPr>
          <w:t>СП 47.13330</w:t>
        </w:r>
      </w:hyperlink>
      <w:r>
        <w:t>.</w:t>
      </w:r>
    </w:p>
    <w:p w:rsidR="00E35632" w:rsidRDefault="00E35632">
      <w:pPr>
        <w:pStyle w:val="ConsPlusNormal"/>
        <w:jc w:val="both"/>
      </w:pPr>
      <w:r>
        <w:t xml:space="preserve">(в ред. </w:t>
      </w:r>
      <w:hyperlink r:id="rId165">
        <w:r>
          <w:rPr>
            <w:color w:val="0000FF"/>
          </w:rPr>
          <w:t>Изменения N 3</w:t>
        </w:r>
      </w:hyperlink>
      <w:r>
        <w:t>, утв. Приказом Минстроя России от 22.11.2019 N 722/пр)</w:t>
      </w:r>
    </w:p>
    <w:p w:rsidR="00E35632" w:rsidRDefault="00E35632">
      <w:pPr>
        <w:pStyle w:val="ConsPlusNormal"/>
        <w:spacing w:before="220"/>
        <w:ind w:firstLine="540"/>
        <w:jc w:val="both"/>
      </w:pPr>
      <w:r>
        <w:t>Для назначения требований к инженерным изысканиям и проектированию оснований и фундаментов должна быть установлена геотехническая категория сооружения. Геотехнические категории подразделяются на: 1 (простая), 2 (средняя), 3 (сложная).</w:t>
      </w:r>
    </w:p>
    <w:p w:rsidR="00E35632" w:rsidRDefault="00E35632">
      <w:pPr>
        <w:pStyle w:val="ConsPlusNormal"/>
        <w:spacing w:before="220"/>
        <w:ind w:firstLine="540"/>
        <w:jc w:val="both"/>
      </w:pPr>
      <w:r>
        <w:t>Геотехническую категорию сооружения следует устанавливать в соответствии с таблицей 4.1.</w:t>
      </w:r>
    </w:p>
    <w:p w:rsidR="00E35632" w:rsidRDefault="00E35632">
      <w:pPr>
        <w:pStyle w:val="ConsPlusNormal"/>
        <w:jc w:val="both"/>
      </w:pPr>
    </w:p>
    <w:p w:rsidR="00E35632" w:rsidRDefault="00E35632">
      <w:pPr>
        <w:pStyle w:val="ConsPlusNormal"/>
        <w:jc w:val="right"/>
      </w:pPr>
      <w:r>
        <w:t>Таблица 4.1</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515"/>
        <w:gridCol w:w="1884"/>
        <w:gridCol w:w="1860"/>
        <w:gridCol w:w="1812"/>
      </w:tblGrid>
      <w:tr w:rsidR="00E35632">
        <w:tc>
          <w:tcPr>
            <w:tcW w:w="3515" w:type="dxa"/>
            <w:vMerge w:val="restart"/>
            <w:vAlign w:val="center"/>
          </w:tcPr>
          <w:p w:rsidR="00E35632" w:rsidRDefault="00E35632">
            <w:pPr>
              <w:pStyle w:val="ConsPlusNormal"/>
              <w:jc w:val="center"/>
            </w:pPr>
            <w:r>
              <w:t xml:space="preserve">Категория сложности инженерно-геологических условий (в соответствии с </w:t>
            </w:r>
            <w:hyperlink r:id="rId166">
              <w:r>
                <w:rPr>
                  <w:color w:val="0000FF"/>
                </w:rPr>
                <w:t>СП 47.13330</w:t>
              </w:r>
            </w:hyperlink>
            <w:r>
              <w:t>)</w:t>
            </w:r>
          </w:p>
        </w:tc>
        <w:tc>
          <w:tcPr>
            <w:tcW w:w="5556" w:type="dxa"/>
            <w:gridSpan w:val="3"/>
            <w:vAlign w:val="center"/>
          </w:tcPr>
          <w:p w:rsidR="00E35632" w:rsidRDefault="00E35632">
            <w:pPr>
              <w:pStyle w:val="ConsPlusNormal"/>
              <w:jc w:val="center"/>
            </w:pPr>
            <w:r>
              <w:t xml:space="preserve">Уровень ответственности сооружений (в соответствии с </w:t>
            </w:r>
            <w:hyperlink r:id="rId167">
              <w:r>
                <w:rPr>
                  <w:color w:val="0000FF"/>
                </w:rPr>
                <w:t>ГОСТ 27751</w:t>
              </w:r>
            </w:hyperlink>
            <w:r>
              <w:t>)</w:t>
            </w:r>
          </w:p>
        </w:tc>
      </w:tr>
      <w:tr w:rsidR="00E35632">
        <w:tc>
          <w:tcPr>
            <w:tcW w:w="3515" w:type="dxa"/>
            <w:vMerge/>
          </w:tcPr>
          <w:p w:rsidR="00E35632" w:rsidRDefault="00E35632">
            <w:pPr>
              <w:pStyle w:val="ConsPlusNormal"/>
            </w:pPr>
          </w:p>
        </w:tc>
        <w:tc>
          <w:tcPr>
            <w:tcW w:w="1884" w:type="dxa"/>
            <w:vAlign w:val="center"/>
          </w:tcPr>
          <w:p w:rsidR="00E35632" w:rsidRDefault="00E35632">
            <w:pPr>
              <w:pStyle w:val="ConsPlusNormal"/>
              <w:jc w:val="center"/>
            </w:pPr>
            <w:r>
              <w:t>КС-3 (повышенный)</w:t>
            </w:r>
          </w:p>
        </w:tc>
        <w:tc>
          <w:tcPr>
            <w:tcW w:w="1860" w:type="dxa"/>
            <w:vAlign w:val="center"/>
          </w:tcPr>
          <w:p w:rsidR="00E35632" w:rsidRDefault="00E35632">
            <w:pPr>
              <w:pStyle w:val="ConsPlusNormal"/>
              <w:jc w:val="center"/>
            </w:pPr>
            <w:r>
              <w:t>КС-2 (нормальный)</w:t>
            </w:r>
          </w:p>
        </w:tc>
        <w:tc>
          <w:tcPr>
            <w:tcW w:w="1812" w:type="dxa"/>
            <w:vAlign w:val="center"/>
          </w:tcPr>
          <w:p w:rsidR="00E35632" w:rsidRDefault="00E35632">
            <w:pPr>
              <w:pStyle w:val="ConsPlusNormal"/>
              <w:jc w:val="center"/>
            </w:pPr>
            <w:r>
              <w:t>КС-1 (пониженный)</w:t>
            </w:r>
          </w:p>
        </w:tc>
      </w:tr>
      <w:tr w:rsidR="00E35632">
        <w:tc>
          <w:tcPr>
            <w:tcW w:w="3515" w:type="dxa"/>
          </w:tcPr>
          <w:p w:rsidR="00E35632" w:rsidRDefault="00E35632">
            <w:pPr>
              <w:pStyle w:val="ConsPlusNormal"/>
              <w:jc w:val="center"/>
            </w:pPr>
            <w:r>
              <w:t>I (простая)</w:t>
            </w:r>
          </w:p>
        </w:tc>
        <w:tc>
          <w:tcPr>
            <w:tcW w:w="1884" w:type="dxa"/>
          </w:tcPr>
          <w:p w:rsidR="00E35632" w:rsidRDefault="00E35632">
            <w:pPr>
              <w:pStyle w:val="ConsPlusNormal"/>
              <w:jc w:val="center"/>
            </w:pPr>
            <w:r>
              <w:t>3</w:t>
            </w:r>
          </w:p>
        </w:tc>
        <w:tc>
          <w:tcPr>
            <w:tcW w:w="1860" w:type="dxa"/>
          </w:tcPr>
          <w:p w:rsidR="00E35632" w:rsidRDefault="00E35632">
            <w:pPr>
              <w:pStyle w:val="ConsPlusNormal"/>
              <w:jc w:val="center"/>
            </w:pPr>
            <w:r>
              <w:t>2</w:t>
            </w:r>
          </w:p>
        </w:tc>
        <w:tc>
          <w:tcPr>
            <w:tcW w:w="1812" w:type="dxa"/>
          </w:tcPr>
          <w:p w:rsidR="00E35632" w:rsidRDefault="00E35632">
            <w:pPr>
              <w:pStyle w:val="ConsPlusNormal"/>
              <w:jc w:val="center"/>
            </w:pPr>
            <w:r>
              <w:t>1</w:t>
            </w:r>
          </w:p>
        </w:tc>
      </w:tr>
      <w:tr w:rsidR="00E35632">
        <w:tc>
          <w:tcPr>
            <w:tcW w:w="3515" w:type="dxa"/>
          </w:tcPr>
          <w:p w:rsidR="00E35632" w:rsidRDefault="00E35632">
            <w:pPr>
              <w:pStyle w:val="ConsPlusNormal"/>
              <w:jc w:val="center"/>
            </w:pPr>
            <w:r>
              <w:t>II (средняя)</w:t>
            </w:r>
          </w:p>
        </w:tc>
        <w:tc>
          <w:tcPr>
            <w:tcW w:w="1884" w:type="dxa"/>
          </w:tcPr>
          <w:p w:rsidR="00E35632" w:rsidRDefault="00E35632">
            <w:pPr>
              <w:pStyle w:val="ConsPlusNormal"/>
              <w:jc w:val="center"/>
            </w:pPr>
            <w:r>
              <w:t>3</w:t>
            </w:r>
          </w:p>
        </w:tc>
        <w:tc>
          <w:tcPr>
            <w:tcW w:w="1860" w:type="dxa"/>
          </w:tcPr>
          <w:p w:rsidR="00E35632" w:rsidRDefault="00E35632">
            <w:pPr>
              <w:pStyle w:val="ConsPlusNormal"/>
              <w:jc w:val="center"/>
            </w:pPr>
            <w:r>
              <w:t>2</w:t>
            </w:r>
          </w:p>
        </w:tc>
        <w:tc>
          <w:tcPr>
            <w:tcW w:w="1812" w:type="dxa"/>
          </w:tcPr>
          <w:p w:rsidR="00E35632" w:rsidRDefault="00E35632">
            <w:pPr>
              <w:pStyle w:val="ConsPlusNormal"/>
              <w:jc w:val="center"/>
            </w:pPr>
            <w:r>
              <w:t>1</w:t>
            </w:r>
          </w:p>
        </w:tc>
      </w:tr>
      <w:tr w:rsidR="00E35632">
        <w:tc>
          <w:tcPr>
            <w:tcW w:w="3515" w:type="dxa"/>
          </w:tcPr>
          <w:p w:rsidR="00E35632" w:rsidRDefault="00E35632">
            <w:pPr>
              <w:pStyle w:val="ConsPlusNormal"/>
              <w:jc w:val="center"/>
            </w:pPr>
            <w:r>
              <w:t>III (сложная)</w:t>
            </w:r>
          </w:p>
        </w:tc>
        <w:tc>
          <w:tcPr>
            <w:tcW w:w="1884" w:type="dxa"/>
          </w:tcPr>
          <w:p w:rsidR="00E35632" w:rsidRDefault="00E35632">
            <w:pPr>
              <w:pStyle w:val="ConsPlusNormal"/>
              <w:jc w:val="center"/>
            </w:pPr>
            <w:r>
              <w:t>3</w:t>
            </w:r>
          </w:p>
        </w:tc>
        <w:tc>
          <w:tcPr>
            <w:tcW w:w="1860" w:type="dxa"/>
          </w:tcPr>
          <w:p w:rsidR="00E35632" w:rsidRDefault="00E35632">
            <w:pPr>
              <w:pStyle w:val="ConsPlusNormal"/>
              <w:jc w:val="center"/>
            </w:pPr>
            <w:r>
              <w:t>3</w:t>
            </w:r>
          </w:p>
        </w:tc>
        <w:tc>
          <w:tcPr>
            <w:tcW w:w="1812" w:type="dxa"/>
          </w:tcPr>
          <w:p w:rsidR="00E35632" w:rsidRDefault="00E35632">
            <w:pPr>
              <w:pStyle w:val="ConsPlusNormal"/>
              <w:jc w:val="center"/>
            </w:pPr>
            <w:r>
              <w:t>2</w:t>
            </w:r>
          </w:p>
        </w:tc>
      </w:tr>
    </w:tbl>
    <w:p w:rsidR="00E35632" w:rsidRDefault="00E35632">
      <w:pPr>
        <w:pStyle w:val="ConsPlusNormal"/>
        <w:jc w:val="both"/>
      </w:pPr>
    </w:p>
    <w:p w:rsidR="00E35632" w:rsidRDefault="00E35632">
      <w:pPr>
        <w:pStyle w:val="ConsPlusNormal"/>
        <w:ind w:firstLine="540"/>
        <w:jc w:val="both"/>
      </w:pPr>
      <w:r>
        <w:t>Геотехническую категорию сооружения следует устанавливать до начала изысканий на основе анализа материалов изысканий прошлых лет и уровня ответственности сооружения. Эта категория может быть уточнена на стадии инженерных изысканий, либо на стадии проектирования.</w:t>
      </w:r>
    </w:p>
    <w:p w:rsidR="00E35632" w:rsidRDefault="00E35632">
      <w:pPr>
        <w:pStyle w:val="ConsPlusNormal"/>
        <w:spacing w:before="220"/>
        <w:ind w:firstLine="540"/>
        <w:jc w:val="both"/>
      </w:pPr>
      <w:r>
        <w:t>Примечание - Для отдельных участков линейных сооружений, проектируемых в котлованах и открытых выработках, следует назначать геотехническую категорию раздельно.</w:t>
      </w:r>
    </w:p>
    <w:p w:rsidR="00E35632" w:rsidRDefault="00E35632">
      <w:pPr>
        <w:pStyle w:val="ConsPlusNormal"/>
        <w:jc w:val="both"/>
      </w:pPr>
    </w:p>
    <w:p w:rsidR="00E35632" w:rsidRDefault="00E35632">
      <w:pPr>
        <w:pStyle w:val="ConsPlusNormal"/>
        <w:ind w:firstLine="540"/>
        <w:jc w:val="both"/>
      </w:pPr>
      <w:r>
        <w:t>4.7 Инженерные изыскания для строительства, проектирование оснований и фундаментов и их устройство должны выполнять организации, имеющие соответствующие допуски на эти виды работ.</w:t>
      </w:r>
    </w:p>
    <w:p w:rsidR="00E35632" w:rsidRDefault="00E35632">
      <w:pPr>
        <w:pStyle w:val="ConsPlusNormal"/>
        <w:spacing w:before="220"/>
        <w:ind w:firstLine="540"/>
        <w:jc w:val="both"/>
      </w:pPr>
      <w:r>
        <w:t xml:space="preserve">4.8 Требования к инженерным изысканиям для строительства приведены в </w:t>
      </w:r>
      <w:hyperlink r:id="rId168">
        <w:r>
          <w:rPr>
            <w:color w:val="0000FF"/>
          </w:rPr>
          <w:t>СП 47.13330</w:t>
        </w:r>
      </w:hyperlink>
      <w:r>
        <w:t xml:space="preserve">, </w:t>
      </w:r>
      <w:hyperlink w:anchor="P8328">
        <w:r>
          <w:rPr>
            <w:color w:val="0000FF"/>
          </w:rPr>
          <w:t>[3]</w:t>
        </w:r>
      </w:hyperlink>
      <w:r>
        <w:t xml:space="preserve">, </w:t>
      </w:r>
      <w:hyperlink w:anchor="P8329">
        <w:r>
          <w:rPr>
            <w:color w:val="0000FF"/>
          </w:rPr>
          <w:t>[4]</w:t>
        </w:r>
      </w:hyperlink>
      <w:r>
        <w:t xml:space="preserve">, </w:t>
      </w:r>
      <w:hyperlink w:anchor="P8330">
        <w:r>
          <w:rPr>
            <w:color w:val="0000FF"/>
          </w:rPr>
          <w:t>[5]</w:t>
        </w:r>
      </w:hyperlink>
      <w:r>
        <w:t>, национальных стандартах и других нормативных документах по инженерным изысканиям и исследованиям грунтов для строительства.</w:t>
      </w:r>
    </w:p>
    <w:p w:rsidR="00E35632" w:rsidRDefault="00E35632">
      <w:pPr>
        <w:pStyle w:val="ConsPlusNormal"/>
        <w:spacing w:before="220"/>
        <w:ind w:firstLine="540"/>
        <w:jc w:val="both"/>
      </w:pPr>
      <w:r>
        <w:t>Задание на изыскания должно разрабатываться с учетом геотехнической категории объекта строительства.</w:t>
      </w:r>
    </w:p>
    <w:p w:rsidR="00E35632" w:rsidRDefault="00E35632">
      <w:pPr>
        <w:pStyle w:val="ConsPlusNormal"/>
        <w:jc w:val="both"/>
      </w:pPr>
      <w:r>
        <w:t xml:space="preserve">(в ред. </w:t>
      </w:r>
      <w:hyperlink r:id="rId169">
        <w:r>
          <w:rPr>
            <w:color w:val="0000FF"/>
          </w:rPr>
          <w:t>Изменения N 3</w:t>
        </w:r>
      </w:hyperlink>
      <w:r>
        <w:t>, утв. Приказом Минстроя России от 22.11.2019 N 722/пр)</w:t>
      </w:r>
    </w:p>
    <w:p w:rsidR="00E35632" w:rsidRDefault="00E35632">
      <w:pPr>
        <w:pStyle w:val="ConsPlusNormal"/>
        <w:spacing w:before="220"/>
        <w:ind w:firstLine="540"/>
        <w:jc w:val="both"/>
      </w:pPr>
      <w:r>
        <w:t xml:space="preserve">Наименование грунтов оснований в отчетной документации по результатам инженерных </w:t>
      </w:r>
      <w:r>
        <w:lastRenderedPageBreak/>
        <w:t xml:space="preserve">изысканий и в проектной документации следует принимать по </w:t>
      </w:r>
      <w:hyperlink r:id="rId170">
        <w:r>
          <w:rPr>
            <w:color w:val="0000FF"/>
          </w:rPr>
          <w:t>ГОСТ 25100</w:t>
        </w:r>
      </w:hyperlink>
      <w:r>
        <w:t>.</w:t>
      </w:r>
    </w:p>
    <w:p w:rsidR="00E35632" w:rsidRDefault="00E35632">
      <w:pPr>
        <w:pStyle w:val="ConsPlusNormal"/>
        <w:spacing w:before="220"/>
        <w:ind w:firstLine="540"/>
        <w:jc w:val="both"/>
      </w:pPr>
      <w:r>
        <w:t>4.9 Результаты инженерных изысканий должны содержать данные, необходимые и достаточные для выбора типа основания, фундаментов, способов возведения и типов конструкций подземных сооружений и проведения их расчетов по предельным состояниям с учетом прогноза возможных изменений (в процессе строительства и эксплуатации) инженерно-геологических условий площадки строительства и свойств грунтов, а также вида и объема инженерных мероприятий, необходимых для ее освоения.</w:t>
      </w:r>
    </w:p>
    <w:p w:rsidR="00E35632" w:rsidRDefault="00E35632">
      <w:pPr>
        <w:pStyle w:val="ConsPlusNormal"/>
        <w:spacing w:before="220"/>
        <w:ind w:firstLine="540"/>
        <w:jc w:val="both"/>
      </w:pPr>
      <w:r>
        <w:t>Проектирование без соответствующих результатов инженерных изысканий или при их недостаточности не допускается.</w:t>
      </w:r>
    </w:p>
    <w:p w:rsidR="00E35632" w:rsidRDefault="00E35632">
      <w:pPr>
        <w:pStyle w:val="ConsPlusNormal"/>
        <w:spacing w:before="220"/>
        <w:ind w:firstLine="540"/>
        <w:jc w:val="both"/>
      </w:pPr>
      <w:r>
        <w:t>Примечание - При строительстве в условиях окружающей застройки инженерные изыскания следует предусматривать не только для вновь строящихся или реконструируемых сооружений, но и для территории окружающей застройки, расположенной в зоне их влияния. Объем и состав изысканий для окружающей застройки определяют в техническом задании на проведение изысканий.</w:t>
      </w:r>
    </w:p>
    <w:p w:rsidR="00E35632" w:rsidRDefault="00E35632">
      <w:pPr>
        <w:pStyle w:val="ConsPlusNormal"/>
        <w:spacing w:before="220"/>
        <w:ind w:firstLine="540"/>
        <w:jc w:val="both"/>
      </w:pPr>
      <w:r>
        <w:t>Для территорий окружающей застройки допускается использовать архивные данные при обосновании в программе работ.</w:t>
      </w:r>
    </w:p>
    <w:p w:rsidR="00E35632" w:rsidRDefault="00E35632">
      <w:pPr>
        <w:pStyle w:val="ConsPlusNormal"/>
        <w:jc w:val="both"/>
      </w:pPr>
      <w:r>
        <w:t xml:space="preserve">(абзац введен </w:t>
      </w:r>
      <w:hyperlink r:id="rId171">
        <w:r>
          <w:rPr>
            <w:color w:val="0000FF"/>
          </w:rPr>
          <w:t>Изменением N 4</w:t>
        </w:r>
      </w:hyperlink>
      <w:r>
        <w:t>, утв. Приказом Минстроя России от 27.12.2021 N 1022/пр)</w:t>
      </w:r>
    </w:p>
    <w:p w:rsidR="00E35632" w:rsidRDefault="00E35632">
      <w:pPr>
        <w:pStyle w:val="ConsPlusNormal"/>
        <w:jc w:val="both"/>
      </w:pPr>
    </w:p>
    <w:p w:rsidR="00E35632" w:rsidRDefault="00E35632">
      <w:pPr>
        <w:pStyle w:val="ConsPlusNormal"/>
        <w:ind w:firstLine="540"/>
        <w:jc w:val="both"/>
      </w:pPr>
      <w:r>
        <w:t>4.10 Инженерные изыскания следует планировать на основании технического задания, в соответствии с которым разрабатывается программа изысканий.</w:t>
      </w:r>
    </w:p>
    <w:p w:rsidR="00E35632" w:rsidRDefault="00E35632">
      <w:pPr>
        <w:pStyle w:val="ConsPlusNormal"/>
        <w:spacing w:before="220"/>
        <w:ind w:firstLine="540"/>
        <w:jc w:val="both"/>
      </w:pPr>
      <w:r>
        <w:t>К составлению технического задания и согласованию программы инженерно-геологических и инженерно-геотехнических изысканий для проектирования сооружений геотехнической категории 2 рекомендуется, а геотехнической категории 3 - необходимо привлекать специализированные организации.</w:t>
      </w:r>
    </w:p>
    <w:p w:rsidR="00E35632" w:rsidRDefault="00E35632">
      <w:pPr>
        <w:pStyle w:val="ConsPlusNormal"/>
        <w:spacing w:before="220"/>
        <w:ind w:firstLine="540"/>
        <w:jc w:val="both"/>
      </w:pPr>
      <w:r>
        <w:t>4.11 Для проектирования сооружений геотехнических категорий 2 и 3 характеристики грунтов следует устанавливать на основании непосредственных испытаний грунтов в полевых и лабораторных условиях.</w:t>
      </w:r>
    </w:p>
    <w:p w:rsidR="00E35632" w:rsidRDefault="00E35632">
      <w:pPr>
        <w:pStyle w:val="ConsPlusNormal"/>
        <w:spacing w:before="220"/>
        <w:ind w:firstLine="540"/>
        <w:jc w:val="both"/>
      </w:pPr>
      <w:r>
        <w:t>Для проектирования сооружений геотехнических категорий 2 и 3 дополнительно к требованиям непосредственных испытаний грунтов должны быть определены состав и свойства специфических грунтов, проведены все необходимые исследования, связанные с развитием опасных геологических и инженерно-геологических процессов.</w:t>
      </w:r>
    </w:p>
    <w:p w:rsidR="00E35632" w:rsidRDefault="00E35632">
      <w:pPr>
        <w:pStyle w:val="ConsPlusNormal"/>
        <w:spacing w:before="220"/>
        <w:ind w:firstLine="540"/>
        <w:jc w:val="both"/>
      </w:pPr>
      <w:r>
        <w:t>Для проектирования сооружений геотехнической категории 3 должны также выполнять опытно-фильтрационные работы, геофизические исследования, стационарные наблюдения и другие специальные работы и исследования в соответствии с техническим заданием и программой изысканий.</w:t>
      </w:r>
    </w:p>
    <w:p w:rsidR="00E35632" w:rsidRDefault="00E35632">
      <w:pPr>
        <w:pStyle w:val="ConsPlusNormal"/>
        <w:spacing w:before="220"/>
        <w:ind w:firstLine="540"/>
        <w:jc w:val="both"/>
      </w:pPr>
      <w:r>
        <w:t>4.12 Для выбора типа основания и фундаментов, назначения расчетной схемы взаимодействия конструкций сооружения с основанием, уточнения требований к предельным деформациям основания фундаментов проектируемого сооружения, геотехнического прогноза его влияния на окружающую застройку и т.д. необходимо учитывать конструктивные решения проектируемого сооружения, способы и последовательность его возведения, а также условия последующей эксплуатации.</w:t>
      </w:r>
    </w:p>
    <w:p w:rsidR="00E35632" w:rsidRDefault="00E35632">
      <w:pPr>
        <w:pStyle w:val="ConsPlusNormal"/>
        <w:spacing w:before="220"/>
        <w:ind w:firstLine="540"/>
        <w:jc w:val="both"/>
      </w:pPr>
      <w:r>
        <w:t xml:space="preserve">4.13 При проектировании необходимо учитывать местные условия строительства, а также имеющийся опыт проектирования, строительства и эксплуатации сооружений в аналогичных природных условиях и указания территориальных нормативно-методических документов. Для этого необходимо иметь данные об инженерно-геологических, инженерно-гидрометеорологических и инженерно-экологических условиях этого района и характерных </w:t>
      </w:r>
      <w:r>
        <w:lastRenderedPageBreak/>
        <w:t>особенностях окружающей застройки, о применяемых конструкциях возводимых сооружений, нагрузках, типах и размерах фундаментов, давлениях на грунты основания и о наблюдавшихся деформациях оснований сооружений. Следует также учитывать данные о производственных возможностях строительных организаций и парке оборудования, ожидаемых климатических условиях на весь период строительства. Указанные данные могут оказаться решающими при выборе типа фундаментов (например, на естественном основании или свайные), глубины их заложения, метода подготовки основания и пр.</w:t>
      </w:r>
    </w:p>
    <w:p w:rsidR="00E35632" w:rsidRDefault="00E35632">
      <w:pPr>
        <w:pStyle w:val="ConsPlusNormal"/>
        <w:spacing w:before="220"/>
        <w:ind w:firstLine="540"/>
        <w:jc w:val="both"/>
      </w:pPr>
      <w:r>
        <w:t xml:space="preserve">Данные о климатических условиях района строительства следует принимать в соответствии с </w:t>
      </w:r>
      <w:hyperlink r:id="rId172">
        <w:r>
          <w:rPr>
            <w:color w:val="0000FF"/>
          </w:rPr>
          <w:t>СП 131.13330</w:t>
        </w:r>
      </w:hyperlink>
      <w:r>
        <w:t>.</w:t>
      </w:r>
    </w:p>
    <w:p w:rsidR="00E35632" w:rsidRDefault="00E35632">
      <w:pPr>
        <w:pStyle w:val="ConsPlusNormal"/>
        <w:spacing w:before="220"/>
        <w:ind w:firstLine="540"/>
        <w:jc w:val="both"/>
      </w:pPr>
      <w:r>
        <w:t xml:space="preserve">4.14 При проектировании оснований и фундаментов сооружений необходимо соблюдать требования нормативных документов по организации строительства </w:t>
      </w:r>
      <w:hyperlink r:id="rId173">
        <w:r>
          <w:rPr>
            <w:color w:val="0000FF"/>
          </w:rPr>
          <w:t>(СП 48.13330)</w:t>
        </w:r>
      </w:hyperlink>
      <w:r>
        <w:t xml:space="preserve">, земляным работам </w:t>
      </w:r>
      <w:hyperlink r:id="rId174">
        <w:r>
          <w:rPr>
            <w:color w:val="0000FF"/>
          </w:rPr>
          <w:t>(СП 45.13330)</w:t>
        </w:r>
      </w:hyperlink>
      <w:r>
        <w:t xml:space="preserve">, геодезическим работам </w:t>
      </w:r>
      <w:hyperlink r:id="rId175">
        <w:r>
          <w:rPr>
            <w:color w:val="0000FF"/>
          </w:rPr>
          <w:t>(СП 126.13330)</w:t>
        </w:r>
      </w:hyperlink>
      <w:r>
        <w:t xml:space="preserve">, технике безопасности </w:t>
      </w:r>
      <w:hyperlink w:anchor="P8333">
        <w:r>
          <w:rPr>
            <w:color w:val="0000FF"/>
          </w:rPr>
          <w:t>[6]</w:t>
        </w:r>
      </w:hyperlink>
      <w:r>
        <w:t xml:space="preserve"> и т.п.</w:t>
      </w:r>
    </w:p>
    <w:p w:rsidR="00E35632" w:rsidRDefault="00E35632">
      <w:pPr>
        <w:pStyle w:val="ConsPlusNormal"/>
        <w:spacing w:before="220"/>
        <w:ind w:firstLine="540"/>
        <w:jc w:val="both"/>
      </w:pPr>
      <w:r>
        <w:t>4.15 При возведении нового объекта или реконструкции существующего сооружения на застроенной территории необходимо учитывать его воздействие на окружающую застройку с целью предотвращения недопустимых дополнительных деформаций.</w:t>
      </w:r>
    </w:p>
    <w:p w:rsidR="00E35632" w:rsidRDefault="00E35632">
      <w:pPr>
        <w:pStyle w:val="ConsPlusNormal"/>
        <w:spacing w:before="220"/>
        <w:ind w:firstLine="540"/>
        <w:jc w:val="both"/>
      </w:pPr>
      <w:r>
        <w:t xml:space="preserve">Зону влияния проектируемого объекта нового строительства или реконструируемого сооружения и прогнозируемые дополнительные деформации оснований и фундаментов сооружений окружающей застройки определяют расчетом в соответствии с требованиями </w:t>
      </w:r>
      <w:hyperlink w:anchor="P4452">
        <w:r>
          <w:rPr>
            <w:color w:val="0000FF"/>
          </w:rPr>
          <w:t>раздела 9</w:t>
        </w:r>
      </w:hyperlink>
      <w:r>
        <w:t>.</w:t>
      </w:r>
    </w:p>
    <w:p w:rsidR="00E35632" w:rsidRDefault="00E35632">
      <w:pPr>
        <w:pStyle w:val="ConsPlusNormal"/>
        <w:spacing w:before="220"/>
        <w:ind w:firstLine="540"/>
        <w:jc w:val="both"/>
      </w:pPr>
      <w:r>
        <w:t xml:space="preserve">4.16 В проектах оснований и фундаментов вновь возводимых или реконструируемых сооружений геотехнических категорий 2 и 3, в т.ч., при наличии окружающей застройки в зоне их влияния, необходимо предусматривать проведение геотехнического мониторинга. Состав, объемы и методы геотехнического мониторинга в зависимости от геотехнической категории и других факторов установлены в </w:t>
      </w:r>
      <w:hyperlink w:anchor="P4957">
        <w:r>
          <w:rPr>
            <w:color w:val="0000FF"/>
          </w:rPr>
          <w:t>разделе 12</w:t>
        </w:r>
      </w:hyperlink>
      <w:r>
        <w:t>.</w:t>
      </w:r>
    </w:p>
    <w:p w:rsidR="00E35632" w:rsidRDefault="00E35632">
      <w:pPr>
        <w:pStyle w:val="ConsPlusNormal"/>
        <w:spacing w:before="220"/>
        <w:ind w:firstLine="540"/>
        <w:jc w:val="both"/>
      </w:pPr>
      <w:r>
        <w:t>Геотехнический мониторинг должен также предусматриваться в случае применения новых, или недостаточно изученных конструкций сооружений или их фундаментов, а также если в задании на проектирование имеются специальные требования по проведению натурных наблюдений.</w:t>
      </w:r>
    </w:p>
    <w:p w:rsidR="00E35632" w:rsidRDefault="00E35632">
      <w:pPr>
        <w:pStyle w:val="ConsPlusNormal"/>
        <w:spacing w:before="220"/>
        <w:ind w:firstLine="540"/>
        <w:jc w:val="both"/>
      </w:pPr>
      <w:bookmarkStart w:id="4" w:name="P334"/>
      <w:bookmarkEnd w:id="4"/>
      <w:r>
        <w:t>4.17 При проектировании оснований и фундаментов сооружений повышенного уровня ответственности и особо опасных или их реконструкции, а также сооружений геотехнической категории 3, в т.ч., реконструируемых, при наличии окружающей застройки в зоне их влияния, следует предусматривать научно-техническое сопровождение строительства. Для выполнения научно-технического сопровождения необходимо привлекать специализированные организации.</w:t>
      </w:r>
    </w:p>
    <w:p w:rsidR="00E35632" w:rsidRDefault="00E35632">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000" w:firstRow="0" w:lastRow="0" w:firstColumn="0" w:lastColumn="0" w:noHBand="0" w:noVBand="0"/>
      </w:tblPr>
      <w:tblGrid>
        <w:gridCol w:w="60"/>
        <w:gridCol w:w="113"/>
        <w:gridCol w:w="9069"/>
        <w:gridCol w:w="113"/>
      </w:tblGrid>
      <w:tr w:rsidR="00E35632">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E35632" w:rsidRDefault="00E35632">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E35632" w:rsidRDefault="00E35632">
            <w:pPr>
              <w:pStyle w:val="ConsPlusNormal"/>
              <w:jc w:val="both"/>
            </w:pPr>
            <w:r>
              <w:rPr>
                <w:color w:val="392C69"/>
              </w:rPr>
              <w:t>КонсультантПлюс: примечание.</w:t>
            </w:r>
          </w:p>
          <w:p w:rsidR="00E35632" w:rsidRDefault="00E35632">
            <w:pPr>
              <w:pStyle w:val="ConsPlusNormal"/>
              <w:jc w:val="both"/>
            </w:pPr>
            <w:r>
              <w:rPr>
                <w:color w:val="392C69"/>
              </w:rPr>
              <w:t>Текст дан в соответствии с официальным текстом документа.</w:t>
            </w: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r>
    </w:tbl>
    <w:p w:rsidR="00E35632" w:rsidRDefault="00E35632">
      <w:pPr>
        <w:pStyle w:val="ConsPlusNormal"/>
        <w:spacing w:before="280"/>
        <w:ind w:firstLine="540"/>
        <w:jc w:val="both"/>
      </w:pPr>
      <w:r>
        <w:t>4.18 Состав работ по научно-техническому сопровождению инженерных изысканий, проектирования и строительства оснований, фундаментов и подземных частей сооружений следует определять генеральным проектировщиком и согласовываться заказчиком строительства. В состав работ научно-технического сопровождения могут быть включены:</w:t>
      </w:r>
    </w:p>
    <w:p w:rsidR="00E35632" w:rsidRDefault="00E35632">
      <w:pPr>
        <w:pStyle w:val="ConsPlusNormal"/>
        <w:spacing w:before="220"/>
        <w:ind w:firstLine="540"/>
        <w:jc w:val="both"/>
      </w:pPr>
      <w:r>
        <w:t>- разработка рекомендаций к заданию и программе инженерных изысканий;</w:t>
      </w:r>
    </w:p>
    <w:p w:rsidR="00E35632" w:rsidRDefault="00E35632">
      <w:pPr>
        <w:pStyle w:val="ConsPlusNormal"/>
        <w:jc w:val="both"/>
      </w:pPr>
      <w:r>
        <w:t xml:space="preserve">(в ред. </w:t>
      </w:r>
      <w:hyperlink r:id="rId176">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оценка и анализ материалов инженерных изысканий;</w:t>
      </w:r>
    </w:p>
    <w:p w:rsidR="00E35632" w:rsidRDefault="00E35632">
      <w:pPr>
        <w:pStyle w:val="ConsPlusNormal"/>
        <w:spacing w:before="220"/>
        <w:ind w:firstLine="540"/>
        <w:jc w:val="both"/>
      </w:pPr>
      <w:r>
        <w:t xml:space="preserve">- оценка достоверности инженерных изысканий по результатам технического контроля инженерных изысканий, включая лабораторные испытания грунтов (в объеме порядка 5% общего </w:t>
      </w:r>
      <w:r>
        <w:lastRenderedPageBreak/>
        <w:t>количества образцов), составление отчета по контрольным испытаниям;</w:t>
      </w:r>
    </w:p>
    <w:p w:rsidR="00E35632" w:rsidRDefault="00E35632">
      <w:pPr>
        <w:pStyle w:val="ConsPlusNormal"/>
        <w:jc w:val="both"/>
      </w:pPr>
      <w:r>
        <w:t xml:space="preserve">(перечисление введено </w:t>
      </w:r>
      <w:hyperlink r:id="rId177">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t>- разработка нестандартных методов расчета и анализа;</w:t>
      </w:r>
    </w:p>
    <w:p w:rsidR="00E35632" w:rsidRDefault="00E35632">
      <w:pPr>
        <w:pStyle w:val="ConsPlusNormal"/>
        <w:spacing w:before="220"/>
        <w:ind w:firstLine="540"/>
        <w:jc w:val="both"/>
      </w:pPr>
      <w:r>
        <w:t>- оценка геологических рисков;</w:t>
      </w:r>
    </w:p>
    <w:p w:rsidR="00E35632" w:rsidRDefault="00E35632">
      <w:pPr>
        <w:pStyle w:val="ConsPlusNormal"/>
        <w:spacing w:before="220"/>
        <w:ind w:firstLine="540"/>
        <w:jc w:val="both"/>
      </w:pPr>
      <w:r>
        <w:t>- прогноз состояния оснований и фундаментов проектируемого объекта с учетом всех возможных видов воздействий;</w:t>
      </w:r>
    </w:p>
    <w:p w:rsidR="00E35632" w:rsidRDefault="00E35632">
      <w:pPr>
        <w:pStyle w:val="ConsPlusNormal"/>
        <w:spacing w:before="220"/>
        <w:ind w:firstLine="540"/>
        <w:jc w:val="both"/>
      </w:pPr>
      <w:r>
        <w:t>- геотехнический прогноз влияния строительства на окружающую застройку, геологическую среду и экологическую обстановку;</w:t>
      </w:r>
    </w:p>
    <w:p w:rsidR="00E35632" w:rsidRDefault="00E35632">
      <w:pPr>
        <w:pStyle w:val="ConsPlusNormal"/>
        <w:spacing w:before="220"/>
        <w:ind w:firstLine="540"/>
        <w:jc w:val="both"/>
      </w:pPr>
      <w:r>
        <w:t>- разработка программы геотехнического и экологического мониторинга;</w:t>
      </w:r>
    </w:p>
    <w:p w:rsidR="00E35632" w:rsidRDefault="00E35632">
      <w:pPr>
        <w:pStyle w:val="ConsPlusNormal"/>
        <w:spacing w:before="220"/>
        <w:ind w:firstLine="540"/>
        <w:jc w:val="both"/>
      </w:pPr>
      <w:r>
        <w:t>- выявление возможных сценариев аварийных ситуаций;</w:t>
      </w:r>
    </w:p>
    <w:p w:rsidR="00E35632" w:rsidRDefault="00E35632">
      <w:pPr>
        <w:pStyle w:val="ConsPlusNormal"/>
        <w:spacing w:before="220"/>
        <w:ind w:firstLine="540"/>
        <w:jc w:val="both"/>
      </w:pPr>
      <w:r>
        <w:t>- разработка технологических регламентов на специальные виды работ;</w:t>
      </w:r>
    </w:p>
    <w:p w:rsidR="00E35632" w:rsidRDefault="00E35632">
      <w:pPr>
        <w:pStyle w:val="ConsPlusNormal"/>
        <w:spacing w:before="220"/>
        <w:ind w:firstLine="540"/>
        <w:jc w:val="both"/>
      </w:pPr>
      <w:r>
        <w:t>- выполнение опытно-исследовательских работ;</w:t>
      </w:r>
    </w:p>
    <w:p w:rsidR="00E35632" w:rsidRDefault="00E35632">
      <w:pPr>
        <w:pStyle w:val="ConsPlusNormal"/>
        <w:spacing w:before="220"/>
        <w:ind w:firstLine="540"/>
        <w:jc w:val="both"/>
      </w:pPr>
      <w:r>
        <w:t>- обобщение и анализ результатов всех видов геотехнического мониторинга, их сопоставление с результатами прогноза;</w:t>
      </w:r>
    </w:p>
    <w:p w:rsidR="00E35632" w:rsidRDefault="00E35632">
      <w:pPr>
        <w:pStyle w:val="ConsPlusNormal"/>
        <w:spacing w:before="220"/>
        <w:ind w:firstLine="540"/>
        <w:jc w:val="both"/>
      </w:pPr>
      <w:r>
        <w:t>- оперативная разработка рекомендаций или корректировка проектных решений на основании данных геотехнического мониторинга при выявлении отклонений от результатов прогноза.</w:t>
      </w:r>
    </w:p>
    <w:p w:rsidR="00E35632" w:rsidRDefault="00E35632">
      <w:pPr>
        <w:pStyle w:val="ConsPlusNormal"/>
        <w:spacing w:before="220"/>
        <w:ind w:firstLine="540"/>
        <w:jc w:val="both"/>
      </w:pPr>
      <w:bookmarkStart w:id="5" w:name="P353"/>
      <w:bookmarkEnd w:id="5"/>
      <w:r>
        <w:t>4.19 Программа и результаты инженерных изысканий, проектная документация на основания, фундаменты и конструкции подземных частей вновь возводимых (реконструируемых) сооружений, включая ограждения котлованов, а также результаты геотехнического прогноза, проекты защитных мероприятий и программа геотехнического мониторинга подлежат геотехнической экспертизе для следующих сооружений:</w:t>
      </w:r>
    </w:p>
    <w:p w:rsidR="00E35632" w:rsidRDefault="00E35632">
      <w:pPr>
        <w:pStyle w:val="ConsPlusNormal"/>
        <w:spacing w:before="220"/>
        <w:ind w:firstLine="540"/>
        <w:jc w:val="both"/>
      </w:pPr>
      <w:r>
        <w:t>- особо опасных и уникальных;</w:t>
      </w:r>
    </w:p>
    <w:p w:rsidR="00E35632" w:rsidRDefault="00E35632">
      <w:pPr>
        <w:pStyle w:val="ConsPlusNormal"/>
        <w:spacing w:before="220"/>
        <w:ind w:firstLine="540"/>
        <w:jc w:val="both"/>
      </w:pPr>
      <w:r>
        <w:t>- повышенного уровня ответственности;</w:t>
      </w:r>
    </w:p>
    <w:p w:rsidR="00E35632" w:rsidRDefault="00E35632">
      <w:pPr>
        <w:pStyle w:val="ConsPlusNormal"/>
        <w:spacing w:before="220"/>
        <w:ind w:firstLine="540"/>
        <w:jc w:val="both"/>
      </w:pPr>
      <w:r>
        <w:t>- геотехнической категории 3;</w:t>
      </w:r>
    </w:p>
    <w:p w:rsidR="00E35632" w:rsidRDefault="00E35632">
      <w:pPr>
        <w:pStyle w:val="ConsPlusNormal"/>
        <w:spacing w:before="220"/>
        <w:ind w:firstLine="540"/>
        <w:jc w:val="both"/>
      </w:pPr>
      <w:r>
        <w:t>- с подземной частью глубиной заложения более 5 м;</w:t>
      </w:r>
    </w:p>
    <w:p w:rsidR="00E35632" w:rsidRDefault="00E35632">
      <w:pPr>
        <w:pStyle w:val="ConsPlusNormal"/>
        <w:spacing w:before="220"/>
        <w:ind w:firstLine="540"/>
        <w:jc w:val="both"/>
      </w:pPr>
      <w:r>
        <w:t>- в зоне влияния которых расположены сооружения окружающей застройки;</w:t>
      </w:r>
    </w:p>
    <w:p w:rsidR="00E35632" w:rsidRDefault="00E35632">
      <w:pPr>
        <w:pStyle w:val="ConsPlusNormal"/>
        <w:spacing w:before="220"/>
        <w:ind w:firstLine="540"/>
        <w:jc w:val="both"/>
      </w:pPr>
      <w:r>
        <w:t>- размещаемых на территориях с возможным развитием опасных инженерно-геологических процессов.</w:t>
      </w:r>
    </w:p>
    <w:p w:rsidR="00E35632" w:rsidRDefault="00E35632">
      <w:pPr>
        <w:pStyle w:val="ConsPlusNormal"/>
        <w:spacing w:before="220"/>
        <w:ind w:firstLine="540"/>
        <w:jc w:val="both"/>
      </w:pPr>
      <w:r>
        <w:t>Примечание - Геотехническую экспертизу осуществляют специализированные организации, имеющие аккредитацию на право проведения негосударственной экспертизы.</w:t>
      </w:r>
    </w:p>
    <w:p w:rsidR="00E35632" w:rsidRDefault="00E35632">
      <w:pPr>
        <w:pStyle w:val="ConsPlusNormal"/>
        <w:jc w:val="both"/>
      </w:pPr>
    </w:p>
    <w:p w:rsidR="00E35632" w:rsidRDefault="00E35632">
      <w:pPr>
        <w:pStyle w:val="ConsPlusNormal"/>
        <w:ind w:firstLine="540"/>
        <w:jc w:val="both"/>
      </w:pPr>
      <w:r>
        <w:t xml:space="preserve">4.20 При проектировании фундаментов и конструкций подземных сооружений из монолитного, сборного бетона или железобетона, каменной или кирпичной кладки следует руководствоваться </w:t>
      </w:r>
      <w:hyperlink r:id="rId178">
        <w:r>
          <w:rPr>
            <w:color w:val="0000FF"/>
          </w:rPr>
          <w:t>СП 63.13330</w:t>
        </w:r>
      </w:hyperlink>
      <w:r>
        <w:t xml:space="preserve">, </w:t>
      </w:r>
      <w:hyperlink r:id="rId179">
        <w:r>
          <w:rPr>
            <w:color w:val="0000FF"/>
          </w:rPr>
          <w:t>СП 15.13330</w:t>
        </w:r>
      </w:hyperlink>
      <w:r>
        <w:t xml:space="preserve">, </w:t>
      </w:r>
      <w:hyperlink r:id="rId180">
        <w:r>
          <w:rPr>
            <w:color w:val="0000FF"/>
          </w:rPr>
          <w:t>СП 28.13330</w:t>
        </w:r>
      </w:hyperlink>
      <w:r>
        <w:t xml:space="preserve">, </w:t>
      </w:r>
      <w:hyperlink r:id="rId181">
        <w:r>
          <w:rPr>
            <w:color w:val="0000FF"/>
          </w:rPr>
          <w:t>СП 70.13330</w:t>
        </w:r>
      </w:hyperlink>
      <w:r>
        <w:t xml:space="preserve">, </w:t>
      </w:r>
      <w:hyperlink r:id="rId182">
        <w:r>
          <w:rPr>
            <w:color w:val="0000FF"/>
          </w:rPr>
          <w:t>СП 71.13330</w:t>
        </w:r>
      </w:hyperlink>
      <w:r>
        <w:t>.</w:t>
      </w:r>
    </w:p>
    <w:p w:rsidR="00E35632" w:rsidRDefault="00E35632">
      <w:pPr>
        <w:pStyle w:val="ConsPlusNormal"/>
        <w:spacing w:before="220"/>
        <w:ind w:firstLine="540"/>
        <w:jc w:val="both"/>
      </w:pPr>
      <w:r>
        <w:t xml:space="preserve">4.21 Применяемые при строительстве материалы, изделия и конструкции должны удовлетворять требованиям проекта, соответствующих стандартов и технических условий. Замена предусмотренных проектом материалов, изделий и конструкций допускается только по </w:t>
      </w:r>
      <w:r>
        <w:lastRenderedPageBreak/>
        <w:t>согласованию с проектной организацией и заказчиком.</w:t>
      </w:r>
    </w:p>
    <w:p w:rsidR="00E35632" w:rsidRDefault="00E35632">
      <w:pPr>
        <w:pStyle w:val="ConsPlusNormal"/>
        <w:spacing w:before="220"/>
        <w:ind w:firstLine="540"/>
        <w:jc w:val="both"/>
      </w:pPr>
      <w:r>
        <w:t>4.22 Применение изделий металлопроката, бывших в употреблении (эксплуатации), в постоянных конструкциях, воспринимающих эксплуатационные нагрузки и воздействия, не допускается. Возможность применения изделий металлопроката, бывших в употреблении (эксплуатации), для временных конструкций и в качестве монтажных элементов следует устанавливать проектом. В качестве элементов ограждений котлованов и их креплений допускается применение изделий из металлопроката, бывших в употреблении (эксплуатации), при соответствующем расчетном обосновании и приемочном контроле, предусмотренным проектом.</w:t>
      </w:r>
    </w:p>
    <w:p w:rsidR="00E35632" w:rsidRDefault="00E35632">
      <w:pPr>
        <w:pStyle w:val="ConsPlusNormal"/>
        <w:spacing w:before="220"/>
        <w:ind w:firstLine="540"/>
        <w:jc w:val="both"/>
      </w:pPr>
      <w:r>
        <w:t>4.23 При проектировании оснований должна быть предусмотрена срезка плодородного слоя почвы для последующего использования в целях восстановления (рекультивации) нарушенных или малопродуктивных сельскохозяйственных земель, озеленения района застройки и т.п.</w:t>
      </w:r>
    </w:p>
    <w:p w:rsidR="00E35632" w:rsidRDefault="00E35632">
      <w:pPr>
        <w:pStyle w:val="ConsPlusNormal"/>
        <w:spacing w:before="220"/>
        <w:ind w:firstLine="540"/>
        <w:jc w:val="both"/>
      </w:pPr>
      <w:r>
        <w:t xml:space="preserve">4.24 На участках, где по данным инженерно-экологических изысканий имеются выделения газов (радона, метана и др.), должны быть предусмотрены мероприятия по изоляции соприкасающихся с грунтом конструкций или способствующие снижению концентрации газов в соответствии с требованиями </w:t>
      </w:r>
      <w:hyperlink r:id="rId183">
        <w:r>
          <w:rPr>
            <w:color w:val="0000FF"/>
          </w:rPr>
          <w:t>СанПиН 2.1.3684</w:t>
        </w:r>
      </w:hyperlink>
      <w:r>
        <w:t>.</w:t>
      </w:r>
    </w:p>
    <w:p w:rsidR="00E35632" w:rsidRDefault="00E35632">
      <w:pPr>
        <w:pStyle w:val="ConsPlusNormal"/>
        <w:jc w:val="both"/>
      </w:pPr>
      <w:r>
        <w:t xml:space="preserve">(в ред. </w:t>
      </w:r>
      <w:hyperlink r:id="rId184">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4.25 При возведении монолитных фундаментов в любых подстилающих грунтах (кроме скальных) следует предусматривать устройство бетонной подготовки, предотвращающей утечки раствора из бетонной смеси бетонируемого фундамента, снижающей расход бетонной смеси, обеспечивающей установку арматуры фундаментов. Допускается применение щебеночной или песчаной подготовки с цементной стяжкой, а также геомембран.</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1 Толщину бетонной подготовки, класс прочности бетона на сжатие, а также необходимость ее армирования следует назначать в зависимости от передаваемых монтажных и эксплуатационных нагрузок. Как правило, применяются бетонные подготовки толщиной не менее 100 мм из бетона класса прочности на сжатие не менее B7,5.</w:t>
      </w:r>
    </w:p>
    <w:p w:rsidR="00E35632" w:rsidRDefault="00E35632">
      <w:pPr>
        <w:pStyle w:val="ConsPlusNormal"/>
        <w:spacing w:before="220"/>
        <w:ind w:firstLine="540"/>
        <w:jc w:val="both"/>
      </w:pPr>
      <w:r>
        <w:t>2 При соответствующем обосновании допускается бетонирование фундаментов без подготовки, в этом случае толщину защитного слоя арматуры принимают не менее 70 мм.</w:t>
      </w:r>
    </w:p>
    <w:p w:rsidR="00E35632" w:rsidRDefault="00E35632">
      <w:pPr>
        <w:pStyle w:val="ConsPlusNormal"/>
        <w:spacing w:before="220"/>
        <w:ind w:firstLine="540"/>
        <w:jc w:val="both"/>
      </w:pPr>
      <w:r>
        <w:t>3 В случае применении геомембран подготовка может являться частью гидроизоляционного контура.</w:t>
      </w:r>
    </w:p>
    <w:p w:rsidR="00E35632" w:rsidRDefault="00E35632">
      <w:pPr>
        <w:pStyle w:val="ConsPlusNormal"/>
        <w:jc w:val="both"/>
      </w:pPr>
      <w:r>
        <w:t xml:space="preserve">(п. 4.25 введен </w:t>
      </w:r>
      <w:hyperlink r:id="rId185">
        <w:r>
          <w:rPr>
            <w:color w:val="0000FF"/>
          </w:rPr>
          <w:t>Изменением N 3</w:t>
        </w:r>
      </w:hyperlink>
      <w:r>
        <w:t>, утв. Приказом Минстроя России от 22.11.2019 N 722/пр)</w:t>
      </w:r>
    </w:p>
    <w:p w:rsidR="00E35632" w:rsidRDefault="00E35632">
      <w:pPr>
        <w:pStyle w:val="ConsPlusNormal"/>
        <w:jc w:val="both"/>
      </w:pPr>
    </w:p>
    <w:p w:rsidR="00E35632" w:rsidRDefault="00E35632">
      <w:pPr>
        <w:pStyle w:val="ConsPlusTitle"/>
        <w:ind w:firstLine="540"/>
        <w:jc w:val="both"/>
        <w:outlineLvl w:val="1"/>
      </w:pPr>
      <w:bookmarkStart w:id="6" w:name="P375"/>
      <w:bookmarkEnd w:id="6"/>
      <w:r>
        <w:t>5 Проектирование оснований</w:t>
      </w:r>
    </w:p>
    <w:p w:rsidR="00E35632" w:rsidRDefault="00E35632">
      <w:pPr>
        <w:pStyle w:val="ConsPlusNormal"/>
        <w:jc w:val="both"/>
      </w:pPr>
    </w:p>
    <w:p w:rsidR="00E35632" w:rsidRDefault="00E35632">
      <w:pPr>
        <w:pStyle w:val="ConsPlusTitle"/>
        <w:ind w:firstLine="540"/>
        <w:jc w:val="both"/>
        <w:outlineLvl w:val="2"/>
      </w:pPr>
      <w:bookmarkStart w:id="7" w:name="P377"/>
      <w:bookmarkEnd w:id="7"/>
      <w:r>
        <w:t>5.1 Общие указания</w:t>
      </w:r>
    </w:p>
    <w:p w:rsidR="00E35632" w:rsidRDefault="00E35632">
      <w:pPr>
        <w:pStyle w:val="ConsPlusNormal"/>
        <w:spacing w:before="220"/>
        <w:ind w:firstLine="540"/>
        <w:jc w:val="both"/>
      </w:pPr>
      <w:r>
        <w:t xml:space="preserve">5.1.1 Проектные решения оснований и фундаментов должны удовлетворять требованиям безопасности, устанавливаемым </w:t>
      </w:r>
      <w:hyperlink w:anchor="P8327">
        <w:r>
          <w:rPr>
            <w:color w:val="0000FF"/>
          </w:rPr>
          <w:t>[2]</w:t>
        </w:r>
      </w:hyperlink>
      <w:r>
        <w:t>.</w:t>
      </w:r>
    </w:p>
    <w:p w:rsidR="00E35632" w:rsidRDefault="00E35632">
      <w:pPr>
        <w:pStyle w:val="ConsPlusNormal"/>
        <w:spacing w:before="220"/>
        <w:ind w:firstLine="540"/>
        <w:jc w:val="both"/>
      </w:pPr>
      <w:r>
        <w:t xml:space="preserve">Требования к долговечности оснований и фундаментов следует определять техническим заданием на проектирование сооружения в целом в соответствии с </w:t>
      </w:r>
      <w:hyperlink r:id="rId186">
        <w:r>
          <w:rPr>
            <w:color w:val="0000FF"/>
          </w:rPr>
          <w:t>ГОСТ 27751</w:t>
        </w:r>
      </w:hyperlink>
      <w:r>
        <w:t>.</w:t>
      </w:r>
    </w:p>
    <w:p w:rsidR="00E35632" w:rsidRDefault="00E35632">
      <w:pPr>
        <w:pStyle w:val="ConsPlusNormal"/>
        <w:spacing w:before="220"/>
        <w:ind w:firstLine="540"/>
        <w:jc w:val="both"/>
      </w:pPr>
      <w:r>
        <w:t>5.1.2 При проектировании оснований и фундаментов сооружений должны быть рассмотрены все проектные ситуации и их сценарии как для стадии строительства сооружения, так и для стадии его эксплуатации.</w:t>
      </w:r>
    </w:p>
    <w:p w:rsidR="00E35632" w:rsidRDefault="00E35632">
      <w:pPr>
        <w:pStyle w:val="ConsPlusNormal"/>
        <w:spacing w:before="220"/>
        <w:ind w:firstLine="540"/>
        <w:jc w:val="both"/>
      </w:pPr>
      <w:r>
        <w:t xml:space="preserve">Для каждой проектной ситуации и их сценария следует проверить, что невозможно достижение ни одного из предельных состояний в соответствии с требованиями </w:t>
      </w:r>
      <w:hyperlink r:id="rId187">
        <w:r>
          <w:rPr>
            <w:color w:val="0000FF"/>
          </w:rPr>
          <w:t>ГОСТ 27751</w:t>
        </w:r>
      </w:hyperlink>
      <w:r>
        <w:t xml:space="preserve">, </w:t>
      </w:r>
      <w:r>
        <w:lastRenderedPageBreak/>
        <w:t>настоящего свода правил.</w:t>
      </w:r>
    </w:p>
    <w:p w:rsidR="00E35632" w:rsidRDefault="00E35632">
      <w:pPr>
        <w:pStyle w:val="ConsPlusNormal"/>
        <w:spacing w:before="220"/>
        <w:ind w:firstLine="540"/>
        <w:jc w:val="both"/>
      </w:pPr>
      <w:bookmarkStart w:id="8" w:name="P382"/>
      <w:bookmarkEnd w:id="8"/>
      <w:r>
        <w:t>5.1.3 Проектирование оснований и фундаментов должно включать обоснованный выбор следующих проектных параметров и характеристик:</w:t>
      </w:r>
    </w:p>
    <w:p w:rsidR="00E35632" w:rsidRDefault="00E35632">
      <w:pPr>
        <w:pStyle w:val="ConsPlusNormal"/>
        <w:spacing w:before="220"/>
        <w:ind w:firstLine="540"/>
        <w:jc w:val="both"/>
      </w:pPr>
      <w:r>
        <w:t>- типа основания (естественное или искусственное);</w:t>
      </w:r>
    </w:p>
    <w:p w:rsidR="00E35632" w:rsidRDefault="00E35632">
      <w:pPr>
        <w:pStyle w:val="ConsPlusNormal"/>
        <w:spacing w:before="220"/>
        <w:ind w:firstLine="540"/>
        <w:jc w:val="both"/>
      </w:pPr>
      <w:r>
        <w:t>- типа, конструкции, материала и размеров фундаментов (мелкого или глубокого заложения; ленточные, столбчатые, плитные, комбинированные и др.; железобетонные, бетонные, из каменной или кирпичной кладки и др.);</w:t>
      </w:r>
    </w:p>
    <w:p w:rsidR="00E35632" w:rsidRDefault="00E35632">
      <w:pPr>
        <w:pStyle w:val="ConsPlusNormal"/>
        <w:spacing w:before="220"/>
        <w:ind w:firstLine="540"/>
        <w:jc w:val="both"/>
      </w:pPr>
      <w:r>
        <w:t xml:space="preserve">- мероприятий, указанных в </w:t>
      </w:r>
      <w:hyperlink w:anchor="P2257">
        <w:r>
          <w:rPr>
            <w:color w:val="0000FF"/>
          </w:rPr>
          <w:t>5.9</w:t>
        </w:r>
      </w:hyperlink>
      <w:r>
        <w:t>, применяемых при необходимости снижения влияния деформаций оснований на эксплуатационную надежность сооружений;</w:t>
      </w:r>
    </w:p>
    <w:p w:rsidR="00E35632" w:rsidRDefault="00E35632">
      <w:pPr>
        <w:pStyle w:val="ConsPlusNormal"/>
        <w:spacing w:before="220"/>
        <w:ind w:firstLine="540"/>
        <w:jc w:val="both"/>
      </w:pPr>
      <w:r>
        <w:t>- мероприятий, применяемых для снижения деформаций окружающей застройки;</w:t>
      </w:r>
    </w:p>
    <w:p w:rsidR="00E35632" w:rsidRDefault="00E35632">
      <w:pPr>
        <w:pStyle w:val="ConsPlusNormal"/>
        <w:spacing w:before="220"/>
        <w:ind w:firstLine="540"/>
        <w:jc w:val="both"/>
      </w:pPr>
      <w:r>
        <w:t>- мероприятий, применяемых для снижения неблагоприятного влияния на окружающую среду.</w:t>
      </w:r>
    </w:p>
    <w:p w:rsidR="00E35632" w:rsidRDefault="00E35632">
      <w:pPr>
        <w:pStyle w:val="ConsPlusNormal"/>
        <w:spacing w:before="220"/>
        <w:ind w:firstLine="540"/>
        <w:jc w:val="both"/>
      </w:pPr>
      <w:r>
        <w:t>5.1.4 Соответствие проектных параметров и характеристик оснований и фундаментов сооружения требованиям безопасности, а также проектируемые мероприятия по обеспечению их безопасности должны быть обоснованы:</w:t>
      </w:r>
    </w:p>
    <w:p w:rsidR="00E35632" w:rsidRDefault="00E35632">
      <w:pPr>
        <w:pStyle w:val="ConsPlusNormal"/>
        <w:spacing w:before="220"/>
        <w:ind w:firstLine="540"/>
        <w:jc w:val="both"/>
      </w:pPr>
      <w:r>
        <w:t xml:space="preserve">- ссылками на требования </w:t>
      </w:r>
      <w:hyperlink w:anchor="P8327">
        <w:r>
          <w:rPr>
            <w:color w:val="0000FF"/>
          </w:rPr>
          <w:t>[2]</w:t>
        </w:r>
      </w:hyperlink>
      <w:r>
        <w:t xml:space="preserve">, стандартов и сводов правил, включенных в перечни, указанные в </w:t>
      </w:r>
      <w:hyperlink r:id="rId188">
        <w:r>
          <w:rPr>
            <w:color w:val="0000FF"/>
          </w:rPr>
          <w:t>частях 1</w:t>
        </w:r>
      </w:hyperlink>
      <w:r>
        <w:t xml:space="preserve"> и </w:t>
      </w:r>
      <w:hyperlink r:id="rId189">
        <w:r>
          <w:rPr>
            <w:color w:val="0000FF"/>
          </w:rPr>
          <w:t>7 статьи 6</w:t>
        </w:r>
      </w:hyperlink>
      <w:r>
        <w:t xml:space="preserve"> </w:t>
      </w:r>
      <w:hyperlink w:anchor="P8327">
        <w:r>
          <w:rPr>
            <w:color w:val="0000FF"/>
          </w:rPr>
          <w:t>[2]</w:t>
        </w:r>
      </w:hyperlink>
      <w:r>
        <w:t>;</w:t>
      </w:r>
    </w:p>
    <w:p w:rsidR="00E35632" w:rsidRDefault="00E35632">
      <w:pPr>
        <w:pStyle w:val="ConsPlusNormal"/>
        <w:spacing w:before="220"/>
        <w:ind w:firstLine="540"/>
        <w:jc w:val="both"/>
      </w:pPr>
      <w:r>
        <w:t>- расчетами и (или) испытаниями;</w:t>
      </w:r>
    </w:p>
    <w:p w:rsidR="00E35632" w:rsidRDefault="00E35632">
      <w:pPr>
        <w:pStyle w:val="ConsPlusNormal"/>
        <w:spacing w:before="220"/>
        <w:ind w:firstLine="540"/>
        <w:jc w:val="both"/>
      </w:pPr>
      <w:r>
        <w:t>- результатами исследований, в том числе экспериментальных;</w:t>
      </w:r>
    </w:p>
    <w:p w:rsidR="00E35632" w:rsidRDefault="00E35632">
      <w:pPr>
        <w:pStyle w:val="ConsPlusNormal"/>
        <w:spacing w:before="220"/>
        <w:ind w:firstLine="540"/>
        <w:jc w:val="both"/>
      </w:pPr>
      <w:r>
        <w:t>- моделированием сценариев возникновения опасных природных процессов и явлений и (или) техногенных воздействий;</w:t>
      </w:r>
    </w:p>
    <w:p w:rsidR="00E35632" w:rsidRDefault="00E35632">
      <w:pPr>
        <w:pStyle w:val="ConsPlusNormal"/>
        <w:spacing w:before="220"/>
        <w:ind w:firstLine="540"/>
        <w:jc w:val="both"/>
      </w:pPr>
      <w:r>
        <w:t>- оценкой риска возникновения опасных природных процессов и явлений и (или) техногенных воздействий.</w:t>
      </w:r>
    </w:p>
    <w:p w:rsidR="00E35632" w:rsidRDefault="00E35632">
      <w:pPr>
        <w:pStyle w:val="ConsPlusNormal"/>
        <w:spacing w:before="220"/>
        <w:ind w:firstLine="540"/>
        <w:jc w:val="both"/>
      </w:pPr>
      <w:r>
        <w:t xml:space="preserve">5.1.4а При проектировании оснований и фундаментов должна выполняться оценка эффективности принимаемых проектных решений. Для оценки эффективности принимаемых проектных решений, в дополнение к основным проектным параметрам (осадка, относительная разность осадок, крен и т.д.), следует определять критерии конструктивной и экономической эффективности. Определение критериев эффективности следует выполнять с учетом указаний </w:t>
      </w:r>
      <w:hyperlink w:anchor="P8265">
        <w:r>
          <w:rPr>
            <w:color w:val="0000FF"/>
          </w:rPr>
          <w:t>приложения Р</w:t>
        </w:r>
      </w:hyperlink>
      <w:r>
        <w:t>.</w:t>
      </w:r>
    </w:p>
    <w:p w:rsidR="00E35632" w:rsidRDefault="00E35632">
      <w:pPr>
        <w:pStyle w:val="ConsPlusNormal"/>
        <w:jc w:val="both"/>
      </w:pPr>
      <w:r>
        <w:t xml:space="preserve">(п. 5.1.4а введен </w:t>
      </w:r>
      <w:hyperlink r:id="rId190">
        <w:r>
          <w:rPr>
            <w:color w:val="0000FF"/>
          </w:rPr>
          <w:t>Изменением N 2</w:t>
        </w:r>
      </w:hyperlink>
      <w:r>
        <w:t>, утв. Приказом Минстроя России от 24.01.2019 N 43/пр)</w:t>
      </w:r>
    </w:p>
    <w:p w:rsidR="00E35632" w:rsidRDefault="00E35632">
      <w:pPr>
        <w:pStyle w:val="ConsPlusNormal"/>
        <w:spacing w:before="220"/>
        <w:ind w:firstLine="540"/>
        <w:jc w:val="both"/>
      </w:pPr>
      <w:bookmarkStart w:id="9" w:name="P396"/>
      <w:bookmarkEnd w:id="9"/>
      <w:r>
        <w:t>5.1.5 При проектировании основания и фундаменты следует проверять по двум группам предельных состояний.</w:t>
      </w:r>
    </w:p>
    <w:p w:rsidR="00E35632" w:rsidRDefault="00E35632">
      <w:pPr>
        <w:pStyle w:val="ConsPlusNormal"/>
        <w:spacing w:before="220"/>
        <w:ind w:firstLine="540"/>
        <w:jc w:val="both"/>
      </w:pPr>
      <w:r>
        <w:t>К первой группе предельных состояний относятся состояния, приводящие сооружение и основание к полной непригодности к эксплуатации (потеря устойчивости формы и положения; хрупкое, вязкое или иного характера разрушение; резонансные колебания; чрезмерные деформации основания и т.п.).</w:t>
      </w:r>
    </w:p>
    <w:p w:rsidR="00E35632" w:rsidRDefault="00E35632">
      <w:pPr>
        <w:pStyle w:val="ConsPlusNormal"/>
        <w:spacing w:before="220"/>
        <w:ind w:firstLine="540"/>
        <w:jc w:val="both"/>
      </w:pPr>
      <w:r>
        <w:t>Ко второй группе предельных состояний относятся состояния, затрудняющие нормальную эксплуатацию сооружения, снижающие его долговечность вследствие недопустимых перемещений (осадок, подъемов, прогибов, кренов, углов поворота, колебаний, трещин и т.п.).</w:t>
      </w:r>
    </w:p>
    <w:p w:rsidR="00E35632" w:rsidRDefault="00E35632">
      <w:pPr>
        <w:pStyle w:val="ConsPlusNormal"/>
        <w:spacing w:before="220"/>
        <w:ind w:firstLine="540"/>
        <w:jc w:val="both"/>
      </w:pPr>
      <w:bookmarkStart w:id="10" w:name="P399"/>
      <w:bookmarkEnd w:id="10"/>
      <w:r>
        <w:t xml:space="preserve">5.1.6 Проектные решения оснований и фундаментов должны обеспечивать невозможность </w:t>
      </w:r>
      <w:r>
        <w:lastRenderedPageBreak/>
        <w:t>наступления какого-либо предельного состояния.</w:t>
      </w:r>
    </w:p>
    <w:p w:rsidR="00E35632" w:rsidRDefault="00E35632">
      <w:pPr>
        <w:pStyle w:val="ConsPlusNormal"/>
        <w:spacing w:before="220"/>
        <w:ind w:firstLine="540"/>
        <w:jc w:val="both"/>
      </w:pPr>
      <w:r>
        <w:t xml:space="preserve">Для этого при выполнении расчетов, испытаний и проверок следует использовать частные коэффициенты надежности, учитывающие возможные неблагоприятные отклонения тех или иных параметров, условий строительства и эксплуатации, а также необходимость повышения надежности для отдельных видов строительных объектов. Коэффициенты надежности следует принимать в соответствии с </w:t>
      </w:r>
      <w:hyperlink r:id="rId191">
        <w:r>
          <w:rPr>
            <w:color w:val="0000FF"/>
          </w:rPr>
          <w:t>ГОСТ 27751</w:t>
        </w:r>
      </w:hyperlink>
      <w:r>
        <w:t xml:space="preserve">, </w:t>
      </w:r>
      <w:hyperlink r:id="rId192">
        <w:r>
          <w:rPr>
            <w:color w:val="0000FF"/>
          </w:rPr>
          <w:t>СП 20.13330</w:t>
        </w:r>
      </w:hyperlink>
      <w:r>
        <w:t>, настоящим сводом правил.</w:t>
      </w:r>
    </w:p>
    <w:p w:rsidR="00E35632" w:rsidRDefault="00E35632">
      <w:pPr>
        <w:pStyle w:val="ConsPlusNormal"/>
        <w:spacing w:before="220"/>
        <w:ind w:firstLine="540"/>
        <w:jc w:val="both"/>
      </w:pPr>
      <w:r>
        <w:t xml:space="preserve">5.1.7 Целью расчета или проверки оснований по предельным состояниям является выбор технического решения фундаментов, обеспечивающего невозможность достижения основанием предельных состояний, указанных в </w:t>
      </w:r>
      <w:hyperlink w:anchor="P396">
        <w:r>
          <w:rPr>
            <w:color w:val="0000FF"/>
          </w:rPr>
          <w:t>5.1.5</w:t>
        </w:r>
      </w:hyperlink>
      <w:r>
        <w:t>. При этом следует учитывать не только нагрузки от проектируемого сооружения, но также возможное неблагоприятное влияние внешней среды, приводящее к изменению физико-механических свойств грунтов (например, под влиянием поверхностных или подземных вод, климатических факторов, различного вида тепловых источников, техногенных воздействий и т.д.). К изменению влажности особенно чувствительны просадочные, набухающие и засоленные грунты, к изменению температурного режима - набухающие и пучинистые грунты.</w:t>
      </w:r>
    </w:p>
    <w:p w:rsidR="00E35632" w:rsidRDefault="00E35632">
      <w:pPr>
        <w:pStyle w:val="ConsPlusNormal"/>
        <w:spacing w:before="220"/>
        <w:ind w:firstLine="540"/>
        <w:jc w:val="both"/>
      </w:pPr>
      <w:r>
        <w:t xml:space="preserve">5.1.8 Основания следует проверять по деформациям во всех случаях, за исключением указанных в </w:t>
      </w:r>
      <w:hyperlink w:anchor="P1803">
        <w:r>
          <w:rPr>
            <w:color w:val="0000FF"/>
          </w:rPr>
          <w:t>5.6.52</w:t>
        </w:r>
      </w:hyperlink>
      <w:r>
        <w:t xml:space="preserve"> для сооружений геотехнических категорий 1 и 2.</w:t>
      </w:r>
    </w:p>
    <w:p w:rsidR="00E35632" w:rsidRDefault="00E35632">
      <w:pPr>
        <w:pStyle w:val="ConsPlusNormal"/>
        <w:spacing w:before="220"/>
        <w:ind w:firstLine="540"/>
        <w:jc w:val="both"/>
      </w:pPr>
      <w:bookmarkStart w:id="11" w:name="P403"/>
      <w:bookmarkEnd w:id="11"/>
      <w:r>
        <w:t>5.1.9 Проверку оснований по несущей способности следует проводить в случаях, если:</w:t>
      </w:r>
    </w:p>
    <w:p w:rsidR="00E35632" w:rsidRDefault="00E35632">
      <w:pPr>
        <w:pStyle w:val="ConsPlusNormal"/>
        <w:spacing w:before="220"/>
        <w:ind w:firstLine="540"/>
        <w:jc w:val="both"/>
      </w:pPr>
      <w:bookmarkStart w:id="12" w:name="P404"/>
      <w:bookmarkEnd w:id="12"/>
      <w:r>
        <w:t>а) на основание передаются значительные горизонтальные нагрузки (подпорные стены, фундаменты распорных конструкций, углубление подвалов реконструируемых сооружений и т.п.), в том числе сейсмические;</w:t>
      </w:r>
    </w:p>
    <w:p w:rsidR="00E35632" w:rsidRDefault="00E35632">
      <w:pPr>
        <w:pStyle w:val="ConsPlusNormal"/>
        <w:spacing w:before="220"/>
        <w:ind w:firstLine="540"/>
        <w:jc w:val="both"/>
      </w:pPr>
      <w:bookmarkStart w:id="13" w:name="P405"/>
      <w:bookmarkEnd w:id="13"/>
      <w:r>
        <w:t>б) сооружение расположено на откосе или вблизи откоса;</w:t>
      </w:r>
    </w:p>
    <w:p w:rsidR="00E35632" w:rsidRDefault="00E35632">
      <w:pPr>
        <w:pStyle w:val="ConsPlusNormal"/>
        <w:spacing w:before="220"/>
        <w:ind w:firstLine="540"/>
        <w:jc w:val="both"/>
      </w:pPr>
      <w:bookmarkStart w:id="14" w:name="P406"/>
      <w:bookmarkEnd w:id="14"/>
      <w:r>
        <w:t>в) сооружение расположено вблизи котлована или подземной выработки;</w:t>
      </w:r>
    </w:p>
    <w:p w:rsidR="00E35632" w:rsidRDefault="00E35632">
      <w:pPr>
        <w:pStyle w:val="ConsPlusNormal"/>
        <w:spacing w:before="220"/>
        <w:ind w:firstLine="540"/>
        <w:jc w:val="both"/>
      </w:pPr>
      <w:r>
        <w:t xml:space="preserve">г) основание сложено дисперсными грунтами, указанными в </w:t>
      </w:r>
      <w:hyperlink w:anchor="P1864">
        <w:r>
          <w:rPr>
            <w:color w:val="0000FF"/>
          </w:rPr>
          <w:t>5.7.5</w:t>
        </w:r>
      </w:hyperlink>
      <w:r>
        <w:t>;</w:t>
      </w:r>
    </w:p>
    <w:p w:rsidR="00E35632" w:rsidRDefault="00E35632">
      <w:pPr>
        <w:pStyle w:val="ConsPlusNormal"/>
        <w:spacing w:before="220"/>
        <w:ind w:firstLine="540"/>
        <w:jc w:val="both"/>
      </w:pPr>
      <w:r>
        <w:t>д) основание сложено скальными грунтами;</w:t>
      </w:r>
    </w:p>
    <w:p w:rsidR="00E35632" w:rsidRDefault="00E35632">
      <w:pPr>
        <w:pStyle w:val="ConsPlusNormal"/>
        <w:spacing w:before="220"/>
        <w:ind w:firstLine="540"/>
        <w:jc w:val="both"/>
      </w:pPr>
      <w:r>
        <w:t>е) сооружение относится к геотехнической категории 3;</w:t>
      </w:r>
    </w:p>
    <w:p w:rsidR="00E35632" w:rsidRDefault="00E35632">
      <w:pPr>
        <w:pStyle w:val="ConsPlusNormal"/>
        <w:spacing w:before="220"/>
        <w:ind w:firstLine="540"/>
        <w:jc w:val="both"/>
      </w:pPr>
      <w:r>
        <w:t>ж) увеличивается нагрузка на основание при реконструкции сооружений.</w:t>
      </w:r>
    </w:p>
    <w:p w:rsidR="00E35632" w:rsidRDefault="00E35632">
      <w:pPr>
        <w:pStyle w:val="ConsPlusNormal"/>
        <w:spacing w:before="220"/>
        <w:ind w:firstLine="540"/>
        <w:jc w:val="both"/>
      </w:pPr>
      <w:r>
        <w:t xml:space="preserve">Проверку оснований по несущей способности в случаях, приведенных в </w:t>
      </w:r>
      <w:hyperlink w:anchor="P404">
        <w:r>
          <w:rPr>
            <w:color w:val="0000FF"/>
          </w:rPr>
          <w:t>перечислениях а</w:t>
        </w:r>
      </w:hyperlink>
      <w:r>
        <w:t xml:space="preserve">, </w:t>
      </w:r>
      <w:hyperlink w:anchor="P405">
        <w:r>
          <w:rPr>
            <w:color w:val="0000FF"/>
          </w:rPr>
          <w:t>б</w:t>
        </w:r>
      </w:hyperlink>
      <w:r>
        <w:t xml:space="preserve"> и </w:t>
      </w:r>
      <w:hyperlink w:anchor="P406">
        <w:r>
          <w:rPr>
            <w:color w:val="0000FF"/>
          </w:rPr>
          <w:t>в</w:t>
        </w:r>
      </w:hyperlink>
      <w:r>
        <w:t>, следует проводить с учетом конструктивных мероприятий, предусмотренных для предотвращения смещения проектируемого фундамента.</w:t>
      </w:r>
    </w:p>
    <w:p w:rsidR="00E35632" w:rsidRDefault="00E35632">
      <w:pPr>
        <w:pStyle w:val="ConsPlusNormal"/>
        <w:spacing w:before="220"/>
        <w:ind w:firstLine="540"/>
        <w:jc w:val="both"/>
      </w:pPr>
      <w:r>
        <w:t>Если проектом предусматривается возможность возведения сооружения непосредственно после устройства фундаментов до обратной засыпки грунтом пазух котлованов, следует проводить проверку несущей способности основания, учитывая нагрузки, действующие в процессе строительства.</w:t>
      </w:r>
    </w:p>
    <w:p w:rsidR="00E35632" w:rsidRDefault="00E35632">
      <w:pPr>
        <w:pStyle w:val="ConsPlusNormal"/>
        <w:spacing w:before="220"/>
        <w:ind w:firstLine="540"/>
        <w:jc w:val="both"/>
      </w:pPr>
      <w:bookmarkStart w:id="15" w:name="P413"/>
      <w:bookmarkEnd w:id="15"/>
      <w:r>
        <w:t>5.1.10 Проектирование оснований и фундаментов с использованием расчетов является основным способом обеспечения требований надежности и может выполняться для объектов любой геотехнической категории.</w:t>
      </w:r>
    </w:p>
    <w:p w:rsidR="00E35632" w:rsidRDefault="00E35632">
      <w:pPr>
        <w:pStyle w:val="ConsPlusNormal"/>
        <w:spacing w:before="220"/>
        <w:ind w:firstLine="540"/>
        <w:jc w:val="both"/>
      </w:pPr>
      <w:r>
        <w:t xml:space="preserve">Расчетные модели (расчетные схемы) должны учитывать инженерно-геологические условия, конструктивные особенности и особенности технологии возведения подземной части сооружения, возможность изменения свойств грунтов в процессе строительства и эксплуатации сооружения, действующие нагрузки и воздействия, влияние на объект внешней среды, а также, при </w:t>
      </w:r>
      <w:r>
        <w:lastRenderedPageBreak/>
        <w:t>необходимости, возможные геометрические и физические несовершенства.</w:t>
      </w:r>
    </w:p>
    <w:p w:rsidR="00E35632" w:rsidRDefault="00E35632">
      <w:pPr>
        <w:pStyle w:val="ConsPlusNormal"/>
        <w:spacing w:before="220"/>
        <w:ind w:firstLine="540"/>
        <w:jc w:val="both"/>
      </w:pPr>
      <w:r>
        <w:t>Сооружение и его основание следует рассматривать в единстве, т.е. учитывать их взаимодействие. Для совместного расчета сооружения и основания могут быть использованы аналитические, численные и другие методы (в т.ч. метод конечных элементов, метод конечных разностей, метод граничных элементов и др.).</w:t>
      </w:r>
    </w:p>
    <w:p w:rsidR="00E35632" w:rsidRDefault="00E35632">
      <w:pPr>
        <w:pStyle w:val="ConsPlusNormal"/>
        <w:spacing w:before="220"/>
        <w:ind w:firstLine="540"/>
        <w:jc w:val="both"/>
      </w:pPr>
      <w:bookmarkStart w:id="16" w:name="P416"/>
      <w:bookmarkEnd w:id="16"/>
      <w:r>
        <w:t xml:space="preserve">5.1.11 Расчетную схему системы "сооружение-основание" или "фундамент-основание" следует выбирать с учетом наиболее существенных факторов, определяющих напряженное состояние и деформации основания и конструкций сооружения. Следует учитывать пространственную работу конструкций, геометрическую и физическую нелинейность, анизотропию, пластические и реологические свойства материалов и грунтов. При выполнении совместных расчетов следует учитывать полную пространственную работу конструкций, последовательность строительства, геометрическую и физическую нелинейность, анизотропию, пластические и реологические свойства материалов и грунтов. При выполнении предварительных расчетов сооружений геотехнических категорий 3 и 2, при выполнении расчетов по оценке влияния и окончательных расчетов зданий геотехнической категории 1 совместные расчеты допускается выполнять с применением упрощенных расчетных схем сооружения с эквивалентной жесткостью этажа, определенной в соответствии с </w:t>
      </w:r>
      <w:hyperlink w:anchor="P7977">
        <w:r>
          <w:rPr>
            <w:color w:val="0000FF"/>
          </w:rPr>
          <w:t>приложением Н</w:t>
        </w:r>
      </w:hyperlink>
      <w:r>
        <w:t>.</w:t>
      </w:r>
    </w:p>
    <w:p w:rsidR="00E35632" w:rsidRDefault="00E35632">
      <w:pPr>
        <w:pStyle w:val="ConsPlusNormal"/>
        <w:jc w:val="both"/>
      </w:pPr>
      <w:r>
        <w:t xml:space="preserve">(в ред. </w:t>
      </w:r>
      <w:hyperlink r:id="rId193">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Допускается использовать вероятностные методы расчета, учитывающие статистическую неоднородность оснований, случайную природу нагрузок, воздействий и свойств материалов конструкций.</w:t>
      </w:r>
    </w:p>
    <w:p w:rsidR="00E35632" w:rsidRDefault="00E35632">
      <w:pPr>
        <w:pStyle w:val="ConsPlusNormal"/>
        <w:spacing w:before="220"/>
        <w:ind w:firstLine="540"/>
        <w:jc w:val="both"/>
      </w:pPr>
      <w:bookmarkStart w:id="17" w:name="P419"/>
      <w:bookmarkEnd w:id="17"/>
      <w:r>
        <w:t>5.1.11а При выполнении расчетов фундаментов допускается применение методики коэффициентов жесткости с одним (вертикальным) коэффициентом постели. Применение других контактных моделей допускается при обосновании их применимости в данных условиях.</w:t>
      </w:r>
    </w:p>
    <w:p w:rsidR="00E35632" w:rsidRDefault="00E35632">
      <w:pPr>
        <w:pStyle w:val="ConsPlusNormal"/>
        <w:jc w:val="both"/>
      </w:pPr>
      <w:r>
        <w:t xml:space="preserve">(в ред. </w:t>
      </w:r>
      <w:hyperlink r:id="rId194">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Примечание - Применение моделей с увеличивающимся модулем деформации по глубине должно быть обосновано результатами инженерно-геологических изысканий.</w:t>
      </w:r>
    </w:p>
    <w:p w:rsidR="00E35632" w:rsidRDefault="00E35632">
      <w:pPr>
        <w:pStyle w:val="ConsPlusNormal"/>
        <w:jc w:val="both"/>
      </w:pPr>
      <w:r>
        <w:t xml:space="preserve">(п. 5.1.11а введен </w:t>
      </w:r>
      <w:hyperlink r:id="rId195">
        <w:r>
          <w:rPr>
            <w:color w:val="0000FF"/>
          </w:rPr>
          <w:t>Изменением N 1</w:t>
        </w:r>
      </w:hyperlink>
      <w:r>
        <w:t>, утв. Приказом Минстроя России от 20.11.2018 N 736/пр)</w:t>
      </w:r>
    </w:p>
    <w:p w:rsidR="00E35632" w:rsidRDefault="00E35632">
      <w:pPr>
        <w:pStyle w:val="ConsPlusNormal"/>
        <w:ind w:firstLine="540"/>
        <w:jc w:val="both"/>
      </w:pPr>
    </w:p>
    <w:p w:rsidR="00E35632" w:rsidRDefault="00E35632">
      <w:pPr>
        <w:pStyle w:val="ConsPlusNormal"/>
        <w:ind w:firstLine="540"/>
        <w:jc w:val="both"/>
      </w:pPr>
      <w:bookmarkStart w:id="18" w:name="P424"/>
      <w:bookmarkEnd w:id="18"/>
      <w:r>
        <w:t>5.1.12 Расчетные модели, используемые для проектирования оснований и фундаментов, должны быть верифицированы.</w:t>
      </w:r>
    </w:p>
    <w:p w:rsidR="00E35632" w:rsidRDefault="00E35632">
      <w:pPr>
        <w:pStyle w:val="ConsPlusNormal"/>
        <w:spacing w:before="220"/>
        <w:ind w:firstLine="540"/>
        <w:jc w:val="both"/>
      </w:pPr>
      <w:r>
        <w:t>Основным критерием верификации расчетных моделей должно являться наличие сопоставимого геотехнического опыта. Аналитическая или полуэмпирическая расчетная модель может считаться верифицированной для определенных условий, если результаты расчета демонстрируют хорошее соответствие экспериментальным результатам в сходных условиях.</w:t>
      </w:r>
    </w:p>
    <w:p w:rsidR="00E35632" w:rsidRDefault="00E35632">
      <w:pPr>
        <w:pStyle w:val="ConsPlusNormal"/>
        <w:spacing w:before="220"/>
        <w:ind w:firstLine="540"/>
        <w:jc w:val="both"/>
      </w:pPr>
      <w:r>
        <w:t>Примечание - Аналитические и полуэмпирические модели и методы расчета, регламентированные нормативными документами, не требуют дополнительной верификации.</w:t>
      </w:r>
    </w:p>
    <w:p w:rsidR="00E35632" w:rsidRDefault="00E35632">
      <w:pPr>
        <w:pStyle w:val="ConsPlusNormal"/>
        <w:jc w:val="both"/>
      </w:pPr>
    </w:p>
    <w:p w:rsidR="00E35632" w:rsidRDefault="00E35632">
      <w:pPr>
        <w:pStyle w:val="ConsPlusNormal"/>
        <w:ind w:firstLine="540"/>
        <w:jc w:val="both"/>
      </w:pPr>
      <w:bookmarkStart w:id="19" w:name="P428"/>
      <w:bookmarkEnd w:id="19"/>
      <w:r>
        <w:t xml:space="preserve">5.1.12а При использовании нелинейных геотехнических моделей и программных средств для расчетов оснований зданий и сооружений повышенного уровня ответственности (по </w:t>
      </w:r>
      <w:hyperlink r:id="rId196">
        <w:r>
          <w:rPr>
            <w:color w:val="0000FF"/>
          </w:rPr>
          <w:t>ГОСТ 27751</w:t>
        </w:r>
      </w:hyperlink>
      <w:r>
        <w:t xml:space="preserve">) рекомендуется проводить сопоставление результатов моделирования механического поведения модели грунта с результатами их испытаний в соответствии с </w:t>
      </w:r>
      <w:hyperlink w:anchor="P8285">
        <w:r>
          <w:rPr>
            <w:color w:val="0000FF"/>
          </w:rPr>
          <w:t>приложением С</w:t>
        </w:r>
      </w:hyperlink>
      <w:r>
        <w:t>. По результатам может быть проведена корректировка расчетных параметров модели грунта относительно исходного набора, полученного в ходе инженерно-геологических изысканий.</w:t>
      </w:r>
    </w:p>
    <w:p w:rsidR="00E35632" w:rsidRDefault="00E35632">
      <w:pPr>
        <w:pStyle w:val="ConsPlusNormal"/>
        <w:jc w:val="both"/>
      </w:pPr>
      <w:r>
        <w:t xml:space="preserve">(п. 5.1.12а введен </w:t>
      </w:r>
      <w:hyperlink r:id="rId197">
        <w:r>
          <w:rPr>
            <w:color w:val="0000FF"/>
          </w:rPr>
          <w:t>Изменением N 3</w:t>
        </w:r>
      </w:hyperlink>
      <w:r>
        <w:t>, утв. Приказом Минстроя России от 22.11.2019 N 722/пр)</w:t>
      </w:r>
    </w:p>
    <w:p w:rsidR="00E35632" w:rsidRDefault="00E35632">
      <w:pPr>
        <w:pStyle w:val="ConsPlusNormal"/>
        <w:spacing w:before="220"/>
        <w:ind w:firstLine="540"/>
        <w:jc w:val="both"/>
      </w:pPr>
      <w:bookmarkStart w:id="20" w:name="P430"/>
      <w:bookmarkEnd w:id="20"/>
      <w:r>
        <w:t>5.1.13 Для верификации численных моделей следует выполнять:</w:t>
      </w:r>
    </w:p>
    <w:p w:rsidR="00E35632" w:rsidRDefault="00E35632">
      <w:pPr>
        <w:pStyle w:val="ConsPlusNormal"/>
        <w:spacing w:before="220"/>
        <w:ind w:firstLine="540"/>
        <w:jc w:val="both"/>
      </w:pPr>
      <w:r>
        <w:lastRenderedPageBreak/>
        <w:t>- верификацию программного обеспечения, с помощью которого создается модель;</w:t>
      </w:r>
    </w:p>
    <w:p w:rsidR="00E35632" w:rsidRDefault="00E35632">
      <w:pPr>
        <w:pStyle w:val="ConsPlusNormal"/>
        <w:spacing w:before="220"/>
        <w:ind w:firstLine="540"/>
        <w:jc w:val="both"/>
      </w:pPr>
      <w:r>
        <w:t>- проверку самой численной модели.</w:t>
      </w:r>
    </w:p>
    <w:p w:rsidR="00E35632" w:rsidRDefault="00E35632">
      <w:pPr>
        <w:pStyle w:val="ConsPlusNormal"/>
        <w:spacing w:before="220"/>
        <w:ind w:firstLine="540"/>
        <w:jc w:val="both"/>
      </w:pPr>
      <w:r>
        <w:t>Верификацию программного обеспечения следует выполнять с помощью расчетов тестовых моделей, для которых известны аналитические решения и/или имеются сопоставимые экспериментальные результаты.</w:t>
      </w:r>
    </w:p>
    <w:p w:rsidR="00E35632" w:rsidRDefault="00E35632">
      <w:pPr>
        <w:pStyle w:val="ConsPlusNormal"/>
        <w:spacing w:before="220"/>
        <w:ind w:firstLine="540"/>
        <w:jc w:val="both"/>
      </w:pPr>
      <w:r>
        <w:t>Верификация расчетной модели должна включать:</w:t>
      </w:r>
    </w:p>
    <w:p w:rsidR="00E35632" w:rsidRDefault="00E35632">
      <w:pPr>
        <w:pStyle w:val="ConsPlusNormal"/>
        <w:spacing w:before="220"/>
        <w:ind w:firstLine="540"/>
        <w:jc w:val="both"/>
      </w:pPr>
      <w:r>
        <w:t>- проверку исходных данных на формальное соответствие условиям задачи;</w:t>
      </w:r>
    </w:p>
    <w:p w:rsidR="00E35632" w:rsidRDefault="00E35632">
      <w:pPr>
        <w:pStyle w:val="ConsPlusNormal"/>
        <w:spacing w:before="220"/>
        <w:ind w:firstLine="540"/>
        <w:jc w:val="both"/>
      </w:pPr>
      <w:r>
        <w:t>- проверку правильности граничных условий;</w:t>
      </w:r>
    </w:p>
    <w:p w:rsidR="00E35632" w:rsidRDefault="00E35632">
      <w:pPr>
        <w:pStyle w:val="ConsPlusNormal"/>
        <w:spacing w:before="220"/>
        <w:ind w:firstLine="540"/>
        <w:jc w:val="both"/>
      </w:pPr>
      <w:r>
        <w:t>- проверку общего равновесия системы для всех сочетаний нагрузок и воздействий;</w:t>
      </w:r>
    </w:p>
    <w:p w:rsidR="00E35632" w:rsidRDefault="00E35632">
      <w:pPr>
        <w:pStyle w:val="ConsPlusNormal"/>
        <w:spacing w:before="220"/>
        <w:ind w:firstLine="540"/>
        <w:jc w:val="both"/>
      </w:pPr>
      <w:r>
        <w:t>- проверку локального равновесия для всех подсистем модели;</w:t>
      </w:r>
    </w:p>
    <w:p w:rsidR="00E35632" w:rsidRDefault="00E35632">
      <w:pPr>
        <w:pStyle w:val="ConsPlusNormal"/>
        <w:spacing w:before="220"/>
        <w:ind w:firstLine="540"/>
        <w:jc w:val="both"/>
      </w:pPr>
      <w:r>
        <w:t>- проверку имеющихся условий симметрии;</w:t>
      </w:r>
    </w:p>
    <w:p w:rsidR="00E35632" w:rsidRDefault="00E35632">
      <w:pPr>
        <w:pStyle w:val="ConsPlusNormal"/>
        <w:spacing w:before="220"/>
        <w:ind w:firstLine="540"/>
        <w:jc w:val="both"/>
      </w:pPr>
      <w:r>
        <w:t>- анализ соответствия характера полученных перемещений и деформаций граничным условиям и заданным связям;</w:t>
      </w:r>
    </w:p>
    <w:p w:rsidR="00E35632" w:rsidRDefault="00E35632">
      <w:pPr>
        <w:pStyle w:val="ConsPlusNormal"/>
        <w:spacing w:before="220"/>
        <w:ind w:firstLine="540"/>
        <w:jc w:val="both"/>
      </w:pPr>
      <w:r>
        <w:t>- анализ соответствия характера распределения внутренних усилий в конструкциях сооружения характеру деформаций;</w:t>
      </w:r>
    </w:p>
    <w:p w:rsidR="00E35632" w:rsidRDefault="00E35632">
      <w:pPr>
        <w:pStyle w:val="ConsPlusNormal"/>
        <w:spacing w:before="220"/>
        <w:ind w:firstLine="540"/>
        <w:jc w:val="both"/>
      </w:pPr>
      <w:r>
        <w:t>- оценку соответствия результатов расчета порядку ожидаемых величин в допустимом диапазоне.</w:t>
      </w:r>
    </w:p>
    <w:p w:rsidR="00E35632" w:rsidRDefault="00E35632">
      <w:pPr>
        <w:pStyle w:val="ConsPlusNormal"/>
        <w:spacing w:before="220"/>
        <w:ind w:firstLine="540"/>
        <w:jc w:val="both"/>
      </w:pPr>
      <w:r>
        <w:t>Для верификации сложных численных моделей, используемых в расчетах уникальных сооружений и сооружений повышенного уровня ответственности, следует выполнять независимые сопоставительные расчеты с использованием различных программных средств.</w:t>
      </w:r>
    </w:p>
    <w:p w:rsidR="00E35632" w:rsidRDefault="00E35632">
      <w:pPr>
        <w:pStyle w:val="ConsPlusNormal"/>
        <w:spacing w:before="220"/>
        <w:ind w:firstLine="540"/>
        <w:jc w:val="both"/>
      </w:pPr>
      <w:r>
        <w:t xml:space="preserve">5.1.13а Численные модели, применяемые для проверки оснований по несущей способности в случаях, предусмотренных </w:t>
      </w:r>
      <w:hyperlink w:anchor="P403">
        <w:r>
          <w:rPr>
            <w:color w:val="0000FF"/>
          </w:rPr>
          <w:t>5.1.9</w:t>
        </w:r>
      </w:hyperlink>
      <w:r>
        <w:t>, допускается верифицировать путем сопоставления результатов расчета с верхней и нижней оценками несущей способности (прочности или устойчивости). Расчетная модель может считаться верифицированной в случае, если полученное решение находится в диапазоне между верхней и нижней оценками несущей способности. При этом разность значений верхней и нижней оценок должна быть не более 10% полученного расчетного значения несущей способности.</w:t>
      </w:r>
    </w:p>
    <w:p w:rsidR="00E35632" w:rsidRDefault="00E35632">
      <w:pPr>
        <w:pStyle w:val="ConsPlusNormal"/>
        <w:jc w:val="both"/>
      </w:pPr>
      <w:r>
        <w:t xml:space="preserve">(п. 5.1.13а введен </w:t>
      </w:r>
      <w:hyperlink r:id="rId198">
        <w:r>
          <w:rPr>
            <w:color w:val="0000FF"/>
          </w:rPr>
          <w:t>Изменением N 1</w:t>
        </w:r>
      </w:hyperlink>
      <w:r>
        <w:t>, утв. Приказом Минстроя России от 20.11.2018 N 736/пр)</w:t>
      </w:r>
    </w:p>
    <w:p w:rsidR="00E35632" w:rsidRDefault="00E35632">
      <w:pPr>
        <w:pStyle w:val="ConsPlusNormal"/>
        <w:spacing w:before="220"/>
        <w:ind w:firstLine="540"/>
        <w:jc w:val="both"/>
      </w:pPr>
      <w:bookmarkStart w:id="21" w:name="P446"/>
      <w:bookmarkEnd w:id="21"/>
      <w:r>
        <w:t>5.1.13б При проведении геотехнических расчетов по второму предельному состоянию допустимо применение моделей механического поведения грунта с двойным упрочнением.</w:t>
      </w:r>
    </w:p>
    <w:p w:rsidR="00E35632" w:rsidRDefault="00E35632">
      <w:pPr>
        <w:pStyle w:val="ConsPlusNormal"/>
        <w:jc w:val="both"/>
      </w:pPr>
      <w:r>
        <w:t xml:space="preserve">(п. 5.1.13б введен </w:t>
      </w:r>
      <w:hyperlink r:id="rId199">
        <w:r>
          <w:rPr>
            <w:color w:val="0000FF"/>
          </w:rPr>
          <w:t>Изменением N 3</w:t>
        </w:r>
      </w:hyperlink>
      <w:r>
        <w:t>, утв. Приказом Минстроя России от 22.11.2019 N 722/пр)</w:t>
      </w:r>
    </w:p>
    <w:p w:rsidR="00E35632" w:rsidRDefault="00E35632">
      <w:pPr>
        <w:pStyle w:val="ConsPlusNormal"/>
        <w:spacing w:before="220"/>
        <w:ind w:firstLine="540"/>
        <w:jc w:val="both"/>
      </w:pPr>
      <w:r>
        <w:t>5.1.14 В том случае, когда расчетные методы или модели отсутствуют, либо недостаточно достоверны при проектировании следует использовать результаты экспериментальных исследований - модельных или натурных испытаний.</w:t>
      </w:r>
    </w:p>
    <w:p w:rsidR="00E35632" w:rsidRDefault="00E35632">
      <w:pPr>
        <w:pStyle w:val="ConsPlusNormal"/>
        <w:spacing w:before="220"/>
        <w:ind w:firstLine="540"/>
        <w:jc w:val="both"/>
      </w:pPr>
      <w:r>
        <w:t xml:space="preserve">Выполнение испытаний следует проводить на основании технического задания и программы работ. В программе работ должны быть установлены требования к количеству и порядку проведения испытаний, метрологическому обеспечению, оформлению результатов работ. Количество испытаний следует назначать в соответствии с требованиями нормативных документов, указанных в </w:t>
      </w:r>
      <w:hyperlink w:anchor="P60">
        <w:r>
          <w:rPr>
            <w:color w:val="0000FF"/>
          </w:rPr>
          <w:t>разделе 2</w:t>
        </w:r>
      </w:hyperlink>
      <w:r>
        <w:t>.</w:t>
      </w:r>
    </w:p>
    <w:p w:rsidR="00E35632" w:rsidRDefault="00E35632">
      <w:pPr>
        <w:pStyle w:val="ConsPlusNormal"/>
        <w:spacing w:before="220"/>
        <w:ind w:firstLine="540"/>
        <w:jc w:val="both"/>
      </w:pPr>
      <w:r>
        <w:t xml:space="preserve">Подготовку и проведение испытаний следует осуществлять таким образом, чтобы модель и </w:t>
      </w:r>
      <w:r>
        <w:lastRenderedPageBreak/>
        <w:t>проектируемая конструкция во взаимодействии с грунтовым основанием при заданном уровне нагрузок и прочих внешних условиях были подобны.</w:t>
      </w:r>
    </w:p>
    <w:p w:rsidR="00E35632" w:rsidRDefault="00E35632">
      <w:pPr>
        <w:pStyle w:val="ConsPlusNormal"/>
        <w:spacing w:before="220"/>
        <w:ind w:firstLine="540"/>
        <w:jc w:val="both"/>
      </w:pPr>
      <w:r>
        <w:t>При проектировании на основании экспериментальных исследований следует выполнять оценку достоверности результатов испытаний, учитывая при этом следующие факторы:</w:t>
      </w:r>
    </w:p>
    <w:p w:rsidR="00E35632" w:rsidRDefault="00E35632">
      <w:pPr>
        <w:pStyle w:val="ConsPlusNormal"/>
        <w:spacing w:before="220"/>
        <w:ind w:firstLine="540"/>
        <w:jc w:val="both"/>
      </w:pPr>
      <w:r>
        <w:t>- возможное различие грунтовых условий при испытаниях и на строительной площадке проектируемого объекта;</w:t>
      </w:r>
    </w:p>
    <w:p w:rsidR="00E35632" w:rsidRDefault="00E35632">
      <w:pPr>
        <w:pStyle w:val="ConsPlusNormal"/>
        <w:spacing w:before="220"/>
        <w:ind w:firstLine="540"/>
        <w:jc w:val="both"/>
      </w:pPr>
      <w:r>
        <w:t>- временные эффекты, особенно в тех случаях, когда продолжительность испытаний намного меньше, чем продолжительность нагружения реальных конструкций;</w:t>
      </w:r>
    </w:p>
    <w:p w:rsidR="00E35632" w:rsidRDefault="00E35632">
      <w:pPr>
        <w:pStyle w:val="ConsPlusNormal"/>
        <w:spacing w:before="220"/>
        <w:ind w:firstLine="540"/>
        <w:jc w:val="both"/>
      </w:pPr>
      <w:r>
        <w:t>- масштабные эффекты, особенно в случае использования малых моделей.</w:t>
      </w:r>
    </w:p>
    <w:p w:rsidR="00E35632" w:rsidRDefault="00E35632">
      <w:pPr>
        <w:pStyle w:val="ConsPlusNormal"/>
        <w:spacing w:before="220"/>
        <w:ind w:firstLine="540"/>
        <w:jc w:val="both"/>
      </w:pPr>
      <w:r>
        <w:t>5.1.15 Проектные решения оснований и фундаментов должны основываться на результатах инженерно-геологических и инженерно-геотехнических изысканий.</w:t>
      </w:r>
    </w:p>
    <w:p w:rsidR="00E35632" w:rsidRDefault="00E35632">
      <w:pPr>
        <w:pStyle w:val="ConsPlusNormal"/>
        <w:spacing w:before="220"/>
        <w:ind w:firstLine="540"/>
        <w:jc w:val="both"/>
      </w:pPr>
      <w:r>
        <w:t>Результаты инженерно-геологических и инженерно-геотехнических изысканий должны содержать сведения:</w:t>
      </w:r>
    </w:p>
    <w:p w:rsidR="00E35632" w:rsidRDefault="00E35632">
      <w:pPr>
        <w:pStyle w:val="ConsPlusNormal"/>
        <w:spacing w:before="220"/>
        <w:ind w:firstLine="540"/>
        <w:jc w:val="both"/>
      </w:pPr>
      <w:r>
        <w:t>- о местоположении территории предполагаемого строительства, ее рельефе, климатических и сейсмических условиях и ранее выполненных инженерных изысканиях;</w:t>
      </w:r>
    </w:p>
    <w:p w:rsidR="00E35632" w:rsidRDefault="00E35632">
      <w:pPr>
        <w:pStyle w:val="ConsPlusNormal"/>
        <w:spacing w:before="220"/>
        <w:ind w:firstLine="540"/>
        <w:jc w:val="both"/>
      </w:pPr>
      <w:r>
        <w:t>- инженерно-геологическом строении площадки строительства с описанием в стратиграфической последовательности напластований грунтов, формы залегания грунтовых образований, их размеров в плане и по глубине, возраста, происхождения и классификационных наименований грунтов и с указанием выделенных инженерно-геологических элементов;</w:t>
      </w:r>
    </w:p>
    <w:p w:rsidR="00E35632" w:rsidRDefault="00E35632">
      <w:pPr>
        <w:pStyle w:val="ConsPlusNormal"/>
        <w:spacing w:before="220"/>
        <w:ind w:firstLine="540"/>
        <w:jc w:val="both"/>
      </w:pPr>
      <w:r>
        <w:t>- гидрогеологических условиях площадки с указанием наличия, толщины и расположения водоносных горизонтов и режима подземных вод, отметок появившихся и установившихся уровней подземных вод, амплитуды их сезонных и многолетних колебаний, расходов воды, сведений о фильтрационных характеристиках грунтов, а также сведений о химическом составе подземных вод и их агрессивности по отношению к материалам подземных конструкций;</w:t>
      </w:r>
    </w:p>
    <w:p w:rsidR="00E35632" w:rsidRDefault="00E35632">
      <w:pPr>
        <w:pStyle w:val="ConsPlusNormal"/>
        <w:spacing w:before="220"/>
        <w:ind w:firstLine="540"/>
        <w:jc w:val="both"/>
      </w:pPr>
      <w:r>
        <w:t xml:space="preserve">- наличии специфических грунтов (см. </w:t>
      </w:r>
      <w:hyperlink w:anchor="P2321">
        <w:r>
          <w:rPr>
            <w:color w:val="0000FF"/>
          </w:rPr>
          <w:t>раздел 6</w:t>
        </w:r>
      </w:hyperlink>
      <w:r>
        <w:t>);</w:t>
      </w:r>
    </w:p>
    <w:p w:rsidR="00E35632" w:rsidRDefault="00E35632">
      <w:pPr>
        <w:pStyle w:val="ConsPlusNormal"/>
        <w:spacing w:before="220"/>
        <w:ind w:firstLine="540"/>
        <w:jc w:val="both"/>
      </w:pPr>
      <w:r>
        <w:t>- наблюдаемых неблагоприятных геологических и инженерно-геологических процессах (карст, оползни, подтопление, суффозия, горные подработки, температурные аномалии и др.);</w:t>
      </w:r>
    </w:p>
    <w:p w:rsidR="00E35632" w:rsidRDefault="00E35632">
      <w:pPr>
        <w:pStyle w:val="ConsPlusNormal"/>
        <w:spacing w:before="220"/>
        <w:ind w:firstLine="540"/>
        <w:jc w:val="both"/>
      </w:pPr>
      <w:r>
        <w:t>- физико-механических характеристиках грунтов;</w:t>
      </w:r>
    </w:p>
    <w:p w:rsidR="00E35632" w:rsidRDefault="00E35632">
      <w:pPr>
        <w:pStyle w:val="ConsPlusNormal"/>
        <w:spacing w:before="220"/>
        <w:ind w:firstLine="540"/>
        <w:jc w:val="both"/>
      </w:pPr>
      <w:r>
        <w:t>- возможном изменении гидрогеологических условий и физико-механических свойств грунтов в процессе строительства и эксплуатации сооружения.</w:t>
      </w:r>
    </w:p>
    <w:p w:rsidR="00E35632" w:rsidRDefault="00E35632">
      <w:pPr>
        <w:pStyle w:val="ConsPlusNormal"/>
        <w:spacing w:before="220"/>
        <w:ind w:firstLine="540"/>
        <w:jc w:val="both"/>
      </w:pPr>
      <w:bookmarkStart w:id="22" w:name="P464"/>
      <w:bookmarkEnd w:id="22"/>
      <w:r>
        <w:t>5.1.16 В состав физико-механических характеристик грунтов, которые следует учитывать при проектировании, входят:</w:t>
      </w:r>
    </w:p>
    <w:p w:rsidR="00E35632" w:rsidRDefault="00E35632">
      <w:pPr>
        <w:pStyle w:val="ConsPlusNormal"/>
        <w:spacing w:before="220"/>
        <w:ind w:firstLine="540"/>
        <w:jc w:val="both"/>
      </w:pPr>
      <w:r>
        <w:t>- плотность грунта и его частиц, влажность (</w:t>
      </w:r>
      <w:hyperlink r:id="rId200">
        <w:r>
          <w:rPr>
            <w:color w:val="0000FF"/>
          </w:rPr>
          <w:t>ГОСТ 5180</w:t>
        </w:r>
      </w:hyperlink>
      <w:r>
        <w:t xml:space="preserve"> и </w:t>
      </w:r>
      <w:hyperlink r:id="rId201">
        <w:r>
          <w:rPr>
            <w:color w:val="0000FF"/>
          </w:rPr>
          <w:t>ГОСТ 30416</w:t>
        </w:r>
      </w:hyperlink>
      <w:r>
        <w:t>);</w:t>
      </w:r>
    </w:p>
    <w:p w:rsidR="00E35632" w:rsidRDefault="00E35632">
      <w:pPr>
        <w:pStyle w:val="ConsPlusNormal"/>
        <w:spacing w:before="220"/>
        <w:ind w:firstLine="540"/>
        <w:jc w:val="both"/>
      </w:pPr>
      <w:r>
        <w:t>- коэффициент пористости;</w:t>
      </w:r>
    </w:p>
    <w:p w:rsidR="00E35632" w:rsidRDefault="00E35632">
      <w:pPr>
        <w:pStyle w:val="ConsPlusNormal"/>
        <w:spacing w:before="220"/>
        <w:ind w:firstLine="540"/>
        <w:jc w:val="both"/>
      </w:pPr>
      <w:r>
        <w:t xml:space="preserve">- гранулометрический состав для дисперсных грунтов </w:t>
      </w:r>
      <w:hyperlink r:id="rId202">
        <w:r>
          <w:rPr>
            <w:color w:val="0000FF"/>
          </w:rPr>
          <w:t>(ГОСТ 12536)</w:t>
        </w:r>
      </w:hyperlink>
      <w:r>
        <w:t>;</w:t>
      </w:r>
    </w:p>
    <w:p w:rsidR="00E35632" w:rsidRDefault="00E35632">
      <w:pPr>
        <w:pStyle w:val="ConsPlusNormal"/>
        <w:spacing w:before="220"/>
        <w:ind w:firstLine="540"/>
        <w:jc w:val="both"/>
      </w:pPr>
      <w:r>
        <w:t xml:space="preserve">- содержание органических веществ </w:t>
      </w:r>
      <w:hyperlink r:id="rId203">
        <w:r>
          <w:rPr>
            <w:color w:val="0000FF"/>
          </w:rPr>
          <w:t>(ГОСТ 23740)</w:t>
        </w:r>
      </w:hyperlink>
      <w:r>
        <w:t>;</w:t>
      </w:r>
    </w:p>
    <w:p w:rsidR="00E35632" w:rsidRDefault="00E35632">
      <w:pPr>
        <w:pStyle w:val="ConsPlusNormal"/>
        <w:spacing w:before="220"/>
        <w:ind w:firstLine="540"/>
        <w:jc w:val="both"/>
      </w:pPr>
      <w:r>
        <w:t xml:space="preserve">- влажность на границах пластичности и текучести, число пластичности и показатель текучести для глинистых грунтов </w:t>
      </w:r>
      <w:hyperlink r:id="rId204">
        <w:r>
          <w:rPr>
            <w:color w:val="0000FF"/>
          </w:rPr>
          <w:t>(ГОСТ 5180)</w:t>
        </w:r>
      </w:hyperlink>
      <w:r>
        <w:t>;</w:t>
      </w:r>
    </w:p>
    <w:p w:rsidR="00E35632" w:rsidRDefault="00E35632">
      <w:pPr>
        <w:pStyle w:val="ConsPlusNormal"/>
        <w:spacing w:before="220"/>
        <w:ind w:firstLine="540"/>
        <w:jc w:val="both"/>
      </w:pPr>
      <w:r>
        <w:lastRenderedPageBreak/>
        <w:t>- коэффициент фильтрации (</w:t>
      </w:r>
      <w:hyperlink r:id="rId205">
        <w:r>
          <w:rPr>
            <w:color w:val="0000FF"/>
          </w:rPr>
          <w:t>ГОСТ 23278</w:t>
        </w:r>
      </w:hyperlink>
      <w:r>
        <w:t xml:space="preserve">; </w:t>
      </w:r>
      <w:hyperlink r:id="rId206">
        <w:r>
          <w:rPr>
            <w:color w:val="0000FF"/>
          </w:rPr>
          <w:t>ГОСТ 25584</w:t>
        </w:r>
      </w:hyperlink>
      <w:r>
        <w:t>);</w:t>
      </w:r>
    </w:p>
    <w:p w:rsidR="00E35632" w:rsidRDefault="00E35632">
      <w:pPr>
        <w:pStyle w:val="ConsPlusNormal"/>
        <w:spacing w:before="220"/>
        <w:ind w:firstLine="540"/>
        <w:jc w:val="both"/>
      </w:pPr>
      <w:r>
        <w:t>- угол внутреннего трения, удельное сцепление (для водонасыщенных глинистых, органоминеральных и органических грунтов - сопротивление недренированному сдвигу), модуль деформации и коэффициент поперечной деформации грунтов (</w:t>
      </w:r>
      <w:hyperlink r:id="rId207">
        <w:r>
          <w:rPr>
            <w:color w:val="0000FF"/>
          </w:rPr>
          <w:t>ГОСТ 12248.1</w:t>
        </w:r>
      </w:hyperlink>
      <w:r>
        <w:t xml:space="preserve">, </w:t>
      </w:r>
      <w:hyperlink r:id="rId208">
        <w:r>
          <w:rPr>
            <w:color w:val="0000FF"/>
          </w:rPr>
          <w:t>ГОСТ 12248.2</w:t>
        </w:r>
      </w:hyperlink>
      <w:r>
        <w:t xml:space="preserve">, </w:t>
      </w:r>
      <w:hyperlink r:id="rId209">
        <w:r>
          <w:rPr>
            <w:color w:val="0000FF"/>
          </w:rPr>
          <w:t>ГОСТ 12248.3</w:t>
        </w:r>
      </w:hyperlink>
      <w:r>
        <w:t xml:space="preserve">, </w:t>
      </w:r>
      <w:hyperlink r:id="rId210">
        <w:r>
          <w:rPr>
            <w:color w:val="0000FF"/>
          </w:rPr>
          <w:t>ГОСТ 12248.4</w:t>
        </w:r>
      </w:hyperlink>
      <w:r>
        <w:t xml:space="preserve">, </w:t>
      </w:r>
      <w:hyperlink r:id="rId211">
        <w:r>
          <w:rPr>
            <w:color w:val="0000FF"/>
          </w:rPr>
          <w:t>ГОСТ 20276.1</w:t>
        </w:r>
      </w:hyperlink>
      <w:r>
        <w:t xml:space="preserve">, </w:t>
      </w:r>
      <w:hyperlink r:id="rId212">
        <w:r>
          <w:rPr>
            <w:color w:val="0000FF"/>
          </w:rPr>
          <w:t>ГОСТ 20276.2</w:t>
        </w:r>
      </w:hyperlink>
      <w:r>
        <w:t xml:space="preserve">, </w:t>
      </w:r>
      <w:hyperlink r:id="rId213">
        <w:r>
          <w:rPr>
            <w:color w:val="0000FF"/>
          </w:rPr>
          <w:t>ГОСТ 20276.4</w:t>
        </w:r>
      </w:hyperlink>
      <w:r>
        <w:t xml:space="preserve">, </w:t>
      </w:r>
      <w:hyperlink r:id="rId214">
        <w:r>
          <w:rPr>
            <w:color w:val="0000FF"/>
          </w:rPr>
          <w:t>ГОСТ 20276.5</w:t>
        </w:r>
      </w:hyperlink>
      <w:r>
        <w:t xml:space="preserve">, </w:t>
      </w:r>
      <w:hyperlink r:id="rId215">
        <w:r>
          <w:rPr>
            <w:color w:val="0000FF"/>
          </w:rPr>
          <w:t>ГОСТ 20276.6</w:t>
        </w:r>
      </w:hyperlink>
      <w:r>
        <w:t xml:space="preserve">, </w:t>
      </w:r>
      <w:hyperlink r:id="rId216">
        <w:r>
          <w:rPr>
            <w:color w:val="0000FF"/>
          </w:rPr>
          <w:t>ГОСТ 20276.7</w:t>
        </w:r>
      </w:hyperlink>
      <w:r>
        <w:t xml:space="preserve">, </w:t>
      </w:r>
      <w:hyperlink r:id="rId217">
        <w:r>
          <w:rPr>
            <w:color w:val="0000FF"/>
          </w:rPr>
          <w:t>ГОСТ 30416</w:t>
        </w:r>
      </w:hyperlink>
      <w:r>
        <w:t xml:space="preserve"> и </w:t>
      </w:r>
      <w:hyperlink r:id="rId218">
        <w:r>
          <w:rPr>
            <w:color w:val="0000FF"/>
          </w:rPr>
          <w:t>ГОСТ 30672</w:t>
        </w:r>
      </w:hyperlink>
      <w:r>
        <w:t>);</w:t>
      </w:r>
    </w:p>
    <w:p w:rsidR="00E35632" w:rsidRDefault="00E35632">
      <w:pPr>
        <w:pStyle w:val="ConsPlusNormal"/>
        <w:jc w:val="both"/>
      </w:pPr>
      <w:r>
        <w:t xml:space="preserve">(в ред. </w:t>
      </w:r>
      <w:hyperlink r:id="rId219">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предел прочности на одноосное сжатие скальных грунтов, показатели размягчаемости, растворимости и выветрелости для скальных грунтов (</w:t>
      </w:r>
      <w:hyperlink r:id="rId220">
        <w:r>
          <w:rPr>
            <w:color w:val="0000FF"/>
          </w:rPr>
          <w:t>ГОСТ 21153.2</w:t>
        </w:r>
      </w:hyperlink>
      <w:r>
        <w:t xml:space="preserve"> и </w:t>
      </w:r>
      <w:hyperlink r:id="rId221">
        <w:r>
          <w:rPr>
            <w:color w:val="0000FF"/>
          </w:rPr>
          <w:t>ГОСТ 25100</w:t>
        </w:r>
      </w:hyperlink>
      <w:r>
        <w:t>).</w:t>
      </w:r>
    </w:p>
    <w:p w:rsidR="00E35632" w:rsidRDefault="00E35632">
      <w:pPr>
        <w:pStyle w:val="ConsPlusNormal"/>
        <w:jc w:val="both"/>
      </w:pPr>
      <w:r>
        <w:t xml:space="preserve">(в ред. </w:t>
      </w:r>
      <w:hyperlink r:id="rId222">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xml:space="preserve">Для специфических грунтов, особенности проектирования оснований которых изложены в </w:t>
      </w:r>
      <w:hyperlink w:anchor="P2321">
        <w:r>
          <w:rPr>
            <w:color w:val="0000FF"/>
          </w:rPr>
          <w:t>разделе 6</w:t>
        </w:r>
      </w:hyperlink>
      <w:r>
        <w:t xml:space="preserve"> и при проектировании оснований подземных частей сооружений (см. </w:t>
      </w:r>
      <w:hyperlink w:anchor="P4452">
        <w:r>
          <w:rPr>
            <w:color w:val="0000FF"/>
          </w:rPr>
          <w:t>раздел 9</w:t>
        </w:r>
      </w:hyperlink>
      <w:r>
        <w:t xml:space="preserve">) и оснований высотных сооружений (см. </w:t>
      </w:r>
      <w:hyperlink w:anchor="P4823">
        <w:r>
          <w:rPr>
            <w:color w:val="0000FF"/>
          </w:rPr>
          <w:t>раздел 10</w:t>
        </w:r>
      </w:hyperlink>
      <w:r>
        <w:t>) дополнительно должны быть определены характеристики, указанные в этих разделах. По специальному заданию дополнительно могут быть определены и другие характеристики грунтов, необходимые для расчетов.</w:t>
      </w:r>
    </w:p>
    <w:p w:rsidR="00E35632" w:rsidRDefault="00E35632">
      <w:pPr>
        <w:pStyle w:val="ConsPlusNormal"/>
        <w:spacing w:before="220"/>
        <w:ind w:firstLine="540"/>
        <w:jc w:val="both"/>
      </w:pPr>
      <w:r>
        <w:t>В отчете об инженерно-геологических изысканиях необходимо указывать применяемые методы лабораторных и полевых определений характеристик грунтов и методы обработки результатов исследований.</w:t>
      </w:r>
    </w:p>
    <w:p w:rsidR="00E35632" w:rsidRDefault="00E35632">
      <w:pPr>
        <w:pStyle w:val="ConsPlusNormal"/>
        <w:spacing w:before="220"/>
        <w:ind w:firstLine="540"/>
        <w:jc w:val="both"/>
      </w:pPr>
      <w:r>
        <w:t>5.1.17 К отчету об инженерно-геологических изысканиях следует прилагать: колонки грунтовых выработок и инженерно-геологические разрезы с указанием на них мест отбора проб грунтов и пунктов полевых испытаний, а также уровней подземных вод; таблицы и ведомости показателей физико-механических характеристик грунтов, их нормативных и расчетных значений; графики полевых и лабораторных испытаний грунтов; ведомости химических анализов подземных вод и их агрессивности к бетону и металлам.</w:t>
      </w:r>
    </w:p>
    <w:p w:rsidR="00E35632" w:rsidRDefault="00E35632">
      <w:pPr>
        <w:pStyle w:val="ConsPlusNormal"/>
        <w:spacing w:before="220"/>
        <w:ind w:firstLine="540"/>
        <w:jc w:val="both"/>
      </w:pPr>
      <w:r>
        <w:t xml:space="preserve">5.1.18 В качестве параметров моделей нелинейного механического поведения грунта допускается использовать как стандартные параметры в соответствии с </w:t>
      </w:r>
      <w:hyperlink r:id="rId223">
        <w:r>
          <w:rPr>
            <w:color w:val="0000FF"/>
          </w:rPr>
          <w:t>ГОСТ 12248.1</w:t>
        </w:r>
      </w:hyperlink>
      <w:r>
        <w:t xml:space="preserve">, </w:t>
      </w:r>
      <w:hyperlink r:id="rId224">
        <w:r>
          <w:rPr>
            <w:color w:val="0000FF"/>
          </w:rPr>
          <w:t>ГОСТ 12248.2</w:t>
        </w:r>
      </w:hyperlink>
      <w:r>
        <w:t xml:space="preserve">, </w:t>
      </w:r>
      <w:hyperlink r:id="rId225">
        <w:r>
          <w:rPr>
            <w:color w:val="0000FF"/>
          </w:rPr>
          <w:t>ГОСТ 12248.3</w:t>
        </w:r>
      </w:hyperlink>
      <w:r>
        <w:t xml:space="preserve">, </w:t>
      </w:r>
      <w:hyperlink r:id="rId226">
        <w:r>
          <w:rPr>
            <w:color w:val="0000FF"/>
          </w:rPr>
          <w:t>ГОСТ 12248.4</w:t>
        </w:r>
      </w:hyperlink>
      <w:r>
        <w:t>, так и нестандартные параметры, описывающие механическое поведение грунта, которые должны определяться в процессе инженерных изысканий.</w:t>
      </w:r>
    </w:p>
    <w:p w:rsidR="00E35632" w:rsidRDefault="00E35632">
      <w:pPr>
        <w:pStyle w:val="ConsPlusNormal"/>
        <w:jc w:val="both"/>
      </w:pPr>
      <w:r>
        <w:t xml:space="preserve">(п. 5.1.18 введен </w:t>
      </w:r>
      <w:hyperlink r:id="rId227">
        <w:r>
          <w:rPr>
            <w:color w:val="0000FF"/>
          </w:rPr>
          <w:t>Изменением N 3</w:t>
        </w:r>
      </w:hyperlink>
      <w:r>
        <w:t xml:space="preserve">, утв. Приказом Минстроя России от 22.11.2019 N 722/пр, в ред. </w:t>
      </w:r>
      <w:hyperlink r:id="rId228">
        <w:r>
          <w:rPr>
            <w:color w:val="0000FF"/>
          </w:rPr>
          <w:t>Изменения N 4</w:t>
        </w:r>
      </w:hyperlink>
      <w:r>
        <w:t>, утв. Приказом Минстроя России от 27.12.2021 N 1022/пр)</w:t>
      </w:r>
    </w:p>
    <w:p w:rsidR="00E35632" w:rsidRDefault="00E35632">
      <w:pPr>
        <w:pStyle w:val="ConsPlusTitle"/>
        <w:spacing w:before="220"/>
        <w:ind w:firstLine="540"/>
        <w:jc w:val="both"/>
        <w:outlineLvl w:val="2"/>
      </w:pPr>
      <w:bookmarkStart w:id="23" w:name="P480"/>
      <w:bookmarkEnd w:id="23"/>
      <w:r>
        <w:t>5.2 Нагрузки и воздействия, учитываемые в расчетах оснований</w:t>
      </w:r>
    </w:p>
    <w:p w:rsidR="00E35632" w:rsidRDefault="00E35632">
      <w:pPr>
        <w:pStyle w:val="ConsPlusNormal"/>
        <w:spacing w:before="220"/>
        <w:ind w:firstLine="540"/>
        <w:jc w:val="both"/>
      </w:pPr>
      <w:bookmarkStart w:id="24" w:name="P481"/>
      <w:bookmarkEnd w:id="24"/>
      <w:r>
        <w:t>5.2.1 Нагрузки и воздействия на основания, передаваемые фундаментами сооружений, следует устанавливать расчетом исходя из рассмотрения совместной работы сооружения и основания, с учетом их возможного изменения на различных стадиях возведения и эксплуатации сооружения.</w:t>
      </w:r>
    </w:p>
    <w:p w:rsidR="00E35632" w:rsidRDefault="00E35632">
      <w:pPr>
        <w:pStyle w:val="ConsPlusNormal"/>
        <w:spacing w:before="220"/>
        <w:ind w:firstLine="540"/>
        <w:jc w:val="both"/>
      </w:pPr>
      <w:r>
        <w:t xml:space="preserve">Учитываемые при этом нагрузки и воздействия на основание, сооружение или отдельные конструктивные элементы, коэффициенты надежности по нагрузке, а также возможные сочетания нагрузок должны приниматься согласно требованиям </w:t>
      </w:r>
      <w:hyperlink r:id="rId229">
        <w:r>
          <w:rPr>
            <w:color w:val="0000FF"/>
          </w:rPr>
          <w:t>СП 20.13330</w:t>
        </w:r>
      </w:hyperlink>
      <w:r>
        <w:t>, за исключением оговоренных в настоящем своде правил.</w:t>
      </w:r>
    </w:p>
    <w:p w:rsidR="00E35632" w:rsidRDefault="00E35632">
      <w:pPr>
        <w:pStyle w:val="ConsPlusNormal"/>
        <w:spacing w:before="220"/>
        <w:ind w:firstLine="540"/>
        <w:jc w:val="both"/>
      </w:pPr>
      <w:r>
        <w:t>Нагрузки на основание допускается определять без учета их перераспределения над фундаментной конструкцией при расчете:</w:t>
      </w:r>
    </w:p>
    <w:p w:rsidR="00E35632" w:rsidRDefault="00E35632">
      <w:pPr>
        <w:pStyle w:val="ConsPlusNormal"/>
        <w:spacing w:before="220"/>
        <w:ind w:firstLine="540"/>
        <w:jc w:val="both"/>
      </w:pPr>
      <w:r>
        <w:t>а) оснований сооружений геотехнической категории 1;</w:t>
      </w:r>
    </w:p>
    <w:p w:rsidR="00E35632" w:rsidRDefault="00E35632">
      <w:pPr>
        <w:pStyle w:val="ConsPlusNormal"/>
        <w:spacing w:before="220"/>
        <w:ind w:firstLine="540"/>
        <w:jc w:val="both"/>
      </w:pPr>
      <w:r>
        <w:t>б) общей устойчивости массива грунта основания совместно с сооружением;</w:t>
      </w:r>
    </w:p>
    <w:p w:rsidR="00E35632" w:rsidRDefault="00E35632">
      <w:pPr>
        <w:pStyle w:val="ConsPlusNormal"/>
        <w:spacing w:before="220"/>
        <w:ind w:firstLine="540"/>
        <w:jc w:val="both"/>
      </w:pPr>
      <w:r>
        <w:lastRenderedPageBreak/>
        <w:t>в) средних значений осадок основания фундаментов;</w:t>
      </w:r>
    </w:p>
    <w:p w:rsidR="00E35632" w:rsidRDefault="00E35632">
      <w:pPr>
        <w:pStyle w:val="ConsPlusNormal"/>
        <w:spacing w:before="220"/>
        <w:ind w:firstLine="540"/>
        <w:jc w:val="both"/>
      </w:pPr>
      <w:r>
        <w:t>г) деформаций основания при привязке типового проекта к местным грунтовым условиям.</w:t>
      </w:r>
    </w:p>
    <w:p w:rsidR="00E35632" w:rsidRDefault="00E35632">
      <w:pPr>
        <w:pStyle w:val="ConsPlusNormal"/>
        <w:spacing w:before="220"/>
        <w:ind w:firstLine="540"/>
        <w:jc w:val="both"/>
      </w:pPr>
      <w:r>
        <w:t xml:space="preserve">5.2.2 Все расчеты оснований следует проводить на расчетные значения нагрузок и воздействий, которые определяют как произведение нормативных нагрузок или воздействий на коэффициент надежности по нагрузке </w:t>
      </w:r>
      <w:r>
        <w:rPr>
          <w:noProof/>
          <w:position w:val="-10"/>
        </w:rPr>
        <w:drawing>
          <wp:inline distT="0" distB="0" distL="0" distR="0">
            <wp:extent cx="209550" cy="267970"/>
            <wp:effectExtent l="0" t="0" r="0" b="0"/>
            <wp:docPr id="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09550" cy="267970"/>
                    </a:xfrm>
                    <a:prstGeom prst="rect">
                      <a:avLst/>
                    </a:prstGeom>
                    <a:noFill/>
                    <a:ln>
                      <a:noFill/>
                    </a:ln>
                  </pic:spPr>
                </pic:pic>
              </a:graphicData>
            </a:graphic>
          </wp:inline>
        </w:drawing>
      </w:r>
      <w:r>
        <w:t>, устанавливаемый с учетом группы предельного состояния.</w:t>
      </w:r>
    </w:p>
    <w:p w:rsidR="00E35632" w:rsidRDefault="00E35632">
      <w:pPr>
        <w:pStyle w:val="ConsPlusNormal"/>
        <w:spacing w:before="220"/>
        <w:ind w:firstLine="540"/>
        <w:jc w:val="both"/>
      </w:pPr>
      <w:r>
        <w:t xml:space="preserve">Коэффициент надежности по нагрузке </w:t>
      </w:r>
      <w:r>
        <w:rPr>
          <w:noProof/>
          <w:position w:val="-10"/>
        </w:rPr>
        <w:drawing>
          <wp:inline distT="0" distB="0" distL="0" distR="0">
            <wp:extent cx="209550" cy="267970"/>
            <wp:effectExtent l="0" t="0" r="0" b="0"/>
            <wp:docPr id="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209550" cy="267970"/>
                    </a:xfrm>
                    <a:prstGeom prst="rect">
                      <a:avLst/>
                    </a:prstGeom>
                    <a:noFill/>
                    <a:ln>
                      <a:noFill/>
                    </a:ln>
                  </pic:spPr>
                </pic:pic>
              </a:graphicData>
            </a:graphic>
          </wp:inline>
        </w:drawing>
      </w:r>
      <w:r>
        <w:t xml:space="preserve"> принимают при расчете оснований:</w:t>
      </w:r>
    </w:p>
    <w:p w:rsidR="00E35632" w:rsidRDefault="00E35632">
      <w:pPr>
        <w:pStyle w:val="ConsPlusNormal"/>
        <w:spacing w:before="220"/>
        <w:ind w:firstLine="540"/>
        <w:jc w:val="both"/>
      </w:pPr>
      <w:r>
        <w:t xml:space="preserve">- по первой группе предельных состояний (по несущей способности) - по </w:t>
      </w:r>
      <w:hyperlink r:id="rId231">
        <w:r>
          <w:rPr>
            <w:color w:val="0000FF"/>
          </w:rPr>
          <w:t>СП 20.13330</w:t>
        </w:r>
      </w:hyperlink>
      <w:r>
        <w:t>, за исключением оговоренных в настоящем своде правил;</w:t>
      </w:r>
    </w:p>
    <w:p w:rsidR="00E35632" w:rsidRDefault="00E35632">
      <w:pPr>
        <w:pStyle w:val="ConsPlusNormal"/>
        <w:spacing w:before="220"/>
        <w:ind w:firstLine="540"/>
        <w:jc w:val="both"/>
      </w:pPr>
      <w:r>
        <w:t>- по второй группе предельных состояний (по деформациям) - равным единице.</w:t>
      </w:r>
    </w:p>
    <w:p w:rsidR="00E35632" w:rsidRDefault="00E35632">
      <w:pPr>
        <w:pStyle w:val="ConsPlusNormal"/>
        <w:spacing w:before="220"/>
        <w:ind w:firstLine="540"/>
        <w:jc w:val="both"/>
      </w:pPr>
      <w:r>
        <w:t>5.2.3 Следует учитывать в расчетах, что одни и те же нагрузки и воздействия могут оказывать, как неблагоприятное, так и благоприятное влияние при анализе тех или иных предельных состояний. В тех случаях, когда нагрузки и воздействия оказывают благоприятное влияние, коэффициент надежности по нагрузке следует принимать меньшим единицы.</w:t>
      </w:r>
    </w:p>
    <w:p w:rsidR="00E35632" w:rsidRDefault="00E35632">
      <w:pPr>
        <w:pStyle w:val="ConsPlusNormal"/>
        <w:spacing w:before="220"/>
        <w:ind w:firstLine="540"/>
        <w:jc w:val="both"/>
      </w:pPr>
      <w:r>
        <w:t>Примечание - Примером может служить собственный вес конструкций или вес грунта обратной засыпки при расчете сооружения на всплытие.</w:t>
      </w:r>
    </w:p>
    <w:p w:rsidR="00E35632" w:rsidRDefault="00E35632">
      <w:pPr>
        <w:pStyle w:val="ConsPlusNormal"/>
        <w:jc w:val="both"/>
      </w:pPr>
    </w:p>
    <w:p w:rsidR="00E35632" w:rsidRDefault="00E35632">
      <w:pPr>
        <w:pStyle w:val="ConsPlusNormal"/>
        <w:ind w:firstLine="540"/>
        <w:jc w:val="both"/>
      </w:pPr>
      <w:r>
        <w:t>5.2.4 При проектировании оснований и фундаментов следует учитывать длительность передаваемых на них нагрузок и воздействий.</w:t>
      </w:r>
    </w:p>
    <w:p w:rsidR="00E35632" w:rsidRDefault="00E35632">
      <w:pPr>
        <w:pStyle w:val="ConsPlusNormal"/>
        <w:spacing w:before="220"/>
        <w:ind w:firstLine="540"/>
        <w:jc w:val="both"/>
      </w:pPr>
      <w:r>
        <w:t>Длительность нагрузок и воздействий на основание должна рассматриваться с учетом изменений свойств грунтов и порового давления во времени, особенно для глинистых грунтов, склонных к длительным деформациям.</w:t>
      </w:r>
    </w:p>
    <w:p w:rsidR="00E35632" w:rsidRDefault="00E35632">
      <w:pPr>
        <w:pStyle w:val="ConsPlusNormal"/>
        <w:spacing w:before="220"/>
        <w:ind w:firstLine="540"/>
        <w:jc w:val="both"/>
      </w:pPr>
      <w:r>
        <w:t>Динамические и циклические воздействия на основание должны рассматриваться с учетом возможности длительных деформаций, разжижения, изменения прочностных и деформационных характеристик грунтов.</w:t>
      </w:r>
    </w:p>
    <w:p w:rsidR="00E35632" w:rsidRDefault="00E35632">
      <w:pPr>
        <w:pStyle w:val="ConsPlusNormal"/>
        <w:spacing w:before="220"/>
        <w:ind w:firstLine="540"/>
        <w:jc w:val="both"/>
      </w:pPr>
      <w:r>
        <w:t>5.2.5 Расчет оснований по деформациям следует проводить на основное сочетание нагрузок; по несущей способности - на основное сочетание, а при наличии особых нагрузок и воздействий - на основное и особое сочетания.</w:t>
      </w:r>
    </w:p>
    <w:p w:rsidR="00E35632" w:rsidRDefault="00E35632">
      <w:pPr>
        <w:pStyle w:val="ConsPlusNormal"/>
        <w:spacing w:before="220"/>
        <w:ind w:firstLine="540"/>
        <w:jc w:val="both"/>
      </w:pPr>
      <w:r>
        <w:t xml:space="preserve">При этом нагрузки на перекрытия, и снеговые нагрузки, которые согласно </w:t>
      </w:r>
      <w:hyperlink r:id="rId232">
        <w:r>
          <w:rPr>
            <w:color w:val="0000FF"/>
          </w:rPr>
          <w:t>СП 20.13330</w:t>
        </w:r>
      </w:hyperlink>
      <w:r>
        <w:t xml:space="preserve"> могут относиться как к длительным, так и к кратковременным; при расчете оснований по несущей способности считают кратковременными, а при расчете по деформациям - длительными. Нагрузки от подвижного подъемно-транспортного оборудования в обоих случаях считают кратковременными.</w:t>
      </w:r>
    </w:p>
    <w:p w:rsidR="00E35632" w:rsidRDefault="00E35632">
      <w:pPr>
        <w:pStyle w:val="ConsPlusNormal"/>
        <w:spacing w:before="220"/>
        <w:ind w:firstLine="540"/>
        <w:jc w:val="both"/>
      </w:pPr>
      <w:r>
        <w:t>5.2.6 В расчетах оснований необходимо учитывать нагрузки от складируемого материала и оборудования, размещаемых вблизи фундаментов или конструкций подземных сооружений.</w:t>
      </w:r>
    </w:p>
    <w:p w:rsidR="00E35632" w:rsidRDefault="00E35632">
      <w:pPr>
        <w:pStyle w:val="ConsPlusNormal"/>
        <w:spacing w:before="220"/>
        <w:ind w:firstLine="540"/>
        <w:jc w:val="both"/>
      </w:pPr>
      <w:r>
        <w:t>5.2.7 Усилия в конструкциях, вызываемые климатическими температурными воздействиями, при расчете оснований по деформациям допускается не учитывать, если расстояние между температурно-осадочными швами не превышает значений, указанных в строительных нормах и правилах по проектированию соответствующих конструкций.</w:t>
      </w:r>
    </w:p>
    <w:p w:rsidR="00E35632" w:rsidRDefault="00E35632">
      <w:pPr>
        <w:pStyle w:val="ConsPlusNormal"/>
        <w:spacing w:before="220"/>
        <w:ind w:firstLine="540"/>
        <w:jc w:val="both"/>
      </w:pPr>
      <w:r>
        <w:t xml:space="preserve">5.2.8 Нагрузки, воздействия, их сочетания и коэффициенты надежности по нагрузке при расчете опор мостов и труб под насыпями следует принимать в соответствии с требованиями </w:t>
      </w:r>
      <w:hyperlink r:id="rId233">
        <w:r>
          <w:rPr>
            <w:color w:val="0000FF"/>
          </w:rPr>
          <w:t xml:space="preserve">СП </w:t>
        </w:r>
        <w:r>
          <w:rPr>
            <w:color w:val="0000FF"/>
          </w:rPr>
          <w:lastRenderedPageBreak/>
          <w:t>35.13330</w:t>
        </w:r>
      </w:hyperlink>
      <w:r>
        <w:t>.</w:t>
      </w:r>
    </w:p>
    <w:p w:rsidR="00E35632" w:rsidRDefault="00E35632">
      <w:pPr>
        <w:pStyle w:val="ConsPlusTitle"/>
        <w:spacing w:before="220"/>
        <w:ind w:firstLine="540"/>
        <w:jc w:val="both"/>
        <w:outlineLvl w:val="2"/>
      </w:pPr>
      <w:bookmarkStart w:id="25" w:name="P503"/>
      <w:bookmarkEnd w:id="25"/>
      <w:r>
        <w:t>5.3 Нормативные и расчетные значения характеристик грунтов</w:t>
      </w:r>
    </w:p>
    <w:p w:rsidR="00E35632" w:rsidRDefault="00E35632">
      <w:pPr>
        <w:pStyle w:val="ConsPlusNormal"/>
        <w:spacing w:before="220"/>
        <w:ind w:firstLine="540"/>
        <w:jc w:val="both"/>
      </w:pPr>
      <w:r>
        <w:t>5.3.1 При проектировании оснований и фундаментов сооружений с помощью расчетов следует использовать физико-механические характеристики грунтов, определяемые на основании данных инженерных изысканий участка строительства с учетом сопоставимого геотехнического опыта, для которых устанавливаются их нормативные и расчетные значения.</w:t>
      </w:r>
    </w:p>
    <w:p w:rsidR="00E35632" w:rsidRDefault="00E35632">
      <w:pPr>
        <w:pStyle w:val="ConsPlusNormal"/>
        <w:spacing w:before="220"/>
        <w:ind w:firstLine="540"/>
        <w:jc w:val="both"/>
      </w:pPr>
      <w:r>
        <w:t>Следует учитывать, что физико-механические характеристики грунтов могут:</w:t>
      </w:r>
    </w:p>
    <w:p w:rsidR="00E35632" w:rsidRDefault="00E35632">
      <w:pPr>
        <w:pStyle w:val="ConsPlusNormal"/>
        <w:spacing w:before="220"/>
        <w:ind w:firstLine="540"/>
        <w:jc w:val="both"/>
      </w:pPr>
      <w:r>
        <w:t>- обладать значительной статистической изменчивостью;</w:t>
      </w:r>
    </w:p>
    <w:p w:rsidR="00E35632" w:rsidRDefault="00E35632">
      <w:pPr>
        <w:pStyle w:val="ConsPlusNormal"/>
        <w:spacing w:before="220"/>
        <w:ind w:firstLine="540"/>
        <w:jc w:val="both"/>
      </w:pPr>
      <w:r>
        <w:t>- зависеть от напряженно-деформированного состояния в массиве и его изменений;</w:t>
      </w:r>
    </w:p>
    <w:p w:rsidR="00E35632" w:rsidRDefault="00E35632">
      <w:pPr>
        <w:pStyle w:val="ConsPlusNormal"/>
        <w:spacing w:before="220"/>
        <w:ind w:firstLine="540"/>
        <w:jc w:val="both"/>
      </w:pPr>
      <w:r>
        <w:t>- зависеть от скорости приложения нагрузок и воздействий, в т.ч., техногенных и природных;</w:t>
      </w:r>
    </w:p>
    <w:p w:rsidR="00E35632" w:rsidRDefault="00E35632">
      <w:pPr>
        <w:pStyle w:val="ConsPlusNormal"/>
        <w:spacing w:before="220"/>
        <w:ind w:firstLine="540"/>
        <w:jc w:val="both"/>
      </w:pPr>
      <w:r>
        <w:t>- зависеть от способа определения характеристики (способа испытаний);</w:t>
      </w:r>
    </w:p>
    <w:p w:rsidR="00E35632" w:rsidRDefault="00E35632">
      <w:pPr>
        <w:pStyle w:val="ConsPlusNormal"/>
        <w:spacing w:before="220"/>
        <w:ind w:firstLine="540"/>
        <w:jc w:val="both"/>
      </w:pPr>
      <w:r>
        <w:t>- зависеть от масштабного фактора, в том числе размеров испытуемых образцов грунта;</w:t>
      </w:r>
    </w:p>
    <w:p w:rsidR="00E35632" w:rsidRDefault="00E35632">
      <w:pPr>
        <w:pStyle w:val="ConsPlusNormal"/>
        <w:spacing w:before="220"/>
        <w:ind w:firstLine="540"/>
        <w:jc w:val="both"/>
      </w:pPr>
      <w:r>
        <w:t>- изменяться во времени;</w:t>
      </w:r>
    </w:p>
    <w:p w:rsidR="00E35632" w:rsidRDefault="00E35632">
      <w:pPr>
        <w:pStyle w:val="ConsPlusNormal"/>
        <w:spacing w:before="220"/>
        <w:ind w:firstLine="540"/>
        <w:jc w:val="both"/>
      </w:pPr>
      <w:r>
        <w:t>- изменяться в зависимости от температурно-климатических факторов.</w:t>
      </w:r>
    </w:p>
    <w:p w:rsidR="00E35632" w:rsidRDefault="00E35632">
      <w:pPr>
        <w:pStyle w:val="ConsPlusNormal"/>
        <w:spacing w:before="220"/>
        <w:ind w:firstLine="540"/>
        <w:jc w:val="both"/>
      </w:pPr>
      <w:r>
        <w:t>5.3.2 В расчетах следует использовать расчетные значения характеристик грунтов и скальных массивов, полученные в полевых или лабораторных условиях методом, наиболее соответствующим используемой расчетной модели.</w:t>
      </w:r>
    </w:p>
    <w:p w:rsidR="00E35632" w:rsidRDefault="00E35632">
      <w:pPr>
        <w:pStyle w:val="ConsPlusNormal"/>
        <w:spacing w:before="220"/>
        <w:ind w:firstLine="540"/>
        <w:jc w:val="both"/>
      </w:pPr>
      <w:r>
        <w:t xml:space="preserve">5.3.3 Основными параметрами механических свойств грунтов, определяющими несущую способность оснований и их деформации, являются прочностные и деформационные характеристики грунтов (угол внутреннего трения </w:t>
      </w:r>
      <w:r>
        <w:rPr>
          <w:noProof/>
          <w:position w:val="-4"/>
        </w:rPr>
        <w:drawing>
          <wp:inline distT="0" distB="0" distL="0" distR="0">
            <wp:extent cx="160020" cy="192405"/>
            <wp:effectExtent l="0" t="0" r="0" b="0"/>
            <wp:docPr id="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r>
        <w:t xml:space="preserve">, удельное сцепление </w:t>
      </w:r>
      <w:r>
        <w:rPr>
          <w:i/>
        </w:rPr>
        <w:t>c</w:t>
      </w:r>
      <w:r>
        <w:t xml:space="preserve">, предел прочности на одноосное сжатие скальных грунтов </w:t>
      </w:r>
      <w:r>
        <w:rPr>
          <w:i/>
        </w:rPr>
        <w:t>R</w:t>
      </w:r>
      <w:r>
        <w:rPr>
          <w:i/>
          <w:vertAlign w:val="subscript"/>
        </w:rPr>
        <w:t>c</w:t>
      </w:r>
      <w:r>
        <w:t xml:space="preserve">, модуль деформации </w:t>
      </w:r>
      <w:r>
        <w:rPr>
          <w:i/>
        </w:rPr>
        <w:t>E</w:t>
      </w:r>
      <w:r>
        <w:t xml:space="preserve"> и коэффициент поперечной деформации </w:t>
      </w:r>
      <w:r>
        <w:rPr>
          <w:noProof/>
          <w:position w:val="-1"/>
        </w:rPr>
        <w:drawing>
          <wp:inline distT="0" distB="0" distL="0" distR="0">
            <wp:extent cx="142240" cy="160020"/>
            <wp:effectExtent l="0" t="0" r="0" b="0"/>
            <wp:docPr id="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r>
        <w:t xml:space="preserve"> грунтов, а также другие характеристики грунтов, определяемые по отдельным программам для нестандартных, в том числе, нелинейных методов расчета оснований). Допускается применять другие параметры, характеризующие взаимодействие фундаментов с грунтом основания и установленные опытным путем (удельные силы пучения при промерзании, коэффициенты жесткости основания и пр.).</w:t>
      </w:r>
    </w:p>
    <w:p w:rsidR="00E35632" w:rsidRDefault="00E35632">
      <w:pPr>
        <w:pStyle w:val="ConsPlusNormal"/>
        <w:spacing w:before="220"/>
        <w:ind w:firstLine="540"/>
        <w:jc w:val="both"/>
      </w:pPr>
      <w:r>
        <w:t>Примечание - Далее, за исключением специально оговоренных случаев, под термином "характеристики грунтов" понимают не только механические, но и физические характеристики грунтов, а также упомянутые в настоящем пункте параметры.</w:t>
      </w:r>
    </w:p>
    <w:p w:rsidR="00E35632" w:rsidRDefault="00E35632">
      <w:pPr>
        <w:pStyle w:val="ConsPlusNormal"/>
        <w:jc w:val="both"/>
      </w:pPr>
    </w:p>
    <w:p w:rsidR="00E35632" w:rsidRDefault="00E35632">
      <w:pPr>
        <w:pStyle w:val="ConsPlusNormal"/>
        <w:ind w:firstLine="540"/>
        <w:jc w:val="both"/>
      </w:pPr>
      <w:r>
        <w:t>5.3.4 Характеристики грунтов природного сложения, а также искусственного происхождения следует определять для сооружений геотехнической категории 2 и 3 на основе их непосредственных испытаний в полевых и лабораторных условиях с учетом возможного изменения влажности грунтов в процессе строительства и эксплуатации сооружений.</w:t>
      </w:r>
    </w:p>
    <w:p w:rsidR="00E35632" w:rsidRDefault="00E35632">
      <w:pPr>
        <w:pStyle w:val="ConsPlusNormal"/>
        <w:spacing w:before="220"/>
        <w:ind w:firstLine="540"/>
        <w:jc w:val="both"/>
      </w:pPr>
      <w:r>
        <w:t xml:space="preserve">Для определения прочностных характеристик грунтов </w:t>
      </w:r>
      <w:r>
        <w:rPr>
          <w:noProof/>
          <w:position w:val="-4"/>
        </w:rPr>
        <w:drawing>
          <wp:inline distT="0" distB="0" distL="0" distR="0">
            <wp:extent cx="160020" cy="192405"/>
            <wp:effectExtent l="0" t="0" r="0" b="0"/>
            <wp:docPr id="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r>
        <w:t xml:space="preserve"> и </w:t>
      </w:r>
      <w:r>
        <w:rPr>
          <w:i/>
        </w:rPr>
        <w:t>c</w:t>
      </w:r>
      <w:r>
        <w:t>, в которых прогнозируется повышение влажности, образцы грунтов предварительно насыщают водой до значений влажности, соответствующих прогнозу.</w:t>
      </w:r>
    </w:p>
    <w:p w:rsidR="00E35632" w:rsidRDefault="00E35632">
      <w:pPr>
        <w:pStyle w:val="ConsPlusNormal"/>
        <w:spacing w:before="220"/>
        <w:ind w:firstLine="540"/>
        <w:jc w:val="both"/>
      </w:pPr>
      <w:r>
        <w:t xml:space="preserve">При определении модуля деформации в полевых условиях допускается проводить испытания грунта при природной влажности, при этом необходима последующая корректировка полученного значения модуля деформации на основе компрессионных испытаний, проведенных при естественной влажности и влажности, соответствующей прогнозу. В отчетных материалах следует </w:t>
      </w:r>
      <w:r>
        <w:lastRenderedPageBreak/>
        <w:t>приводить совместный анализ результатов выполненных полевых и лабораторных исследований.</w:t>
      </w:r>
    </w:p>
    <w:p w:rsidR="00E35632" w:rsidRDefault="00E35632">
      <w:pPr>
        <w:pStyle w:val="ConsPlusNormal"/>
        <w:spacing w:before="220"/>
        <w:ind w:firstLine="540"/>
        <w:jc w:val="both"/>
      </w:pPr>
      <w:bookmarkStart w:id="26" w:name="P520"/>
      <w:bookmarkEnd w:id="26"/>
      <w:r>
        <w:t>5.3.5 Наиболее достоверными методами определения деформационных характеристик дисперсных грунтов являются полевые испытания статическими нагрузками в шурфах, дудках или котлованах с помощью штампов площадью 2500 - 5000 см</w:t>
      </w:r>
      <w:r>
        <w:rPr>
          <w:vertAlign w:val="superscript"/>
        </w:rPr>
        <w:t>2</w:t>
      </w:r>
      <w:r>
        <w:t>, а также в скважинах или в массиве с помощью плоского штампа или винтовой лопасти-штампа площадью 600 см</w:t>
      </w:r>
      <w:r>
        <w:rPr>
          <w:vertAlign w:val="superscript"/>
        </w:rPr>
        <w:t>2</w:t>
      </w:r>
      <w:r>
        <w:t xml:space="preserve"> или прессиометров (</w:t>
      </w:r>
      <w:hyperlink r:id="rId236">
        <w:r>
          <w:rPr>
            <w:color w:val="0000FF"/>
          </w:rPr>
          <w:t>ГОСТ 20276.1</w:t>
        </w:r>
      </w:hyperlink>
      <w:r>
        <w:t xml:space="preserve">, </w:t>
      </w:r>
      <w:hyperlink r:id="rId237">
        <w:r>
          <w:rPr>
            <w:color w:val="0000FF"/>
          </w:rPr>
          <w:t>ГОСТ 20276.2</w:t>
        </w:r>
      </w:hyperlink>
      <w:r>
        <w:t xml:space="preserve">, </w:t>
      </w:r>
      <w:hyperlink r:id="rId238">
        <w:r>
          <w:rPr>
            <w:color w:val="0000FF"/>
          </w:rPr>
          <w:t>ГОСТ 20276.6</w:t>
        </w:r>
      </w:hyperlink>
      <w:r>
        <w:t xml:space="preserve">, </w:t>
      </w:r>
      <w:hyperlink r:id="rId239">
        <w:r>
          <w:rPr>
            <w:color w:val="0000FF"/>
          </w:rPr>
          <w:t>ГОСТ 20276.7</w:t>
        </w:r>
      </w:hyperlink>
      <w:r>
        <w:t>).</w:t>
      </w:r>
    </w:p>
    <w:p w:rsidR="00E35632" w:rsidRDefault="00E35632">
      <w:pPr>
        <w:pStyle w:val="ConsPlusNormal"/>
        <w:jc w:val="both"/>
      </w:pPr>
      <w:r>
        <w:t xml:space="preserve">(в ред. </w:t>
      </w:r>
      <w:hyperlink r:id="rId240">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bookmarkStart w:id="27" w:name="P522"/>
      <w:bookmarkEnd w:id="27"/>
      <w:r>
        <w:t xml:space="preserve">5.3.6 Значения модуля деформации </w:t>
      </w:r>
      <w:r>
        <w:rPr>
          <w:i/>
        </w:rPr>
        <w:t>E</w:t>
      </w:r>
      <w:r>
        <w:t xml:space="preserve"> песков и глинистых грунтов могут быть определены полевыми методами испытаний штампами </w:t>
      </w:r>
      <w:hyperlink r:id="rId241">
        <w:r>
          <w:rPr>
            <w:color w:val="0000FF"/>
          </w:rPr>
          <w:t>(ГОСТ 20276.1)</w:t>
        </w:r>
      </w:hyperlink>
      <w:r>
        <w:t>, прессиометрами (</w:t>
      </w:r>
      <w:hyperlink r:id="rId242">
        <w:r>
          <w:rPr>
            <w:color w:val="0000FF"/>
          </w:rPr>
          <w:t>ГОСТ 20276.2</w:t>
        </w:r>
      </w:hyperlink>
      <w:r>
        <w:t xml:space="preserve">, </w:t>
      </w:r>
      <w:hyperlink r:id="rId243">
        <w:r>
          <w:rPr>
            <w:color w:val="0000FF"/>
          </w:rPr>
          <w:t>ГОСТ 20276.6</w:t>
        </w:r>
      </w:hyperlink>
      <w:r>
        <w:t xml:space="preserve">, </w:t>
      </w:r>
      <w:hyperlink r:id="rId244">
        <w:r>
          <w:rPr>
            <w:color w:val="0000FF"/>
          </w:rPr>
          <w:t>ГОСТ 20276.7</w:t>
        </w:r>
      </w:hyperlink>
      <w:r>
        <w:t xml:space="preserve">), статическим и динамическим зондированием </w:t>
      </w:r>
      <w:hyperlink r:id="rId245">
        <w:r>
          <w:rPr>
            <w:color w:val="0000FF"/>
          </w:rPr>
          <w:t>(ГОСТ 19912)</w:t>
        </w:r>
      </w:hyperlink>
      <w:r>
        <w:t xml:space="preserve">, дилатометром </w:t>
      </w:r>
      <w:hyperlink r:id="rId246">
        <w:r>
          <w:rPr>
            <w:color w:val="0000FF"/>
          </w:rPr>
          <w:t>(ГОСТ Р 58270)</w:t>
        </w:r>
      </w:hyperlink>
      <w:r>
        <w:t xml:space="preserve">, а также лабораторными методами испытаний в условиях трехосного </w:t>
      </w:r>
      <w:hyperlink r:id="rId247">
        <w:r>
          <w:rPr>
            <w:color w:val="0000FF"/>
          </w:rPr>
          <w:t>(ГОСТ 12248.3)</w:t>
        </w:r>
      </w:hyperlink>
      <w:r>
        <w:t xml:space="preserve"> и компрессионного сжатия </w:t>
      </w:r>
      <w:hyperlink r:id="rId248">
        <w:r>
          <w:rPr>
            <w:color w:val="0000FF"/>
          </w:rPr>
          <w:t>(ГОСТ 12248.4)</w:t>
        </w:r>
      </w:hyperlink>
      <w:r>
        <w:t>. Иные деформационные характеристики, используемые в расчетах, должны определяться по дополнительному требованию в задании на производство инженерных изысканий при соответствующем обосновании в программе работ.</w:t>
      </w:r>
    </w:p>
    <w:p w:rsidR="00E35632" w:rsidRDefault="00E35632">
      <w:pPr>
        <w:pStyle w:val="ConsPlusNormal"/>
        <w:spacing w:before="220"/>
        <w:ind w:firstLine="540"/>
        <w:jc w:val="both"/>
      </w:pPr>
      <w:r>
        <w:t xml:space="preserve">Примечание - При использовании иных деформационных характеристик и нелинейных геотехнических моделей для расчетов оснований зданий и сооружений в соответствии с </w:t>
      </w:r>
      <w:hyperlink w:anchor="P416">
        <w:r>
          <w:rPr>
            <w:color w:val="0000FF"/>
          </w:rPr>
          <w:t>5.1.11</w:t>
        </w:r>
      </w:hyperlink>
      <w:r>
        <w:t xml:space="preserve"> и </w:t>
      </w:r>
      <w:hyperlink w:anchor="P446">
        <w:r>
          <w:rPr>
            <w:color w:val="0000FF"/>
          </w:rPr>
          <w:t>5.1.13б</w:t>
        </w:r>
      </w:hyperlink>
      <w:r>
        <w:t xml:space="preserve"> результаты трехосных испытаний могут корректироваться с учетом </w:t>
      </w:r>
      <w:hyperlink w:anchor="P428">
        <w:r>
          <w:rPr>
            <w:color w:val="0000FF"/>
          </w:rPr>
          <w:t>5.1.12а</w:t>
        </w:r>
      </w:hyperlink>
      <w:r>
        <w:t>.</w:t>
      </w:r>
    </w:p>
    <w:p w:rsidR="00E35632" w:rsidRDefault="00E35632">
      <w:pPr>
        <w:pStyle w:val="ConsPlusNormal"/>
        <w:jc w:val="both"/>
      </w:pPr>
      <w:r>
        <w:t xml:space="preserve">(п. 5.3.6 в ред. </w:t>
      </w:r>
      <w:hyperlink r:id="rId249">
        <w:r>
          <w:rPr>
            <w:color w:val="0000FF"/>
          </w:rPr>
          <w:t>Изменения N 4</w:t>
        </w:r>
      </w:hyperlink>
      <w:r>
        <w:t>, утв. Приказом Минстроя России от 27.12.2021 N 1022/пр)</w:t>
      </w:r>
    </w:p>
    <w:p w:rsidR="00E35632" w:rsidRDefault="00E35632">
      <w:pPr>
        <w:pStyle w:val="ConsPlusNormal"/>
        <w:ind w:firstLine="540"/>
        <w:jc w:val="both"/>
      </w:pPr>
    </w:p>
    <w:p w:rsidR="00E35632" w:rsidRDefault="00E35632">
      <w:pPr>
        <w:pStyle w:val="ConsPlusNormal"/>
        <w:ind w:firstLine="540"/>
        <w:jc w:val="both"/>
      </w:pPr>
      <w:bookmarkStart w:id="28" w:name="P526"/>
      <w:bookmarkEnd w:id="28"/>
      <w:r>
        <w:t xml:space="preserve">5.3.7 Для расчета оснований по деформациям в соответствии с </w:t>
      </w:r>
      <w:hyperlink w:anchor="P805">
        <w:r>
          <w:rPr>
            <w:color w:val="0000FF"/>
          </w:rPr>
          <w:t>5.6</w:t>
        </w:r>
      </w:hyperlink>
      <w:r>
        <w:t xml:space="preserve"> могут быть приняты значения модуля деформации </w:t>
      </w:r>
      <w:r>
        <w:rPr>
          <w:i/>
        </w:rPr>
        <w:t>E</w:t>
      </w:r>
      <w:r>
        <w:t xml:space="preserve"> песчаных и глинистых грунтов сжимаемой толщи, полученные следующими методами.</w:t>
      </w:r>
    </w:p>
    <w:p w:rsidR="00E35632" w:rsidRDefault="00E35632">
      <w:pPr>
        <w:pStyle w:val="ConsPlusNormal"/>
        <w:spacing w:before="220"/>
        <w:ind w:firstLine="540"/>
        <w:jc w:val="both"/>
      </w:pPr>
      <w:r>
        <w:t xml:space="preserve">Для зданий и сооружений повышенного уровня ответственности при нагрузках на фундаменты более 0,25 МПа значения модуля деформации </w:t>
      </w:r>
      <w:r>
        <w:rPr>
          <w:i/>
        </w:rPr>
        <w:t>E</w:t>
      </w:r>
      <w:r>
        <w:t xml:space="preserve"> грунтов сжимаемой толщи, определенные по данным полевых испытаний статическим и динамическим зондированием </w:t>
      </w:r>
      <w:hyperlink r:id="rId250">
        <w:r>
          <w:rPr>
            <w:color w:val="0000FF"/>
          </w:rPr>
          <w:t>(ГОСТ 19912)</w:t>
        </w:r>
      </w:hyperlink>
      <w:r>
        <w:t xml:space="preserve">, дилатометром </w:t>
      </w:r>
      <w:hyperlink r:id="rId251">
        <w:r>
          <w:rPr>
            <w:color w:val="0000FF"/>
          </w:rPr>
          <w:t>(ГОСТ Р 58270)</w:t>
        </w:r>
      </w:hyperlink>
      <w:r>
        <w:t xml:space="preserve">, трехосных </w:t>
      </w:r>
      <w:hyperlink r:id="rId252">
        <w:r>
          <w:rPr>
            <w:color w:val="0000FF"/>
          </w:rPr>
          <w:t>(ГОСТ 12248.3)</w:t>
        </w:r>
      </w:hyperlink>
      <w:r>
        <w:t xml:space="preserve"> и компрессионных испытаний </w:t>
      </w:r>
      <w:hyperlink r:id="rId253">
        <w:r>
          <w:rPr>
            <w:color w:val="0000FF"/>
          </w:rPr>
          <w:t>(ГОСТ 12248.4)</w:t>
        </w:r>
      </w:hyperlink>
      <w:r>
        <w:t xml:space="preserve">, следует корректировать на основе их сопоставления с результатами параллельно проводимых штамповых </w:t>
      </w:r>
      <w:hyperlink r:id="rId254">
        <w:r>
          <w:rPr>
            <w:color w:val="0000FF"/>
          </w:rPr>
          <w:t>(ГОСТ 20276.1)</w:t>
        </w:r>
      </w:hyperlink>
      <w:r>
        <w:t xml:space="preserve"> или прессиометрических испытаний (</w:t>
      </w:r>
      <w:hyperlink r:id="rId255">
        <w:r>
          <w:rPr>
            <w:color w:val="0000FF"/>
          </w:rPr>
          <w:t>ГОСТ 20276.2</w:t>
        </w:r>
      </w:hyperlink>
      <w:r>
        <w:t xml:space="preserve">, </w:t>
      </w:r>
      <w:hyperlink r:id="rId256">
        <w:r>
          <w:rPr>
            <w:color w:val="0000FF"/>
          </w:rPr>
          <w:t>ГОСТ 20276.6</w:t>
        </w:r>
      </w:hyperlink>
      <w:r>
        <w:t xml:space="preserve">, </w:t>
      </w:r>
      <w:hyperlink r:id="rId257">
        <w:r>
          <w:rPr>
            <w:color w:val="0000FF"/>
          </w:rPr>
          <w:t>ГОСТ 20276.7</w:t>
        </w:r>
      </w:hyperlink>
      <w:r>
        <w:t xml:space="preserve">) (см. </w:t>
      </w:r>
      <w:hyperlink w:anchor="P520">
        <w:r>
          <w:rPr>
            <w:color w:val="0000FF"/>
          </w:rPr>
          <w:t>5.3.5</w:t>
        </w:r>
      </w:hyperlink>
      <w:r>
        <w:t>).</w:t>
      </w:r>
    </w:p>
    <w:p w:rsidR="00E35632" w:rsidRDefault="00E35632">
      <w:pPr>
        <w:pStyle w:val="ConsPlusNormal"/>
        <w:spacing w:before="220"/>
        <w:ind w:firstLine="540"/>
        <w:jc w:val="both"/>
      </w:pPr>
      <w:r>
        <w:t xml:space="preserve">Для зданий и сооружений повышенного уровня ответственности при нагрузках на фундаменты менее 0,25 МПа и сооружений нормального уровня ответственности значения модуля деформации </w:t>
      </w:r>
      <w:r>
        <w:rPr>
          <w:i/>
        </w:rPr>
        <w:t>E</w:t>
      </w:r>
      <w:r>
        <w:t xml:space="preserve"> грунтов сжимаемой толщи, определенные по данным полевых испытаний статическим и динамическим зондированием </w:t>
      </w:r>
      <w:hyperlink r:id="rId258">
        <w:r>
          <w:rPr>
            <w:color w:val="0000FF"/>
          </w:rPr>
          <w:t>(ГОСТ 19912)</w:t>
        </w:r>
      </w:hyperlink>
      <w:r>
        <w:t xml:space="preserve">, дилатометром </w:t>
      </w:r>
      <w:hyperlink r:id="rId259">
        <w:r>
          <w:rPr>
            <w:color w:val="0000FF"/>
          </w:rPr>
          <w:t>(ГОСТ Р 58270)</w:t>
        </w:r>
      </w:hyperlink>
      <w:r>
        <w:t xml:space="preserve"> и компрессионных испытаний </w:t>
      </w:r>
      <w:hyperlink r:id="rId260">
        <w:r>
          <w:rPr>
            <w:color w:val="0000FF"/>
          </w:rPr>
          <w:t>(ГОСТ 12248.4)</w:t>
        </w:r>
      </w:hyperlink>
      <w:r>
        <w:t xml:space="preserve">, следует корректировать на основе их сопоставления с результатами параллельно проводимых штамповых </w:t>
      </w:r>
      <w:hyperlink r:id="rId261">
        <w:r>
          <w:rPr>
            <w:color w:val="0000FF"/>
          </w:rPr>
          <w:t>(ГОСТ 20276.1)</w:t>
        </w:r>
      </w:hyperlink>
      <w:r>
        <w:t>, прессиометрических (</w:t>
      </w:r>
      <w:hyperlink r:id="rId262">
        <w:r>
          <w:rPr>
            <w:color w:val="0000FF"/>
          </w:rPr>
          <w:t>ГОСТ 20276.2</w:t>
        </w:r>
      </w:hyperlink>
      <w:r>
        <w:t xml:space="preserve">, </w:t>
      </w:r>
      <w:hyperlink r:id="rId263">
        <w:r>
          <w:rPr>
            <w:color w:val="0000FF"/>
          </w:rPr>
          <w:t>ГОСТ 20276.6</w:t>
        </w:r>
      </w:hyperlink>
      <w:r>
        <w:t xml:space="preserve">, </w:t>
      </w:r>
      <w:hyperlink r:id="rId264">
        <w:r>
          <w:rPr>
            <w:color w:val="0000FF"/>
          </w:rPr>
          <w:t>ГОСТ 20276.7</w:t>
        </w:r>
      </w:hyperlink>
      <w:r>
        <w:t xml:space="preserve">) или трехосных испытаний </w:t>
      </w:r>
      <w:hyperlink r:id="rId265">
        <w:r>
          <w:rPr>
            <w:color w:val="0000FF"/>
          </w:rPr>
          <w:t>(ГОСТ 12248.3)</w:t>
        </w:r>
      </w:hyperlink>
      <w:r>
        <w:t>. При наличии статистически обоснованных региональных данных, приведенных в нормативных документах (в т.ч. региональных), для данной категории зданий и сооружений допускается принимать значения модуля деформации только по результатам статического и динамического зондирования, испытаний дилатометром.</w:t>
      </w:r>
    </w:p>
    <w:p w:rsidR="00E35632" w:rsidRDefault="00E35632">
      <w:pPr>
        <w:pStyle w:val="ConsPlusNormal"/>
        <w:spacing w:before="220"/>
        <w:ind w:firstLine="540"/>
        <w:jc w:val="both"/>
      </w:pPr>
      <w:r>
        <w:t xml:space="preserve">Для сооружений пониженного уровня ответственности допускается определять значения </w:t>
      </w:r>
      <w:r>
        <w:rPr>
          <w:i/>
        </w:rPr>
        <w:t>E</w:t>
      </w:r>
      <w:r>
        <w:t xml:space="preserve"> грунтов сжимаемой толщи только по результатам компрессионных испытаний, корректируя их с помощью повышающих коэффициентов </w:t>
      </w:r>
      <w:r>
        <w:rPr>
          <w:i/>
        </w:rPr>
        <w:t>m</w:t>
      </w:r>
      <w:r>
        <w:rPr>
          <w:i/>
          <w:vertAlign w:val="subscript"/>
        </w:rPr>
        <w:t>oed</w:t>
      </w:r>
      <w:r>
        <w:t xml:space="preserve">, приведенных в </w:t>
      </w:r>
      <w:hyperlink w:anchor="P535">
        <w:r>
          <w:rPr>
            <w:color w:val="0000FF"/>
          </w:rPr>
          <w:t>таблице 5.1</w:t>
        </w:r>
      </w:hyperlink>
      <w:r>
        <w:t xml:space="preserve">. Табличные коэффициенты распространяются на четвертичные глинистые грунты с показателем текучести 0 &lt; </w:t>
      </w:r>
      <w:r>
        <w:rPr>
          <w:i/>
        </w:rPr>
        <w:t>I</w:t>
      </w:r>
      <w:r>
        <w:rPr>
          <w:i/>
          <w:vertAlign w:val="subscript"/>
        </w:rPr>
        <w:t>L</w:t>
      </w:r>
      <w:r>
        <w:t xml:space="preserve"> &lt;= 1. При этом в качестве модуля деформации по компрессионным испытаниям </w:t>
      </w:r>
      <w:hyperlink r:id="rId266">
        <w:r>
          <w:rPr>
            <w:color w:val="0000FF"/>
          </w:rPr>
          <w:t>(ГОСТ 12248.4)</w:t>
        </w:r>
      </w:hyperlink>
      <w:r>
        <w:t xml:space="preserve"> принимают значение одометрического модуля </w:t>
      </w:r>
      <w:r>
        <w:rPr>
          <w:i/>
        </w:rPr>
        <w:t>E</w:t>
      </w:r>
      <w:r>
        <w:rPr>
          <w:i/>
          <w:vertAlign w:val="subscript"/>
        </w:rPr>
        <w:t>oed</w:t>
      </w:r>
      <w:r>
        <w:t xml:space="preserve">, вычисленного по относительной деформации </w:t>
      </w:r>
      <w:r>
        <w:rPr>
          <w:noProof/>
        </w:rPr>
        <w:drawing>
          <wp:inline distT="0" distB="0" distL="0" distR="0">
            <wp:extent cx="146685" cy="146050"/>
            <wp:effectExtent l="0" t="0" r="0" b="0"/>
            <wp:docPr id="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146685" cy="146050"/>
                    </a:xfrm>
                    <a:prstGeom prst="rect">
                      <a:avLst/>
                    </a:prstGeom>
                    <a:noFill/>
                    <a:ln>
                      <a:noFill/>
                    </a:ln>
                  </pic:spPr>
                </pic:pic>
              </a:graphicData>
            </a:graphic>
          </wp:inline>
        </w:drawing>
      </w:r>
      <w:r>
        <w:t xml:space="preserve"> в интервале давлений </w:t>
      </w:r>
      <w:r>
        <w:rPr>
          <w:noProof/>
          <w:position w:val="-7"/>
        </w:rPr>
        <w:drawing>
          <wp:inline distT="0" distB="0" distL="0" distR="0">
            <wp:extent cx="1315720" cy="231140"/>
            <wp:effectExtent l="0" t="0" r="0" b="0"/>
            <wp:docPr id="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1315720" cy="231140"/>
                    </a:xfrm>
                    <a:prstGeom prst="rect">
                      <a:avLst/>
                    </a:prstGeom>
                    <a:noFill/>
                    <a:ln>
                      <a:noFill/>
                    </a:ln>
                  </pic:spPr>
                </pic:pic>
              </a:graphicData>
            </a:graphic>
          </wp:inline>
        </w:drawing>
      </w:r>
      <w:r>
        <w:t>:</w:t>
      </w:r>
    </w:p>
    <w:p w:rsidR="00E35632" w:rsidRDefault="00E35632">
      <w:pPr>
        <w:pStyle w:val="ConsPlusNormal"/>
        <w:jc w:val="both"/>
      </w:pPr>
    </w:p>
    <w:p w:rsidR="00E35632" w:rsidRDefault="00E35632">
      <w:pPr>
        <w:pStyle w:val="ConsPlusNormal"/>
        <w:jc w:val="center"/>
      </w:pPr>
      <w:r>
        <w:rPr>
          <w:noProof/>
          <w:position w:val="-23"/>
        </w:rPr>
        <w:lastRenderedPageBreak/>
        <w:drawing>
          <wp:inline distT="0" distB="0" distL="0" distR="0">
            <wp:extent cx="821055" cy="440055"/>
            <wp:effectExtent l="0" t="0" r="0" b="0"/>
            <wp:docPr id="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821055" cy="440055"/>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ind w:firstLine="540"/>
        <w:jc w:val="both"/>
      </w:pPr>
      <w:r>
        <w:t xml:space="preserve">Примечание - При наличии статистически обоснованных данных, приведенных в нормативных документах, значения </w:t>
      </w:r>
      <w:r>
        <w:rPr>
          <w:i/>
        </w:rPr>
        <w:t>m</w:t>
      </w:r>
      <w:r>
        <w:rPr>
          <w:i/>
          <w:vertAlign w:val="subscript"/>
        </w:rPr>
        <w:t>oed</w:t>
      </w:r>
      <w:r>
        <w:t xml:space="preserve"> могут применяться для сооружений нормального уровня ответственности.</w:t>
      </w:r>
    </w:p>
    <w:p w:rsidR="00E35632" w:rsidRDefault="00E35632">
      <w:pPr>
        <w:pStyle w:val="ConsPlusNormal"/>
        <w:jc w:val="both"/>
      </w:pPr>
    </w:p>
    <w:p w:rsidR="00E35632" w:rsidRDefault="00E35632">
      <w:pPr>
        <w:pStyle w:val="ConsPlusNormal"/>
        <w:jc w:val="right"/>
      </w:pPr>
      <w:bookmarkStart w:id="29" w:name="P535"/>
      <w:bookmarkEnd w:id="29"/>
      <w:r>
        <w:t>Таблица 5.1</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01"/>
        <w:gridCol w:w="1417"/>
        <w:gridCol w:w="1191"/>
        <w:gridCol w:w="1191"/>
        <w:gridCol w:w="1191"/>
        <w:gridCol w:w="1191"/>
        <w:gridCol w:w="1191"/>
      </w:tblGrid>
      <w:tr w:rsidR="00E35632">
        <w:tc>
          <w:tcPr>
            <w:tcW w:w="1701" w:type="dxa"/>
            <w:vMerge w:val="restart"/>
            <w:vAlign w:val="center"/>
          </w:tcPr>
          <w:p w:rsidR="00E35632" w:rsidRDefault="00E35632">
            <w:pPr>
              <w:pStyle w:val="ConsPlusNormal"/>
              <w:jc w:val="center"/>
            </w:pPr>
            <w:r>
              <w:t>Грунты</w:t>
            </w:r>
          </w:p>
        </w:tc>
        <w:tc>
          <w:tcPr>
            <w:tcW w:w="7372" w:type="dxa"/>
            <w:gridSpan w:val="6"/>
            <w:vAlign w:val="center"/>
          </w:tcPr>
          <w:p w:rsidR="00E35632" w:rsidRDefault="00E35632">
            <w:pPr>
              <w:pStyle w:val="ConsPlusNormal"/>
              <w:jc w:val="center"/>
            </w:pPr>
            <w:r>
              <w:t xml:space="preserve">Значения </w:t>
            </w:r>
            <w:r>
              <w:rPr>
                <w:i/>
              </w:rPr>
              <w:t>m</w:t>
            </w:r>
            <w:r>
              <w:rPr>
                <w:i/>
                <w:vertAlign w:val="subscript"/>
              </w:rPr>
              <w:t>oed</w:t>
            </w:r>
            <w:r>
              <w:t xml:space="preserve"> при коэффициенте пористости </w:t>
            </w:r>
            <w:r>
              <w:rPr>
                <w:i/>
              </w:rPr>
              <w:t>e</w:t>
            </w:r>
            <w:r>
              <w:t>, равном</w:t>
            </w:r>
          </w:p>
        </w:tc>
      </w:tr>
      <w:tr w:rsidR="00E35632">
        <w:tc>
          <w:tcPr>
            <w:tcW w:w="1701" w:type="dxa"/>
            <w:vMerge/>
          </w:tcPr>
          <w:p w:rsidR="00E35632" w:rsidRDefault="00E35632">
            <w:pPr>
              <w:pStyle w:val="ConsPlusNormal"/>
            </w:pPr>
          </w:p>
        </w:tc>
        <w:tc>
          <w:tcPr>
            <w:tcW w:w="1417" w:type="dxa"/>
            <w:vAlign w:val="center"/>
          </w:tcPr>
          <w:p w:rsidR="00E35632" w:rsidRDefault="00E35632">
            <w:pPr>
              <w:pStyle w:val="ConsPlusNormal"/>
              <w:jc w:val="center"/>
            </w:pPr>
            <w:r>
              <w:t>0,45 - 0,55</w:t>
            </w:r>
          </w:p>
        </w:tc>
        <w:tc>
          <w:tcPr>
            <w:tcW w:w="1191" w:type="dxa"/>
            <w:vAlign w:val="center"/>
          </w:tcPr>
          <w:p w:rsidR="00E35632" w:rsidRDefault="00E35632">
            <w:pPr>
              <w:pStyle w:val="ConsPlusNormal"/>
              <w:jc w:val="center"/>
            </w:pPr>
            <w:r>
              <w:t>0,65</w:t>
            </w:r>
          </w:p>
        </w:tc>
        <w:tc>
          <w:tcPr>
            <w:tcW w:w="1191" w:type="dxa"/>
            <w:vAlign w:val="center"/>
          </w:tcPr>
          <w:p w:rsidR="00E35632" w:rsidRDefault="00E35632">
            <w:pPr>
              <w:pStyle w:val="ConsPlusNormal"/>
              <w:jc w:val="center"/>
            </w:pPr>
            <w:r>
              <w:t>0,75</w:t>
            </w:r>
          </w:p>
        </w:tc>
        <w:tc>
          <w:tcPr>
            <w:tcW w:w="1191" w:type="dxa"/>
            <w:vAlign w:val="center"/>
          </w:tcPr>
          <w:p w:rsidR="00E35632" w:rsidRDefault="00E35632">
            <w:pPr>
              <w:pStyle w:val="ConsPlusNormal"/>
              <w:jc w:val="center"/>
            </w:pPr>
            <w:r>
              <w:t>0,85</w:t>
            </w:r>
          </w:p>
        </w:tc>
        <w:tc>
          <w:tcPr>
            <w:tcW w:w="1191" w:type="dxa"/>
            <w:vAlign w:val="center"/>
          </w:tcPr>
          <w:p w:rsidR="00E35632" w:rsidRDefault="00E35632">
            <w:pPr>
              <w:pStyle w:val="ConsPlusNormal"/>
              <w:jc w:val="center"/>
            </w:pPr>
            <w:r>
              <w:t>0,95</w:t>
            </w:r>
          </w:p>
        </w:tc>
        <w:tc>
          <w:tcPr>
            <w:tcW w:w="1191" w:type="dxa"/>
            <w:vAlign w:val="center"/>
          </w:tcPr>
          <w:p w:rsidR="00E35632" w:rsidRDefault="00E35632">
            <w:pPr>
              <w:pStyle w:val="ConsPlusNormal"/>
              <w:jc w:val="center"/>
            </w:pPr>
            <w:r>
              <w:t>1,05</w:t>
            </w:r>
          </w:p>
        </w:tc>
      </w:tr>
      <w:tr w:rsidR="00E35632">
        <w:tc>
          <w:tcPr>
            <w:tcW w:w="1701" w:type="dxa"/>
          </w:tcPr>
          <w:p w:rsidR="00E35632" w:rsidRDefault="00E35632">
            <w:pPr>
              <w:pStyle w:val="ConsPlusNormal"/>
            </w:pPr>
            <w:r>
              <w:t>Супеси</w:t>
            </w:r>
          </w:p>
        </w:tc>
        <w:tc>
          <w:tcPr>
            <w:tcW w:w="1417" w:type="dxa"/>
          </w:tcPr>
          <w:p w:rsidR="00E35632" w:rsidRDefault="00E35632">
            <w:pPr>
              <w:pStyle w:val="ConsPlusNormal"/>
              <w:jc w:val="center"/>
            </w:pPr>
            <w:r>
              <w:t>2,8</w:t>
            </w:r>
          </w:p>
        </w:tc>
        <w:tc>
          <w:tcPr>
            <w:tcW w:w="1191" w:type="dxa"/>
          </w:tcPr>
          <w:p w:rsidR="00E35632" w:rsidRDefault="00E35632">
            <w:pPr>
              <w:pStyle w:val="ConsPlusNormal"/>
              <w:jc w:val="center"/>
            </w:pPr>
            <w:r>
              <w:t>2,5</w:t>
            </w:r>
          </w:p>
        </w:tc>
        <w:tc>
          <w:tcPr>
            <w:tcW w:w="1191" w:type="dxa"/>
          </w:tcPr>
          <w:p w:rsidR="00E35632" w:rsidRDefault="00E35632">
            <w:pPr>
              <w:pStyle w:val="ConsPlusNormal"/>
              <w:jc w:val="center"/>
            </w:pPr>
            <w:r>
              <w:t>2,1</w:t>
            </w:r>
          </w:p>
        </w:tc>
        <w:tc>
          <w:tcPr>
            <w:tcW w:w="1191" w:type="dxa"/>
          </w:tcPr>
          <w:p w:rsidR="00E35632" w:rsidRDefault="00E35632">
            <w:pPr>
              <w:pStyle w:val="ConsPlusNormal"/>
              <w:jc w:val="center"/>
            </w:pPr>
            <w:r>
              <w:t>1,4</w:t>
            </w:r>
          </w:p>
        </w:tc>
        <w:tc>
          <w:tcPr>
            <w:tcW w:w="1191" w:type="dxa"/>
          </w:tcPr>
          <w:p w:rsidR="00E35632" w:rsidRDefault="00E35632">
            <w:pPr>
              <w:pStyle w:val="ConsPlusNormal"/>
              <w:jc w:val="center"/>
            </w:pPr>
            <w:r>
              <w:t>-</w:t>
            </w:r>
          </w:p>
        </w:tc>
        <w:tc>
          <w:tcPr>
            <w:tcW w:w="1191" w:type="dxa"/>
          </w:tcPr>
          <w:p w:rsidR="00E35632" w:rsidRDefault="00E35632">
            <w:pPr>
              <w:pStyle w:val="ConsPlusNormal"/>
              <w:jc w:val="center"/>
            </w:pPr>
            <w:r>
              <w:t>-</w:t>
            </w:r>
          </w:p>
        </w:tc>
      </w:tr>
      <w:tr w:rsidR="00E35632">
        <w:tc>
          <w:tcPr>
            <w:tcW w:w="1701" w:type="dxa"/>
          </w:tcPr>
          <w:p w:rsidR="00E35632" w:rsidRDefault="00E35632">
            <w:pPr>
              <w:pStyle w:val="ConsPlusNormal"/>
            </w:pPr>
            <w:r>
              <w:t>Суглинки</w:t>
            </w:r>
          </w:p>
        </w:tc>
        <w:tc>
          <w:tcPr>
            <w:tcW w:w="1417" w:type="dxa"/>
          </w:tcPr>
          <w:p w:rsidR="00E35632" w:rsidRDefault="00E35632">
            <w:pPr>
              <w:pStyle w:val="ConsPlusNormal"/>
              <w:jc w:val="center"/>
            </w:pPr>
            <w:r>
              <w:t>3</w:t>
            </w:r>
          </w:p>
        </w:tc>
        <w:tc>
          <w:tcPr>
            <w:tcW w:w="1191" w:type="dxa"/>
          </w:tcPr>
          <w:p w:rsidR="00E35632" w:rsidRDefault="00E35632">
            <w:pPr>
              <w:pStyle w:val="ConsPlusNormal"/>
              <w:jc w:val="center"/>
            </w:pPr>
            <w:r>
              <w:t>2,7</w:t>
            </w:r>
          </w:p>
        </w:tc>
        <w:tc>
          <w:tcPr>
            <w:tcW w:w="1191" w:type="dxa"/>
          </w:tcPr>
          <w:p w:rsidR="00E35632" w:rsidRDefault="00E35632">
            <w:pPr>
              <w:pStyle w:val="ConsPlusNormal"/>
              <w:jc w:val="center"/>
            </w:pPr>
            <w:r>
              <w:t>2,4</w:t>
            </w:r>
          </w:p>
        </w:tc>
        <w:tc>
          <w:tcPr>
            <w:tcW w:w="1191" w:type="dxa"/>
          </w:tcPr>
          <w:p w:rsidR="00E35632" w:rsidRDefault="00E35632">
            <w:pPr>
              <w:pStyle w:val="ConsPlusNormal"/>
              <w:jc w:val="center"/>
            </w:pPr>
            <w:r>
              <w:t>2,0</w:t>
            </w:r>
          </w:p>
        </w:tc>
        <w:tc>
          <w:tcPr>
            <w:tcW w:w="1191" w:type="dxa"/>
          </w:tcPr>
          <w:p w:rsidR="00E35632" w:rsidRDefault="00E35632">
            <w:pPr>
              <w:pStyle w:val="ConsPlusNormal"/>
              <w:jc w:val="center"/>
            </w:pPr>
            <w:r>
              <w:t>1,5</w:t>
            </w:r>
          </w:p>
        </w:tc>
        <w:tc>
          <w:tcPr>
            <w:tcW w:w="1191" w:type="dxa"/>
          </w:tcPr>
          <w:p w:rsidR="00E35632" w:rsidRDefault="00E35632">
            <w:pPr>
              <w:pStyle w:val="ConsPlusNormal"/>
              <w:jc w:val="center"/>
            </w:pPr>
            <w:r>
              <w:t>1,0</w:t>
            </w:r>
          </w:p>
        </w:tc>
      </w:tr>
      <w:tr w:rsidR="00E35632">
        <w:tc>
          <w:tcPr>
            <w:tcW w:w="1701" w:type="dxa"/>
          </w:tcPr>
          <w:p w:rsidR="00E35632" w:rsidRDefault="00E35632">
            <w:pPr>
              <w:pStyle w:val="ConsPlusNormal"/>
            </w:pPr>
            <w:r>
              <w:t>Глины</w:t>
            </w:r>
          </w:p>
        </w:tc>
        <w:tc>
          <w:tcPr>
            <w:tcW w:w="1417" w:type="dxa"/>
          </w:tcPr>
          <w:p w:rsidR="00E35632" w:rsidRDefault="00E35632">
            <w:pPr>
              <w:pStyle w:val="ConsPlusNormal"/>
              <w:jc w:val="center"/>
            </w:pPr>
            <w:r>
              <w:t>-</w:t>
            </w:r>
          </w:p>
        </w:tc>
        <w:tc>
          <w:tcPr>
            <w:tcW w:w="1191" w:type="dxa"/>
          </w:tcPr>
          <w:p w:rsidR="00E35632" w:rsidRDefault="00E35632">
            <w:pPr>
              <w:pStyle w:val="ConsPlusNormal"/>
              <w:jc w:val="center"/>
            </w:pPr>
            <w:r>
              <w:t>2,4</w:t>
            </w:r>
          </w:p>
        </w:tc>
        <w:tc>
          <w:tcPr>
            <w:tcW w:w="1191" w:type="dxa"/>
          </w:tcPr>
          <w:p w:rsidR="00E35632" w:rsidRDefault="00E35632">
            <w:pPr>
              <w:pStyle w:val="ConsPlusNormal"/>
              <w:jc w:val="center"/>
            </w:pPr>
            <w:r>
              <w:t>2,3</w:t>
            </w:r>
          </w:p>
        </w:tc>
        <w:tc>
          <w:tcPr>
            <w:tcW w:w="1191" w:type="dxa"/>
          </w:tcPr>
          <w:p w:rsidR="00E35632" w:rsidRDefault="00E35632">
            <w:pPr>
              <w:pStyle w:val="ConsPlusNormal"/>
              <w:jc w:val="center"/>
            </w:pPr>
            <w:r>
              <w:t>2,2</w:t>
            </w:r>
          </w:p>
        </w:tc>
        <w:tc>
          <w:tcPr>
            <w:tcW w:w="1191" w:type="dxa"/>
          </w:tcPr>
          <w:p w:rsidR="00E35632" w:rsidRDefault="00E35632">
            <w:pPr>
              <w:pStyle w:val="ConsPlusNormal"/>
              <w:jc w:val="center"/>
            </w:pPr>
            <w:r>
              <w:t>2</w:t>
            </w:r>
          </w:p>
        </w:tc>
        <w:tc>
          <w:tcPr>
            <w:tcW w:w="1191" w:type="dxa"/>
          </w:tcPr>
          <w:p w:rsidR="00E35632" w:rsidRDefault="00E35632">
            <w:pPr>
              <w:pStyle w:val="ConsPlusNormal"/>
              <w:jc w:val="center"/>
            </w:pPr>
            <w:r>
              <w:t>1,8</w:t>
            </w:r>
          </w:p>
        </w:tc>
      </w:tr>
      <w:tr w:rsidR="00E35632">
        <w:tc>
          <w:tcPr>
            <w:tcW w:w="9073" w:type="dxa"/>
            <w:gridSpan w:val="7"/>
          </w:tcPr>
          <w:p w:rsidR="00E35632" w:rsidRDefault="00E35632">
            <w:pPr>
              <w:pStyle w:val="ConsPlusNormal"/>
              <w:ind w:firstLine="283"/>
              <w:jc w:val="both"/>
            </w:pPr>
            <w:r>
              <w:t xml:space="preserve">Примечание - Для промежуточных значений </w:t>
            </w:r>
            <w:r>
              <w:rPr>
                <w:i/>
              </w:rPr>
              <w:t>e</w:t>
            </w:r>
            <w:r>
              <w:t xml:space="preserve"> коэффициент </w:t>
            </w:r>
            <w:r>
              <w:rPr>
                <w:i/>
              </w:rPr>
              <w:t>m</w:t>
            </w:r>
            <w:r>
              <w:rPr>
                <w:i/>
                <w:vertAlign w:val="subscript"/>
              </w:rPr>
              <w:t>oed</w:t>
            </w:r>
            <w:r>
              <w:t xml:space="preserve"> определяется интерполяцией.</w:t>
            </w:r>
          </w:p>
        </w:tc>
      </w:tr>
    </w:tbl>
    <w:p w:rsidR="00E35632" w:rsidRDefault="00E35632">
      <w:pPr>
        <w:pStyle w:val="ConsPlusNormal"/>
        <w:jc w:val="both"/>
      </w:pPr>
    </w:p>
    <w:p w:rsidR="00E35632" w:rsidRDefault="00E35632">
      <w:pPr>
        <w:pStyle w:val="ConsPlusNormal"/>
        <w:ind w:firstLine="540"/>
        <w:jc w:val="both"/>
      </w:pPr>
      <w:r>
        <w:t xml:space="preserve">Для предварительных расчетов оснований сооружений геотехнических категорий 2 и 3 допускается определять значения </w:t>
      </w:r>
      <w:r>
        <w:rPr>
          <w:i/>
        </w:rPr>
        <w:t>E</w:t>
      </w:r>
      <w:r>
        <w:t xml:space="preserve"> по результатам компрессионных испытаний, определяемых с учетом методических рекомендаций, приведенных в </w:t>
      </w:r>
      <w:hyperlink w:anchor="P8043">
        <w:r>
          <w:rPr>
            <w:color w:val="0000FF"/>
          </w:rPr>
          <w:t>приложении П</w:t>
        </w:r>
      </w:hyperlink>
      <w:r>
        <w:t>.</w:t>
      </w:r>
    </w:p>
    <w:p w:rsidR="00E35632" w:rsidRDefault="00E35632">
      <w:pPr>
        <w:pStyle w:val="ConsPlusNormal"/>
        <w:spacing w:before="220"/>
        <w:ind w:firstLine="540"/>
        <w:jc w:val="both"/>
      </w:pPr>
      <w:r>
        <w:t xml:space="preserve">Для зданий и сооружений, для которых расчет оснований по деформациям в соответствии с </w:t>
      </w:r>
      <w:hyperlink w:anchor="P805">
        <w:r>
          <w:rPr>
            <w:color w:val="0000FF"/>
          </w:rPr>
          <w:t>5.6</w:t>
        </w:r>
      </w:hyperlink>
      <w:r>
        <w:t xml:space="preserve"> не проводят или для которых используют иные расчетные методы, необходимые характеристики и способы их получения устанавливаются в задании на изыскания.</w:t>
      </w:r>
    </w:p>
    <w:p w:rsidR="00E35632" w:rsidRDefault="00E35632">
      <w:pPr>
        <w:pStyle w:val="ConsPlusNormal"/>
        <w:jc w:val="both"/>
      </w:pPr>
      <w:r>
        <w:t xml:space="preserve">(п. 5.3.7 в ред. </w:t>
      </w:r>
      <w:hyperlink r:id="rId270">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bookmarkStart w:id="30" w:name="P571"/>
      <w:bookmarkEnd w:id="30"/>
      <w:r>
        <w:t xml:space="preserve">5.3.8 При строительстве зданий и сооружений геотехнической категории 3 при проведении испытаний необходимо предусматривать разгрузку и повторное нагружение грунта и вычислять модуль деформации по первичной </w:t>
      </w:r>
      <w:r>
        <w:rPr>
          <w:i/>
        </w:rPr>
        <w:t>E</w:t>
      </w:r>
      <w:r>
        <w:t xml:space="preserve"> и вторичной </w:t>
      </w:r>
      <w:r>
        <w:rPr>
          <w:i/>
        </w:rPr>
        <w:t>E</w:t>
      </w:r>
      <w:r>
        <w:rPr>
          <w:vertAlign w:val="subscript"/>
        </w:rPr>
        <w:t>в</w:t>
      </w:r>
      <w:r>
        <w:t xml:space="preserve"> ветвям нагружения.</w:t>
      </w:r>
    </w:p>
    <w:p w:rsidR="00E35632" w:rsidRDefault="00E35632">
      <w:pPr>
        <w:pStyle w:val="ConsPlusNormal"/>
        <w:spacing w:before="220"/>
        <w:ind w:firstLine="540"/>
        <w:jc w:val="both"/>
      </w:pPr>
      <w:bookmarkStart w:id="31" w:name="P572"/>
      <w:bookmarkEnd w:id="31"/>
      <w:r>
        <w:t xml:space="preserve">5.3.9 Прочностные характеристики дисперсных грунтов </w:t>
      </w:r>
      <w:r>
        <w:rPr>
          <w:noProof/>
          <w:position w:val="-4"/>
        </w:rPr>
        <w:drawing>
          <wp:inline distT="0" distB="0" distL="0" distR="0">
            <wp:extent cx="160020" cy="192405"/>
            <wp:effectExtent l="0" t="0" r="0" b="0"/>
            <wp:docPr id="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r>
        <w:t xml:space="preserve"> и </w:t>
      </w:r>
      <w:r>
        <w:rPr>
          <w:i/>
        </w:rPr>
        <w:t>c</w:t>
      </w:r>
      <w:r>
        <w:t xml:space="preserve"> могут быть получены путем испытаний грунтов лабораторными методами на срез или трехосное сжатие (</w:t>
      </w:r>
      <w:hyperlink r:id="rId272">
        <w:r>
          <w:rPr>
            <w:color w:val="0000FF"/>
          </w:rPr>
          <w:t>ГОСТ 12248.1</w:t>
        </w:r>
      </w:hyperlink>
      <w:r>
        <w:t xml:space="preserve"> и </w:t>
      </w:r>
      <w:hyperlink r:id="rId273">
        <w:r>
          <w:rPr>
            <w:color w:val="0000FF"/>
          </w:rPr>
          <w:t>ГОСТ 12248.3</w:t>
        </w:r>
      </w:hyperlink>
      <w:r>
        <w:t>).</w:t>
      </w:r>
    </w:p>
    <w:p w:rsidR="00E35632" w:rsidRDefault="00E35632">
      <w:pPr>
        <w:pStyle w:val="ConsPlusNormal"/>
        <w:jc w:val="both"/>
      </w:pPr>
      <w:r>
        <w:t xml:space="preserve">(в ред. </w:t>
      </w:r>
      <w:hyperlink r:id="rId274">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xml:space="preserve">В полевых условиях значения </w:t>
      </w:r>
      <w:r>
        <w:rPr>
          <w:noProof/>
          <w:position w:val="-4"/>
        </w:rPr>
        <w:drawing>
          <wp:inline distT="0" distB="0" distL="0" distR="0">
            <wp:extent cx="160020" cy="192405"/>
            <wp:effectExtent l="0" t="0" r="0" b="0"/>
            <wp:docPr id="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r>
        <w:t xml:space="preserve"> и </w:t>
      </w:r>
      <w:r>
        <w:rPr>
          <w:i/>
        </w:rPr>
        <w:t>c</w:t>
      </w:r>
      <w:r>
        <w:t xml:space="preserve"> могут быть получены испытаниями на срез целиков грунта в шурфах или котлованах </w:t>
      </w:r>
      <w:hyperlink r:id="rId275">
        <w:r>
          <w:rPr>
            <w:color w:val="0000FF"/>
          </w:rPr>
          <w:t>(ГОСТ 20276.4)</w:t>
        </w:r>
      </w:hyperlink>
      <w:r>
        <w:t>.</w:t>
      </w:r>
    </w:p>
    <w:p w:rsidR="00E35632" w:rsidRDefault="00E35632">
      <w:pPr>
        <w:pStyle w:val="ConsPlusNormal"/>
        <w:jc w:val="both"/>
      </w:pPr>
      <w:r>
        <w:t xml:space="preserve">(в ред. </w:t>
      </w:r>
      <w:hyperlink r:id="rId276">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bookmarkStart w:id="32" w:name="P576"/>
      <w:bookmarkEnd w:id="32"/>
      <w:r>
        <w:t xml:space="preserve">5.3.10 Для расчета по несущей способности оснований из медленно уплотняющихся водонасыщенных глинистых, органоминеральных и органических грунтов, в которых возможно формирование избыточных поровых давлений, необходимо определять сопротивление грунта недренированному сдвигу </w:t>
      </w:r>
      <w:r>
        <w:rPr>
          <w:i/>
        </w:rPr>
        <w:t>c</w:t>
      </w:r>
      <w:r>
        <w:rPr>
          <w:i/>
          <w:vertAlign w:val="subscript"/>
        </w:rPr>
        <w:t>u</w:t>
      </w:r>
      <w:r>
        <w:t>.</w:t>
      </w:r>
    </w:p>
    <w:p w:rsidR="00E35632" w:rsidRDefault="00E35632">
      <w:pPr>
        <w:pStyle w:val="ConsPlusNormal"/>
        <w:spacing w:before="220"/>
        <w:ind w:firstLine="540"/>
        <w:jc w:val="both"/>
      </w:pPr>
      <w:r>
        <w:t xml:space="preserve">В лабораторных условиях сопротивление грунта недренированному сдвигу </w:t>
      </w:r>
      <w:r>
        <w:rPr>
          <w:i/>
        </w:rPr>
        <w:t>c</w:t>
      </w:r>
      <w:r>
        <w:rPr>
          <w:i/>
          <w:vertAlign w:val="subscript"/>
        </w:rPr>
        <w:t>u</w:t>
      </w:r>
      <w:r>
        <w:t xml:space="preserve"> определяют по результатам неконсолидированно-недренированных трехосных испытаний </w:t>
      </w:r>
      <w:hyperlink r:id="rId277">
        <w:r>
          <w:rPr>
            <w:color w:val="0000FF"/>
          </w:rPr>
          <w:t>(ГОСТ 12248.3)</w:t>
        </w:r>
      </w:hyperlink>
      <w:r>
        <w:t>.</w:t>
      </w:r>
    </w:p>
    <w:p w:rsidR="00E35632" w:rsidRDefault="00E35632">
      <w:pPr>
        <w:pStyle w:val="ConsPlusNormal"/>
        <w:jc w:val="both"/>
      </w:pPr>
      <w:r>
        <w:t xml:space="preserve">(в ред. </w:t>
      </w:r>
      <w:hyperlink r:id="rId278">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xml:space="preserve">Для сооружений геотехнических категорий 1 и 2 значение </w:t>
      </w:r>
      <w:r>
        <w:rPr>
          <w:i/>
        </w:rPr>
        <w:t>c</w:t>
      </w:r>
      <w:r>
        <w:rPr>
          <w:i/>
          <w:vertAlign w:val="subscript"/>
        </w:rPr>
        <w:t>u</w:t>
      </w:r>
      <w:r>
        <w:t xml:space="preserve"> также допускается определять по </w:t>
      </w:r>
      <w:r>
        <w:lastRenderedPageBreak/>
        <w:t xml:space="preserve">результатам одноосного сжатия </w:t>
      </w:r>
      <w:hyperlink r:id="rId279">
        <w:r>
          <w:rPr>
            <w:color w:val="0000FF"/>
          </w:rPr>
          <w:t>(ГОСТ 12248.2)</w:t>
        </w:r>
      </w:hyperlink>
      <w:r>
        <w:t xml:space="preserve">. В полевых условиях значение </w:t>
      </w:r>
      <w:r>
        <w:rPr>
          <w:i/>
        </w:rPr>
        <w:t>c</w:t>
      </w:r>
      <w:r>
        <w:rPr>
          <w:i/>
          <w:vertAlign w:val="subscript"/>
        </w:rPr>
        <w:t>u</w:t>
      </w:r>
      <w:r>
        <w:t xml:space="preserve"> может быть определено методом вращательного среза (крыльчатка) в скважинах или в массиве </w:t>
      </w:r>
      <w:hyperlink r:id="rId280">
        <w:r>
          <w:rPr>
            <w:color w:val="0000FF"/>
          </w:rPr>
          <w:t>(ГОСТ 20276.5)</w:t>
        </w:r>
      </w:hyperlink>
      <w:r>
        <w:t>.</w:t>
      </w:r>
    </w:p>
    <w:p w:rsidR="00E35632" w:rsidRDefault="00E35632">
      <w:pPr>
        <w:pStyle w:val="ConsPlusNormal"/>
        <w:jc w:val="both"/>
      </w:pPr>
      <w:r>
        <w:t xml:space="preserve">(в ред. </w:t>
      </w:r>
      <w:hyperlink r:id="rId281">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bookmarkStart w:id="33" w:name="P581"/>
      <w:bookmarkEnd w:id="33"/>
      <w:r>
        <w:t xml:space="preserve">5.3.11 Значения </w:t>
      </w:r>
      <w:r>
        <w:rPr>
          <w:noProof/>
          <w:position w:val="-4"/>
        </w:rPr>
        <w:drawing>
          <wp:inline distT="0" distB="0" distL="0" distR="0">
            <wp:extent cx="160020" cy="192405"/>
            <wp:effectExtent l="0" t="0" r="0" b="0"/>
            <wp:docPr id="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r>
        <w:t xml:space="preserve"> и </w:t>
      </w:r>
      <w:r>
        <w:rPr>
          <w:i/>
        </w:rPr>
        <w:t>c</w:t>
      </w:r>
      <w:r>
        <w:t xml:space="preserve"> песков и глинистых грунтов следует определять методом статического зондирования, а песков (кроме пылеватых водонасыщенных) - методом динамического зондирования </w:t>
      </w:r>
      <w:hyperlink r:id="rId282">
        <w:r>
          <w:rPr>
            <w:color w:val="0000FF"/>
          </w:rPr>
          <w:t>(ГОСТ 19912)</w:t>
        </w:r>
      </w:hyperlink>
      <w:r>
        <w:t xml:space="preserve">, используя таблицы, указанные в </w:t>
      </w:r>
      <w:hyperlink w:anchor="P522">
        <w:r>
          <w:rPr>
            <w:color w:val="0000FF"/>
          </w:rPr>
          <w:t>5.3.6</w:t>
        </w:r>
      </w:hyperlink>
      <w:r>
        <w:t>.</w:t>
      </w:r>
    </w:p>
    <w:p w:rsidR="00E35632" w:rsidRDefault="00E35632">
      <w:pPr>
        <w:pStyle w:val="ConsPlusNormal"/>
        <w:spacing w:before="220"/>
        <w:ind w:firstLine="540"/>
        <w:jc w:val="both"/>
      </w:pPr>
      <w:r>
        <w:t xml:space="preserve">Для сооружений геотехнических категорий 2 и 3 полученные зондированием значения </w:t>
      </w:r>
      <w:r>
        <w:rPr>
          <w:noProof/>
          <w:position w:val="-4"/>
        </w:rPr>
        <w:drawing>
          <wp:inline distT="0" distB="0" distL="0" distR="0">
            <wp:extent cx="160020" cy="192405"/>
            <wp:effectExtent l="0" t="0" r="0" b="0"/>
            <wp:docPr id="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r>
        <w:t xml:space="preserve"> и </w:t>
      </w:r>
      <w:r>
        <w:rPr>
          <w:i/>
        </w:rPr>
        <w:t>c</w:t>
      </w:r>
      <w:r>
        <w:t xml:space="preserve"> следует корректировать на основе их сопоставления с результатами параллельно проводимых испытаний того же грунта методами, указанными в </w:t>
      </w:r>
      <w:hyperlink w:anchor="P572">
        <w:r>
          <w:rPr>
            <w:color w:val="0000FF"/>
          </w:rPr>
          <w:t>5.3.9</w:t>
        </w:r>
      </w:hyperlink>
      <w:r>
        <w:t>.</w:t>
      </w:r>
    </w:p>
    <w:p w:rsidR="00E35632" w:rsidRDefault="00E35632">
      <w:pPr>
        <w:pStyle w:val="ConsPlusNormal"/>
        <w:spacing w:before="220"/>
        <w:ind w:firstLine="540"/>
        <w:jc w:val="both"/>
      </w:pPr>
      <w:r>
        <w:t xml:space="preserve">Примечание - При наличии статистически обоснованных региональных данных, приведенных в территориальных нормативно-методических документах, значения </w:t>
      </w:r>
      <w:r>
        <w:rPr>
          <w:noProof/>
          <w:position w:val="-4"/>
        </w:rPr>
        <w:drawing>
          <wp:inline distT="0" distB="0" distL="0" distR="0">
            <wp:extent cx="160020" cy="192405"/>
            <wp:effectExtent l="0" t="0" r="0" b="0"/>
            <wp:docPr id="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r>
        <w:t xml:space="preserve"> и </w:t>
      </w:r>
      <w:r>
        <w:rPr>
          <w:i/>
        </w:rPr>
        <w:t>c</w:t>
      </w:r>
      <w:r>
        <w:t xml:space="preserve"> могут назначаться по данным зондирования для сооружений геотехнической категории 2.</w:t>
      </w:r>
    </w:p>
    <w:p w:rsidR="00E35632" w:rsidRDefault="00E35632">
      <w:pPr>
        <w:pStyle w:val="ConsPlusNormal"/>
        <w:jc w:val="both"/>
      </w:pPr>
    </w:p>
    <w:p w:rsidR="00E35632" w:rsidRDefault="00E35632">
      <w:pPr>
        <w:pStyle w:val="ConsPlusNormal"/>
        <w:ind w:firstLine="540"/>
        <w:jc w:val="both"/>
      </w:pPr>
      <w:r>
        <w:t xml:space="preserve">5.3.12 Указанные в </w:t>
      </w:r>
      <w:hyperlink w:anchor="P522">
        <w:r>
          <w:rPr>
            <w:color w:val="0000FF"/>
          </w:rPr>
          <w:t>5.3.6</w:t>
        </w:r>
      </w:hyperlink>
      <w:r>
        <w:t xml:space="preserve">, </w:t>
      </w:r>
      <w:hyperlink w:anchor="P526">
        <w:r>
          <w:rPr>
            <w:color w:val="0000FF"/>
          </w:rPr>
          <w:t>5.3.7</w:t>
        </w:r>
      </w:hyperlink>
      <w:r>
        <w:t xml:space="preserve"> методы определения модуля деформации и в </w:t>
      </w:r>
      <w:hyperlink w:anchor="P581">
        <w:r>
          <w:rPr>
            <w:color w:val="0000FF"/>
          </w:rPr>
          <w:t>5.3.11</w:t>
        </w:r>
      </w:hyperlink>
      <w:r>
        <w:t xml:space="preserve"> методы определения прочностных характеристик допускается при соответствующем обосновании применять без параллельного проведения испытаний методами, указанными в </w:t>
      </w:r>
      <w:hyperlink w:anchor="P520">
        <w:r>
          <w:rPr>
            <w:color w:val="0000FF"/>
          </w:rPr>
          <w:t>5.3.5</w:t>
        </w:r>
      </w:hyperlink>
      <w:r>
        <w:t xml:space="preserve"> и </w:t>
      </w:r>
      <w:hyperlink w:anchor="P572">
        <w:r>
          <w:rPr>
            <w:color w:val="0000FF"/>
          </w:rPr>
          <w:t>5.3.9</w:t>
        </w:r>
      </w:hyperlink>
      <w:r>
        <w:t xml:space="preserve">, для сооружений геотехнической категории 2, приведенных в </w:t>
      </w:r>
      <w:hyperlink w:anchor="P1808">
        <w:r>
          <w:rPr>
            <w:color w:val="0000FF"/>
          </w:rPr>
          <w:t>таблице 5.11</w:t>
        </w:r>
      </w:hyperlink>
      <w:r>
        <w:t>.</w:t>
      </w:r>
    </w:p>
    <w:p w:rsidR="00E35632" w:rsidRDefault="00E35632">
      <w:pPr>
        <w:pStyle w:val="ConsPlusNormal"/>
        <w:spacing w:before="220"/>
        <w:ind w:firstLine="540"/>
        <w:jc w:val="both"/>
      </w:pPr>
      <w:r>
        <w:t>5.3.13 Для линейных сооружений геотехнической категории 2 значения прочностных и деформационных характеристик грунтов допускается определять только по результатам трехосных испытаний.</w:t>
      </w:r>
    </w:p>
    <w:p w:rsidR="00E35632" w:rsidRDefault="00E35632">
      <w:pPr>
        <w:pStyle w:val="ConsPlusNormal"/>
        <w:spacing w:before="220"/>
        <w:ind w:firstLine="540"/>
        <w:jc w:val="both"/>
      </w:pPr>
      <w:r>
        <w:t xml:space="preserve">5.3.14 Предел прочности на одноосное сжатие скальных грунтов </w:t>
      </w:r>
      <w:r>
        <w:rPr>
          <w:i/>
        </w:rPr>
        <w:t>R</w:t>
      </w:r>
      <w:r>
        <w:rPr>
          <w:vertAlign w:val="subscript"/>
        </w:rPr>
        <w:t>сж</w:t>
      </w:r>
      <w:r>
        <w:t xml:space="preserve"> следует определять в соответствии с </w:t>
      </w:r>
      <w:hyperlink r:id="rId283">
        <w:r>
          <w:rPr>
            <w:color w:val="0000FF"/>
          </w:rPr>
          <w:t>ГОСТ 21153.2</w:t>
        </w:r>
      </w:hyperlink>
      <w:r>
        <w:t>.</w:t>
      </w:r>
    </w:p>
    <w:p w:rsidR="00E35632" w:rsidRDefault="00E35632">
      <w:pPr>
        <w:pStyle w:val="ConsPlusNormal"/>
        <w:jc w:val="both"/>
      </w:pPr>
      <w:r>
        <w:t xml:space="preserve">(п. 5.3.14 в ред. </w:t>
      </w:r>
      <w:hyperlink r:id="rId284">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xml:space="preserve">5.3.15 Нормативные и расчетные значения характеристик грунтов следует устанавливать на основе статистической обработки результатов испытаний по методике, изложенной в </w:t>
      </w:r>
      <w:hyperlink r:id="rId285">
        <w:r>
          <w:rPr>
            <w:color w:val="0000FF"/>
          </w:rPr>
          <w:t>ГОСТ 20522</w:t>
        </w:r>
      </w:hyperlink>
      <w:r>
        <w:t>.</w:t>
      </w:r>
    </w:p>
    <w:p w:rsidR="00E35632" w:rsidRDefault="00E35632">
      <w:pPr>
        <w:pStyle w:val="ConsPlusNormal"/>
        <w:spacing w:before="220"/>
        <w:ind w:firstLine="540"/>
        <w:jc w:val="both"/>
      </w:pPr>
      <w:r>
        <w:t>Нормативные значения характеристик грунта или параметров, определяющих свойства грунтового массива, следует принимать равными их математическим ожиданиям, полученным на основании обработки результатов испытаний, если не оговорены иные условия, определяющие их значения.</w:t>
      </w:r>
    </w:p>
    <w:p w:rsidR="00E35632" w:rsidRDefault="00E35632">
      <w:pPr>
        <w:pStyle w:val="ConsPlusNormal"/>
        <w:spacing w:before="220"/>
        <w:ind w:firstLine="540"/>
        <w:jc w:val="both"/>
      </w:pPr>
      <w:r>
        <w:t xml:space="preserve">Расчетные значения характеристик грунта определяют с учетом их возможных отклонений в неблагоприятную сторону от их нормативных значений. Учет таких отклонений следует выполнять с помощью использования частных коэффициентов надежности по грунту </w:t>
      </w:r>
      <w:r>
        <w:rPr>
          <w:noProof/>
          <w:position w:val="-10"/>
        </w:rPr>
        <w:drawing>
          <wp:inline distT="0" distB="0" distL="0" distR="0">
            <wp:extent cx="182880" cy="267970"/>
            <wp:effectExtent l="0" t="0" r="0" b="0"/>
            <wp:docPr id="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82880" cy="267970"/>
                    </a:xfrm>
                    <a:prstGeom prst="rect">
                      <a:avLst/>
                    </a:prstGeom>
                    <a:noFill/>
                    <a:ln>
                      <a:noFill/>
                    </a:ln>
                  </pic:spPr>
                </pic:pic>
              </a:graphicData>
            </a:graphic>
          </wp:inline>
        </w:drawing>
      </w:r>
      <w:r>
        <w:t>. Значения этих коэффициентов могут быть различны для различных характеристик и предельных состояний.</w:t>
      </w:r>
    </w:p>
    <w:p w:rsidR="00E35632" w:rsidRDefault="00E35632">
      <w:pPr>
        <w:pStyle w:val="ConsPlusNormal"/>
        <w:spacing w:before="220"/>
        <w:ind w:firstLine="540"/>
        <w:jc w:val="both"/>
      </w:pPr>
      <w:r>
        <w:t xml:space="preserve">5.3.16 Все расчеты оснований следует выполнять с использованием расчетных значений характеристик грунтов </w:t>
      </w:r>
      <w:r>
        <w:rPr>
          <w:i/>
        </w:rPr>
        <w:t>X,</w:t>
      </w:r>
      <w:r>
        <w:t xml:space="preserve"> вычисляемых по формуле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866140" cy="267970"/>
            <wp:effectExtent l="0" t="0" r="0" b="0"/>
            <wp:docPr id="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866140" cy="267970"/>
                    </a:xfrm>
                    <a:prstGeom prst="rect">
                      <a:avLst/>
                    </a:prstGeom>
                    <a:noFill/>
                    <a:ln>
                      <a:noFill/>
                    </a:ln>
                  </pic:spPr>
                </pic:pic>
              </a:graphicData>
            </a:graphic>
          </wp:inline>
        </w:drawing>
      </w:r>
      <w:r>
        <w:t xml:space="preserve"> (5.1)</w:t>
      </w:r>
    </w:p>
    <w:p w:rsidR="00E35632" w:rsidRDefault="00E35632">
      <w:pPr>
        <w:pStyle w:val="ConsPlusNormal"/>
        <w:jc w:val="both"/>
      </w:pPr>
    </w:p>
    <w:p w:rsidR="00E35632" w:rsidRDefault="00E35632">
      <w:pPr>
        <w:pStyle w:val="ConsPlusNormal"/>
        <w:ind w:firstLine="540"/>
        <w:jc w:val="both"/>
      </w:pPr>
      <w:r>
        <w:t xml:space="preserve">где </w:t>
      </w:r>
      <w:r>
        <w:rPr>
          <w:i/>
        </w:rPr>
        <w:t>X</w:t>
      </w:r>
      <w:r>
        <w:rPr>
          <w:i/>
          <w:vertAlign w:val="subscript"/>
        </w:rPr>
        <w:t>n</w:t>
      </w:r>
      <w:r>
        <w:t xml:space="preserve"> - нормативное значение данной характеристики;</w:t>
      </w:r>
    </w:p>
    <w:p w:rsidR="00E35632" w:rsidRDefault="00E35632">
      <w:pPr>
        <w:pStyle w:val="ConsPlusNormal"/>
        <w:spacing w:before="220"/>
        <w:ind w:firstLine="540"/>
        <w:jc w:val="both"/>
      </w:pPr>
      <w:r>
        <w:rPr>
          <w:noProof/>
          <w:position w:val="-10"/>
        </w:rPr>
        <w:drawing>
          <wp:inline distT="0" distB="0" distL="0" distR="0">
            <wp:extent cx="182880" cy="267970"/>
            <wp:effectExtent l="0" t="0" r="0" b="0"/>
            <wp:docPr id="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82880" cy="267970"/>
                    </a:xfrm>
                    <a:prstGeom prst="rect">
                      <a:avLst/>
                    </a:prstGeom>
                    <a:noFill/>
                    <a:ln>
                      <a:noFill/>
                    </a:ln>
                  </pic:spPr>
                </pic:pic>
              </a:graphicData>
            </a:graphic>
          </wp:inline>
        </w:drawing>
      </w:r>
      <w:r>
        <w:t xml:space="preserve"> - коэффициент надежности по грунту.</w:t>
      </w:r>
    </w:p>
    <w:p w:rsidR="00E35632" w:rsidRDefault="00E35632">
      <w:pPr>
        <w:pStyle w:val="ConsPlusNormal"/>
        <w:spacing w:before="220"/>
        <w:ind w:firstLine="540"/>
        <w:jc w:val="both"/>
      </w:pPr>
      <w:r>
        <w:t xml:space="preserve">Коэффициент надежности по грунту при вычислении расчетных значений прочностных характеристик </w:t>
      </w:r>
      <w:r>
        <w:rPr>
          <w:noProof/>
          <w:position w:val="-4"/>
        </w:rPr>
        <w:drawing>
          <wp:inline distT="0" distB="0" distL="0" distR="0">
            <wp:extent cx="160020" cy="192405"/>
            <wp:effectExtent l="0" t="0" r="0" b="0"/>
            <wp:docPr id="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r>
        <w:t xml:space="preserve">, </w:t>
      </w:r>
      <w:r>
        <w:rPr>
          <w:i/>
        </w:rPr>
        <w:t>c</w:t>
      </w:r>
      <w:r>
        <w:t xml:space="preserve"> и </w:t>
      </w:r>
      <w:r>
        <w:rPr>
          <w:i/>
        </w:rPr>
        <w:t>c</w:t>
      </w:r>
      <w:r>
        <w:rPr>
          <w:i/>
          <w:vertAlign w:val="subscript"/>
        </w:rPr>
        <w:t>u</w:t>
      </w:r>
      <w:r>
        <w:t xml:space="preserve"> дисперсных грунтов и </w:t>
      </w:r>
      <w:r>
        <w:rPr>
          <w:i/>
        </w:rPr>
        <w:t>R</w:t>
      </w:r>
      <w:r>
        <w:rPr>
          <w:i/>
          <w:vertAlign w:val="subscript"/>
        </w:rPr>
        <w:t>c</w:t>
      </w:r>
      <w:r>
        <w:t xml:space="preserve"> скальных грунтов, а также плотности грунта </w:t>
      </w:r>
      <w:r>
        <w:rPr>
          <w:noProof/>
          <w:position w:val="-4"/>
        </w:rPr>
        <w:drawing>
          <wp:inline distT="0" distB="0" distL="0" distR="0">
            <wp:extent cx="167640" cy="192405"/>
            <wp:effectExtent l="0" t="0" r="0" b="0"/>
            <wp:docPr id="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67640" cy="192405"/>
                    </a:xfrm>
                    <a:prstGeom prst="rect">
                      <a:avLst/>
                    </a:prstGeom>
                    <a:noFill/>
                    <a:ln>
                      <a:noFill/>
                    </a:ln>
                  </pic:spPr>
                </pic:pic>
              </a:graphicData>
            </a:graphic>
          </wp:inline>
        </w:drawing>
      </w:r>
      <w:r>
        <w:t xml:space="preserve"> </w:t>
      </w:r>
      <w:r>
        <w:lastRenderedPageBreak/>
        <w:t xml:space="preserve">устанавливают в зависимости от изменчивости этих характеристик, числа определений и значения доверительной вероятности </w:t>
      </w:r>
      <w:r>
        <w:rPr>
          <w:noProof/>
          <w:position w:val="-1"/>
        </w:rPr>
        <w:drawing>
          <wp:inline distT="0" distB="0" distL="0" distR="0">
            <wp:extent cx="167640" cy="160020"/>
            <wp:effectExtent l="0" t="0" r="0" b="0"/>
            <wp:docPr id="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67640" cy="160020"/>
                    </a:xfrm>
                    <a:prstGeom prst="rect">
                      <a:avLst/>
                    </a:prstGeom>
                    <a:noFill/>
                    <a:ln>
                      <a:noFill/>
                    </a:ln>
                  </pic:spPr>
                </pic:pic>
              </a:graphicData>
            </a:graphic>
          </wp:inline>
        </w:drawing>
      </w:r>
      <w:r>
        <w:t xml:space="preserve"> </w:t>
      </w:r>
      <w:hyperlink r:id="rId290">
        <w:r>
          <w:rPr>
            <w:color w:val="0000FF"/>
          </w:rPr>
          <w:t>(ГОСТ 20522)</w:t>
        </w:r>
      </w:hyperlink>
      <w:r>
        <w:t>.</w:t>
      </w:r>
    </w:p>
    <w:p w:rsidR="00E35632" w:rsidRDefault="00E35632">
      <w:pPr>
        <w:pStyle w:val="ConsPlusNormal"/>
        <w:spacing w:before="220"/>
        <w:ind w:firstLine="540"/>
        <w:jc w:val="both"/>
      </w:pPr>
      <w:r>
        <w:t xml:space="preserve">Для прочих характеристик грунта допускается принимать </w:t>
      </w:r>
      <w:r>
        <w:rPr>
          <w:noProof/>
          <w:position w:val="-10"/>
        </w:rPr>
        <w:drawing>
          <wp:inline distT="0" distB="0" distL="0" distR="0">
            <wp:extent cx="182880" cy="267970"/>
            <wp:effectExtent l="0" t="0" r="0" b="0"/>
            <wp:docPr id="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82880" cy="267970"/>
                    </a:xfrm>
                    <a:prstGeom prst="rect">
                      <a:avLst/>
                    </a:prstGeom>
                    <a:noFill/>
                    <a:ln>
                      <a:noFill/>
                    </a:ln>
                  </pic:spPr>
                </pic:pic>
              </a:graphicData>
            </a:graphic>
          </wp:inline>
        </w:drawing>
      </w:r>
      <w:r>
        <w:t xml:space="preserve"> равным 1.</w:t>
      </w:r>
    </w:p>
    <w:p w:rsidR="00E35632" w:rsidRDefault="00E35632">
      <w:pPr>
        <w:pStyle w:val="ConsPlusNormal"/>
        <w:spacing w:before="220"/>
        <w:ind w:firstLine="540"/>
        <w:jc w:val="both"/>
      </w:pPr>
      <w:r>
        <w:t xml:space="preserve">Примечание - Расчетное значение удельного веса грунта </w:t>
      </w:r>
      <w:r>
        <w:rPr>
          <w:noProof/>
          <w:position w:val="-4"/>
        </w:rPr>
        <w:drawing>
          <wp:inline distT="0" distB="0" distL="0" distR="0">
            <wp:extent cx="142240" cy="192405"/>
            <wp:effectExtent l="0" t="0" r="0" b="0"/>
            <wp:docPr id="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142240" cy="192405"/>
                    </a:xfrm>
                    <a:prstGeom prst="rect">
                      <a:avLst/>
                    </a:prstGeom>
                    <a:noFill/>
                    <a:ln>
                      <a:noFill/>
                    </a:ln>
                  </pic:spPr>
                </pic:pic>
              </a:graphicData>
            </a:graphic>
          </wp:inline>
        </w:drawing>
      </w:r>
      <w:r>
        <w:t xml:space="preserve"> определяют умножением расчетного значения плотности грунта </w:t>
      </w:r>
      <w:r>
        <w:rPr>
          <w:noProof/>
          <w:position w:val="-4"/>
        </w:rPr>
        <w:drawing>
          <wp:inline distT="0" distB="0" distL="0" distR="0">
            <wp:extent cx="167640" cy="192405"/>
            <wp:effectExtent l="0" t="0" r="0" b="0"/>
            <wp:docPr id="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67640" cy="192405"/>
                    </a:xfrm>
                    <a:prstGeom prst="rect">
                      <a:avLst/>
                    </a:prstGeom>
                    <a:noFill/>
                    <a:ln>
                      <a:noFill/>
                    </a:ln>
                  </pic:spPr>
                </pic:pic>
              </a:graphicData>
            </a:graphic>
          </wp:inline>
        </w:drawing>
      </w:r>
      <w:r>
        <w:t xml:space="preserve"> на ускорение свободного падения </w:t>
      </w:r>
      <w:r>
        <w:rPr>
          <w:i/>
        </w:rPr>
        <w:t>g</w:t>
      </w:r>
      <w:r>
        <w:t>.</w:t>
      </w:r>
    </w:p>
    <w:p w:rsidR="00E35632" w:rsidRDefault="00E35632">
      <w:pPr>
        <w:pStyle w:val="ConsPlusNormal"/>
        <w:jc w:val="both"/>
      </w:pPr>
    </w:p>
    <w:p w:rsidR="00E35632" w:rsidRDefault="00E35632">
      <w:pPr>
        <w:pStyle w:val="ConsPlusNormal"/>
        <w:ind w:firstLine="540"/>
        <w:jc w:val="both"/>
      </w:pPr>
      <w:r>
        <w:t xml:space="preserve">5.3.17 Доверительную вероятность расчетных значений характеристик грунтов </w:t>
      </w:r>
      <w:r>
        <w:rPr>
          <w:noProof/>
        </w:rPr>
        <w:drawing>
          <wp:inline distT="0" distB="0" distL="0" distR="0">
            <wp:extent cx="167640" cy="150495"/>
            <wp:effectExtent l="0" t="0" r="0" b="0"/>
            <wp:docPr id="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67640" cy="150495"/>
                    </a:xfrm>
                    <a:prstGeom prst="rect">
                      <a:avLst/>
                    </a:prstGeom>
                    <a:noFill/>
                    <a:ln>
                      <a:noFill/>
                    </a:ln>
                  </pic:spPr>
                </pic:pic>
              </a:graphicData>
            </a:graphic>
          </wp:inline>
        </w:drawing>
      </w:r>
      <w:r>
        <w:t xml:space="preserve"> принимают равной при расчетах оснований по первой группе предельных состояний 0,95, по второй группе - 0,85.</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1 Расчетные значения характеристик грунтов, соответствующие различным значениям доверительной вероятности (для расчетов по первой и второй группам предельных состояний), следует приводить в отчетах по инженерно-геологическим изысканиям.</w:t>
      </w:r>
    </w:p>
    <w:p w:rsidR="00E35632" w:rsidRDefault="00E35632">
      <w:pPr>
        <w:pStyle w:val="ConsPlusNormal"/>
        <w:spacing w:before="220"/>
        <w:ind w:firstLine="540"/>
        <w:jc w:val="both"/>
      </w:pPr>
      <w:r>
        <w:t xml:space="preserve">2 Расчетные значения характеристик грунтов </w:t>
      </w:r>
      <w:r>
        <w:rPr>
          <w:noProof/>
          <w:position w:val="-4"/>
        </w:rPr>
        <w:drawing>
          <wp:inline distT="0" distB="0" distL="0" distR="0">
            <wp:extent cx="160020" cy="192405"/>
            <wp:effectExtent l="0" t="0" r="0" b="0"/>
            <wp:docPr id="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r>
        <w:t xml:space="preserve">, </w:t>
      </w:r>
      <w:r>
        <w:rPr>
          <w:i/>
        </w:rPr>
        <w:t>c</w:t>
      </w:r>
      <w:r>
        <w:t xml:space="preserve"> и </w:t>
      </w:r>
      <w:r>
        <w:rPr>
          <w:i/>
        </w:rPr>
        <w:t>c</w:t>
      </w:r>
      <w:r>
        <w:rPr>
          <w:i/>
          <w:vertAlign w:val="subscript"/>
        </w:rPr>
        <w:t>u</w:t>
      </w:r>
      <w:r>
        <w:t xml:space="preserve"> и </w:t>
      </w:r>
      <w:r>
        <w:rPr>
          <w:noProof/>
          <w:position w:val="-4"/>
        </w:rPr>
        <w:drawing>
          <wp:inline distT="0" distB="0" distL="0" distR="0">
            <wp:extent cx="167640" cy="192405"/>
            <wp:effectExtent l="0" t="0" r="0" b="0"/>
            <wp:docPr id="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167640" cy="192405"/>
                    </a:xfrm>
                    <a:prstGeom prst="rect">
                      <a:avLst/>
                    </a:prstGeom>
                    <a:noFill/>
                    <a:ln>
                      <a:noFill/>
                    </a:ln>
                  </pic:spPr>
                </pic:pic>
              </a:graphicData>
            </a:graphic>
          </wp:inline>
        </w:drawing>
      </w:r>
      <w:r>
        <w:t xml:space="preserve"> для расчетов по несущей способности обозначают </w:t>
      </w:r>
      <w:r>
        <w:rPr>
          <w:noProof/>
          <w:position w:val="-8"/>
        </w:rPr>
        <w:drawing>
          <wp:inline distT="0" distB="0" distL="0" distR="0">
            <wp:extent cx="192405" cy="251460"/>
            <wp:effectExtent l="0" t="0" r="0" b="0"/>
            <wp:docPr id="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w:t>
      </w:r>
      <w:r>
        <w:rPr>
          <w:i/>
        </w:rPr>
        <w:t>c</w:t>
      </w:r>
      <w:r>
        <w:rPr>
          <w:vertAlign w:val="subscript"/>
        </w:rPr>
        <w:t>I</w:t>
      </w:r>
      <w:r>
        <w:t xml:space="preserve"> и </w:t>
      </w:r>
      <w:r>
        <w:rPr>
          <w:i/>
        </w:rPr>
        <w:t>c</w:t>
      </w:r>
      <w:r>
        <w:rPr>
          <w:i/>
          <w:vertAlign w:val="subscript"/>
        </w:rPr>
        <w:t>u</w:t>
      </w:r>
      <w:r>
        <w:rPr>
          <w:vertAlign w:val="subscript"/>
        </w:rPr>
        <w:t>I</w:t>
      </w:r>
      <w:r>
        <w:t xml:space="preserve"> и </w:t>
      </w:r>
      <w:r>
        <w:rPr>
          <w:noProof/>
          <w:position w:val="-8"/>
        </w:rPr>
        <w:drawing>
          <wp:inline distT="0" distB="0" distL="0" distR="0">
            <wp:extent cx="182880" cy="250825"/>
            <wp:effectExtent l="0" t="0" r="0" b="0"/>
            <wp:docPr id="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 xml:space="preserve">, а по деформациям - </w:t>
      </w:r>
      <w:r>
        <w:rPr>
          <w:noProof/>
          <w:position w:val="-8"/>
        </w:rPr>
        <w:drawing>
          <wp:inline distT="0" distB="0" distL="0" distR="0">
            <wp:extent cx="209550" cy="251460"/>
            <wp:effectExtent l="0" t="0" r="0" b="0"/>
            <wp:docPr id="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w:t>
      </w:r>
      <w:r>
        <w:rPr>
          <w:i/>
        </w:rPr>
        <w:t>c</w:t>
      </w:r>
      <w:r>
        <w:rPr>
          <w:vertAlign w:val="subscript"/>
        </w:rPr>
        <w:t>II</w:t>
      </w:r>
      <w:r>
        <w:t xml:space="preserve"> и </w:t>
      </w:r>
      <w:r>
        <w:rPr>
          <w:i/>
        </w:rPr>
        <w:t>c</w:t>
      </w:r>
      <w:r>
        <w:rPr>
          <w:i/>
          <w:vertAlign w:val="subscript"/>
        </w:rPr>
        <w:t>u</w:t>
      </w:r>
      <w:r>
        <w:rPr>
          <w:vertAlign w:val="subscript"/>
        </w:rPr>
        <w:t>II</w:t>
      </w:r>
      <w:r>
        <w:t xml:space="preserve"> и </w:t>
      </w:r>
      <w:r>
        <w:rPr>
          <w:noProof/>
          <w:position w:val="-8"/>
        </w:rPr>
        <w:drawing>
          <wp:inline distT="0" distB="0" distL="0" distR="0">
            <wp:extent cx="226060" cy="251460"/>
            <wp:effectExtent l="0" t="0" r="0" b="0"/>
            <wp:docPr id="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226060" cy="251460"/>
                    </a:xfrm>
                    <a:prstGeom prst="rect">
                      <a:avLst/>
                    </a:prstGeom>
                    <a:noFill/>
                    <a:ln>
                      <a:noFill/>
                    </a:ln>
                  </pic:spPr>
                </pic:pic>
              </a:graphicData>
            </a:graphic>
          </wp:inline>
        </w:drawing>
      </w:r>
      <w:r>
        <w:t>.</w:t>
      </w:r>
    </w:p>
    <w:p w:rsidR="00E35632" w:rsidRDefault="00E35632">
      <w:pPr>
        <w:pStyle w:val="ConsPlusNormal"/>
        <w:jc w:val="both"/>
      </w:pPr>
    </w:p>
    <w:p w:rsidR="00E35632" w:rsidRDefault="00E35632">
      <w:pPr>
        <w:pStyle w:val="ConsPlusNormal"/>
        <w:ind w:firstLine="540"/>
        <w:jc w:val="both"/>
      </w:pPr>
      <w:bookmarkStart w:id="34" w:name="P607"/>
      <w:bookmarkEnd w:id="34"/>
      <w:r>
        <w:t xml:space="preserve">5.3.18 Следует учитывать, что снижение расчетных значений характеристик грунтов по отношению к их нормативным значениям может как повышать, так и понижать надежность проектных решений. В ряде случаев расчетные значения характеристик грунта должны быть определены с двусторонней доверительной вероятностью, а в качестве расчетных приняты те значения, которые повышают надежность проектного решения. В силу этого коэффициенты </w:t>
      </w:r>
      <w:r>
        <w:rPr>
          <w:noProof/>
          <w:position w:val="-10"/>
        </w:rPr>
        <w:drawing>
          <wp:inline distT="0" distB="0" distL="0" distR="0">
            <wp:extent cx="182880" cy="267970"/>
            <wp:effectExtent l="0" t="0" r="0" b="0"/>
            <wp:docPr id="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182880" cy="267970"/>
                    </a:xfrm>
                    <a:prstGeom prst="rect">
                      <a:avLst/>
                    </a:prstGeom>
                    <a:noFill/>
                    <a:ln>
                      <a:noFill/>
                    </a:ln>
                  </pic:spPr>
                </pic:pic>
              </a:graphicData>
            </a:graphic>
          </wp:inline>
        </w:drawing>
      </w:r>
      <w:r>
        <w:t xml:space="preserve"> могут принимать значения как выше, так и ниже 1,0.</w:t>
      </w:r>
    </w:p>
    <w:p w:rsidR="00E35632" w:rsidRDefault="00E35632">
      <w:pPr>
        <w:pStyle w:val="ConsPlusNormal"/>
        <w:spacing w:before="220"/>
        <w:ind w:firstLine="540"/>
        <w:jc w:val="both"/>
      </w:pPr>
      <w:r>
        <w:t>Примечание - Например, вес грунта (определяемый по расчетному значению плотности) является благоприятным фактором при расчете сооружения на всплытие, несущей способности фундамента или пассивного давления грунта и неблагоприятным при определении активного давления грунта.</w:t>
      </w:r>
    </w:p>
    <w:p w:rsidR="00E35632" w:rsidRDefault="00E35632">
      <w:pPr>
        <w:pStyle w:val="ConsPlusNormal"/>
        <w:jc w:val="both"/>
      </w:pPr>
    </w:p>
    <w:p w:rsidR="00E35632" w:rsidRDefault="00E35632">
      <w:pPr>
        <w:pStyle w:val="ConsPlusNormal"/>
        <w:ind w:firstLine="540"/>
        <w:jc w:val="both"/>
      </w:pPr>
      <w:r>
        <w:t>5.3.19 Число определений характеристик грунтов, необходимое для вычисления их нормативных и расчетных значений, следует устанавливать в зависимости от степени неоднородности грунтов основания, требуемой точности вычисления характеристики, геотехнической категории и размеров сооружения и указывать в программе изысканий. Следует учитывать, что увеличение числа определений характеристик грунтов приводит к сближению их расчетных значений с математическим ожиданием и, следовательно, к более экономичным проектным решениям.</w:t>
      </w:r>
    </w:p>
    <w:p w:rsidR="00E35632" w:rsidRDefault="00E35632">
      <w:pPr>
        <w:pStyle w:val="ConsPlusNormal"/>
        <w:spacing w:before="220"/>
        <w:ind w:firstLine="540"/>
        <w:jc w:val="both"/>
      </w:pPr>
      <w:r>
        <w:t>Число одноименных частных определений для каждого выделенного на площадке инженерно-геологического или расчетного грунтового элемента должно быть не менее десяти для физических характеристик и не менее шести - для механических характеристик. При определении модуля деформации по результатам испытаний грунтов в полевых условиях штампом допускается ограничиваться результатами трех испытаний (или двух, если они отклоняются от среднего не более чем на 25%).</w:t>
      </w:r>
    </w:p>
    <w:p w:rsidR="00E35632" w:rsidRDefault="00E35632">
      <w:pPr>
        <w:pStyle w:val="ConsPlusNormal"/>
        <w:spacing w:before="220"/>
        <w:ind w:firstLine="540"/>
        <w:jc w:val="both"/>
      </w:pPr>
      <w:bookmarkStart w:id="35" w:name="P612"/>
      <w:bookmarkEnd w:id="35"/>
      <w:r>
        <w:t xml:space="preserve">5.3.20 Для предварительных расчетов оснований сооружений геотехнической категории 2, а также для окончательных расчетов оснований сооружений геотехнической категории 1 и опор воздушных линий электропередачи независимо от их геотехнической категории допускается определять нормативные и расчетные значения прочностных и деформационных характеристик грунтов по таблицам </w:t>
      </w:r>
      <w:hyperlink w:anchor="P5118">
        <w:r>
          <w:rPr>
            <w:color w:val="0000FF"/>
          </w:rPr>
          <w:t>приложения А</w:t>
        </w:r>
      </w:hyperlink>
      <w:r>
        <w:t xml:space="preserve"> в зависимости от их физических характеристик. При </w:t>
      </w:r>
      <w:r>
        <w:lastRenderedPageBreak/>
        <w:t xml:space="preserve">соответствующем обосновании допускается использовать данные таблиц </w:t>
      </w:r>
      <w:hyperlink w:anchor="P5118">
        <w:r>
          <w:rPr>
            <w:color w:val="0000FF"/>
          </w:rPr>
          <w:t>приложения А</w:t>
        </w:r>
      </w:hyperlink>
      <w:r>
        <w:t xml:space="preserve"> для окончательных расчетов сооружений геотехнической категории 2, приведенных в </w:t>
      </w:r>
      <w:hyperlink w:anchor="P1808">
        <w:r>
          <w:rPr>
            <w:color w:val="0000FF"/>
          </w:rPr>
          <w:t>таблице 5.11</w:t>
        </w:r>
      </w:hyperlink>
      <w:r>
        <w:t>.</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 xml:space="preserve">1 При определении значений угла внутреннего трения </w:t>
      </w:r>
      <w:r>
        <w:rPr>
          <w:noProof/>
          <w:position w:val="-8"/>
        </w:rPr>
        <w:drawing>
          <wp:inline distT="0" distB="0" distL="0" distR="0">
            <wp:extent cx="193675" cy="251460"/>
            <wp:effectExtent l="0" t="0" r="0" b="0"/>
            <wp:docPr id="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93675" cy="251460"/>
                    </a:xfrm>
                    <a:prstGeom prst="rect">
                      <a:avLst/>
                    </a:prstGeom>
                    <a:noFill/>
                    <a:ln>
                      <a:noFill/>
                    </a:ln>
                  </pic:spPr>
                </pic:pic>
              </a:graphicData>
            </a:graphic>
          </wp:inline>
        </w:drawing>
      </w:r>
      <w:r>
        <w:t xml:space="preserve">, удельного сцепления </w:t>
      </w:r>
      <w:r>
        <w:rPr>
          <w:i/>
        </w:rPr>
        <w:t>c</w:t>
      </w:r>
      <w:r>
        <w:rPr>
          <w:i/>
          <w:vertAlign w:val="subscript"/>
        </w:rPr>
        <w:t>n</w:t>
      </w:r>
      <w:r>
        <w:t xml:space="preserve"> и модуля деформации </w:t>
      </w:r>
      <w:r>
        <w:rPr>
          <w:i/>
        </w:rPr>
        <w:t>E</w:t>
      </w:r>
      <w:r>
        <w:t xml:space="preserve"> по таблицам </w:t>
      </w:r>
      <w:hyperlink w:anchor="P5118">
        <w:r>
          <w:rPr>
            <w:color w:val="0000FF"/>
          </w:rPr>
          <w:t>приложения А</w:t>
        </w:r>
      </w:hyperlink>
      <w:r>
        <w:t xml:space="preserve"> расчетные значения характеристик требуется принимать при следующих значениях коэффициента надежности по грунту:</w:t>
      </w:r>
    </w:p>
    <w:p w:rsidR="00E35632" w:rsidRDefault="00E35632">
      <w:pPr>
        <w:pStyle w:val="ConsPlusNonformat"/>
        <w:spacing w:before="200"/>
        <w:jc w:val="both"/>
      </w:pPr>
      <w:r>
        <w:t xml:space="preserve">    - в расчетах оснований по деформациям ...................... </w:t>
      </w:r>
      <w:r>
        <w:rPr>
          <w:noProof/>
          <w:position w:val="-9"/>
        </w:rPr>
        <w:drawing>
          <wp:inline distT="0" distB="0" distL="0" distR="0">
            <wp:extent cx="397510" cy="243840"/>
            <wp:effectExtent l="0" t="0" r="0" b="0"/>
            <wp:docPr id="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397510" cy="243840"/>
                    </a:xfrm>
                    <a:prstGeom prst="rect">
                      <a:avLst/>
                    </a:prstGeom>
                    <a:noFill/>
                    <a:ln>
                      <a:noFill/>
                    </a:ln>
                  </pic:spPr>
                </pic:pic>
              </a:graphicData>
            </a:graphic>
          </wp:inline>
        </w:drawing>
      </w:r>
      <w:r>
        <w:t>;</w:t>
      </w:r>
    </w:p>
    <w:p w:rsidR="00E35632" w:rsidRDefault="00E35632">
      <w:pPr>
        <w:pStyle w:val="ConsPlusNonformat"/>
        <w:jc w:val="both"/>
      </w:pPr>
      <w:r>
        <w:t xml:space="preserve">    - в расчетах оснований по несущей способности:</w:t>
      </w:r>
    </w:p>
    <w:p w:rsidR="00E35632" w:rsidRDefault="00E35632">
      <w:pPr>
        <w:pStyle w:val="ConsPlusNonformat"/>
        <w:jc w:val="both"/>
      </w:pPr>
      <w:r>
        <w:t xml:space="preserve">    - для удельного сцепления .................................. </w:t>
      </w:r>
      <w:r>
        <w:rPr>
          <w:noProof/>
          <w:position w:val="-9"/>
        </w:rPr>
        <w:drawing>
          <wp:inline distT="0" distB="0" distL="0" distR="0">
            <wp:extent cx="622300" cy="251460"/>
            <wp:effectExtent l="0" t="0" r="0" b="0"/>
            <wp:docPr id="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622300" cy="251460"/>
                    </a:xfrm>
                    <a:prstGeom prst="rect">
                      <a:avLst/>
                    </a:prstGeom>
                    <a:noFill/>
                    <a:ln>
                      <a:noFill/>
                    </a:ln>
                  </pic:spPr>
                </pic:pic>
              </a:graphicData>
            </a:graphic>
          </wp:inline>
        </w:drawing>
      </w:r>
      <w:r>
        <w:t>;</w:t>
      </w:r>
    </w:p>
    <w:p w:rsidR="00E35632" w:rsidRDefault="00E35632">
      <w:pPr>
        <w:pStyle w:val="ConsPlusNonformat"/>
        <w:jc w:val="both"/>
      </w:pPr>
      <w:r>
        <w:t xml:space="preserve">    - для угла внутреннего трения песчаных грунтов ............. </w:t>
      </w:r>
      <w:r>
        <w:rPr>
          <w:noProof/>
          <w:position w:val="-9"/>
        </w:rPr>
        <w:drawing>
          <wp:inline distT="0" distB="0" distL="0" distR="0">
            <wp:extent cx="622300" cy="251460"/>
            <wp:effectExtent l="0" t="0" r="0" b="0"/>
            <wp:docPr id="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622300" cy="251460"/>
                    </a:xfrm>
                    <a:prstGeom prst="rect">
                      <a:avLst/>
                    </a:prstGeom>
                    <a:noFill/>
                    <a:ln>
                      <a:noFill/>
                    </a:ln>
                  </pic:spPr>
                </pic:pic>
              </a:graphicData>
            </a:graphic>
          </wp:inline>
        </w:drawing>
      </w:r>
      <w:r>
        <w:t>;</w:t>
      </w:r>
    </w:p>
    <w:p w:rsidR="00E35632" w:rsidRDefault="00E35632">
      <w:pPr>
        <w:pStyle w:val="ConsPlusNonformat"/>
        <w:jc w:val="both"/>
      </w:pPr>
      <w:r>
        <w:t xml:space="preserve">    - то же, глинистых грунтов ................................. </w:t>
      </w:r>
      <w:r>
        <w:rPr>
          <w:noProof/>
          <w:position w:val="-9"/>
        </w:rPr>
        <w:drawing>
          <wp:inline distT="0" distB="0" distL="0" distR="0">
            <wp:extent cx="698500" cy="251460"/>
            <wp:effectExtent l="0" t="0" r="0" b="0"/>
            <wp:docPr id="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698500" cy="251460"/>
                    </a:xfrm>
                    <a:prstGeom prst="rect">
                      <a:avLst/>
                    </a:prstGeom>
                    <a:noFill/>
                    <a:ln>
                      <a:noFill/>
                    </a:ln>
                  </pic:spPr>
                </pic:pic>
              </a:graphicData>
            </a:graphic>
          </wp:inline>
        </w:drawing>
      </w:r>
      <w:r>
        <w:t>.</w:t>
      </w:r>
    </w:p>
    <w:p w:rsidR="00E35632" w:rsidRDefault="00E35632">
      <w:pPr>
        <w:pStyle w:val="ConsPlusNormal"/>
        <w:ind w:firstLine="540"/>
        <w:jc w:val="both"/>
      </w:pPr>
      <w:r>
        <w:t xml:space="preserve">2 Для отдельных районов допускается вместо таблиц </w:t>
      </w:r>
      <w:hyperlink w:anchor="P5118">
        <w:r>
          <w:rPr>
            <w:color w:val="0000FF"/>
          </w:rPr>
          <w:t>приложения А</w:t>
        </w:r>
      </w:hyperlink>
      <w:r>
        <w:t xml:space="preserve"> пользоваться региональными таблицами характеристик грунтов, специфических для этих районов, приведенными в территориальных нормативно-методических документах.</w:t>
      </w:r>
    </w:p>
    <w:p w:rsidR="00E35632" w:rsidRDefault="00E35632">
      <w:pPr>
        <w:pStyle w:val="ConsPlusNormal"/>
        <w:jc w:val="both"/>
      </w:pPr>
    </w:p>
    <w:p w:rsidR="00E35632" w:rsidRDefault="00E35632">
      <w:pPr>
        <w:pStyle w:val="ConsPlusTitle"/>
        <w:ind w:firstLine="540"/>
        <w:jc w:val="both"/>
        <w:outlineLvl w:val="2"/>
      </w:pPr>
      <w:bookmarkStart w:id="36" w:name="P622"/>
      <w:bookmarkEnd w:id="36"/>
      <w:r>
        <w:t>5.4 Подземные воды</w:t>
      </w:r>
    </w:p>
    <w:p w:rsidR="00E35632" w:rsidRDefault="00E35632">
      <w:pPr>
        <w:pStyle w:val="ConsPlusNormal"/>
        <w:spacing w:before="220"/>
        <w:ind w:firstLine="540"/>
        <w:jc w:val="both"/>
      </w:pPr>
      <w:r>
        <w:t>5.4.1 При проектировании оснований, фундаментов и подземных сооружений в условиях нового строительства или реконструкции необходимо учитывать гидрогеологические условия площадки и возможность их изменения в процессе строительства и эксплуатации сооружения, а именно:</w:t>
      </w:r>
    </w:p>
    <w:p w:rsidR="00E35632" w:rsidRDefault="00E35632">
      <w:pPr>
        <w:pStyle w:val="ConsPlusNormal"/>
        <w:spacing w:before="220"/>
        <w:ind w:firstLine="540"/>
        <w:jc w:val="both"/>
      </w:pPr>
      <w:r>
        <w:t>- естественные сезонные и многолетние колебания уровней подземных вод;</w:t>
      </w:r>
    </w:p>
    <w:p w:rsidR="00E35632" w:rsidRDefault="00E35632">
      <w:pPr>
        <w:pStyle w:val="ConsPlusNormal"/>
        <w:spacing w:before="220"/>
        <w:ind w:firstLine="540"/>
        <w:jc w:val="both"/>
      </w:pPr>
      <w:r>
        <w:t>- техногенные изменения уровней подземных вод и возможность образования "верховодки";</w:t>
      </w:r>
    </w:p>
    <w:p w:rsidR="00E35632" w:rsidRDefault="00E35632">
      <w:pPr>
        <w:pStyle w:val="ConsPlusNormal"/>
        <w:spacing w:before="220"/>
        <w:ind w:firstLine="540"/>
        <w:jc w:val="both"/>
      </w:pPr>
      <w:r>
        <w:t>- высоту зоны капиллярного подъема над уровнем подземных вод в пылеватых песках и глинистых грунтах;</w:t>
      </w:r>
    </w:p>
    <w:p w:rsidR="00E35632" w:rsidRDefault="00E35632">
      <w:pPr>
        <w:pStyle w:val="ConsPlusNormal"/>
        <w:spacing w:before="220"/>
        <w:ind w:firstLine="540"/>
        <w:jc w:val="both"/>
      </w:pPr>
      <w:r>
        <w:t>- степень агрессивности подземных вод по отношению к материалам подземных конструкций и коррозионную агрессивность грунтов по результатам инженерно-геологических изысканий с учетом технологических особенностей производства.</w:t>
      </w:r>
    </w:p>
    <w:p w:rsidR="00E35632" w:rsidRDefault="00E35632">
      <w:pPr>
        <w:pStyle w:val="ConsPlusNormal"/>
        <w:spacing w:before="220"/>
        <w:ind w:firstLine="540"/>
        <w:jc w:val="both"/>
      </w:pPr>
      <w:r>
        <w:t>5.4.2 Для оценки степени воздействия сооружения на режим подземных вод застраиваемой и прилегающей к ней территорий необходимо выполнить прогноз изменения гидрогеологических условий для стадий строительства и эксплуатации.</w:t>
      </w:r>
    </w:p>
    <w:p w:rsidR="00E35632" w:rsidRDefault="00E35632">
      <w:pPr>
        <w:pStyle w:val="ConsPlusNormal"/>
        <w:spacing w:before="220"/>
        <w:ind w:firstLine="540"/>
        <w:jc w:val="both"/>
      </w:pPr>
      <w:r>
        <w:t xml:space="preserve">5.4.3 Прогноз изменения гидрогеологических условий следует выполнять для сооружений геотехнических категорий 2 и 3 с учетом изменений факторов, оказывающих влияние на формирование многолетнего режима подземных вод, методами математического моделирования, аналитическими и др. Прогноз следует выполнять с учетом требований </w:t>
      </w:r>
      <w:hyperlink w:anchor="P4700">
        <w:r>
          <w:rPr>
            <w:color w:val="0000FF"/>
          </w:rPr>
          <w:t>9.27</w:t>
        </w:r>
      </w:hyperlink>
      <w:r>
        <w:t>.</w:t>
      </w:r>
    </w:p>
    <w:p w:rsidR="00E35632" w:rsidRDefault="00E35632">
      <w:pPr>
        <w:pStyle w:val="ConsPlusNormal"/>
        <w:spacing w:before="220"/>
        <w:ind w:firstLine="540"/>
        <w:jc w:val="both"/>
      </w:pPr>
      <w:r>
        <w:t>Примечание - Для выполнения прогноза изменения гидрогеологических условий необходимо привлекать специализированные организации.</w:t>
      </w:r>
    </w:p>
    <w:p w:rsidR="00E35632" w:rsidRDefault="00E35632">
      <w:pPr>
        <w:pStyle w:val="ConsPlusNormal"/>
        <w:jc w:val="both"/>
      </w:pPr>
    </w:p>
    <w:p w:rsidR="00E35632" w:rsidRDefault="00E35632">
      <w:pPr>
        <w:pStyle w:val="ConsPlusNormal"/>
        <w:ind w:firstLine="540"/>
        <w:jc w:val="both"/>
      </w:pPr>
      <w:r>
        <w:t>5.4.4 При выполнении прогноза изменений гидрогеологических условий должны быть выявлены режимообразующие факторы, которые следует подразделять на региональные и локальные.</w:t>
      </w:r>
    </w:p>
    <w:p w:rsidR="00E35632" w:rsidRDefault="00E35632">
      <w:pPr>
        <w:pStyle w:val="ConsPlusNormal"/>
        <w:spacing w:before="220"/>
        <w:ind w:firstLine="540"/>
        <w:jc w:val="both"/>
      </w:pPr>
      <w:r>
        <w:t xml:space="preserve">Региональные факторы включают: подпор подземных вод от рек, каналов и других водоемов, от утечек предприятий, полей фильтрации при станциях аэрации; образование воронок депрессии </w:t>
      </w:r>
      <w:r>
        <w:lastRenderedPageBreak/>
        <w:t>как следствие работы водозаборов подземных вод, дренажей, систем защиты сооружений метрополитена от подземных вод, карьеров и пр.</w:t>
      </w:r>
    </w:p>
    <w:p w:rsidR="00E35632" w:rsidRDefault="00E35632">
      <w:pPr>
        <w:pStyle w:val="ConsPlusNormal"/>
        <w:spacing w:before="220"/>
        <w:ind w:firstLine="540"/>
        <w:jc w:val="both"/>
      </w:pPr>
      <w:r>
        <w:t>Локальные факторы включают: подпор подземных вод от барражного эффекта, созданного подземными сооружениями (в том числе свайными полями), от инфильтрации за счет утечек из водонесущих коммуникаций окружающей застройки; образование депрессионных воронок от действия различных видов дренажей при строительстве и эксплуатации сооружений.</w:t>
      </w:r>
    </w:p>
    <w:p w:rsidR="00E35632" w:rsidRDefault="00E35632">
      <w:pPr>
        <w:pStyle w:val="ConsPlusNormal"/>
        <w:spacing w:before="220"/>
        <w:ind w:firstLine="540"/>
        <w:jc w:val="both"/>
      </w:pPr>
      <w:r>
        <w:t>5.4.5 Для получения достоверных прогнозных оценок изменений гидрогеологических условий при проектировании сооружений геотехнических категорий 2 и 3 следует использовать результаты режимных наблюдений за подземными водами (на застраиваемой и прилегающей территориях), а также выполнить комплекс опытно-фильтрационных работ по определению фильтрационных параметров водоносных горизонтов, влияющих на изменения гидрогеологической обстановки в районе нового строительства.</w:t>
      </w:r>
    </w:p>
    <w:p w:rsidR="00E35632" w:rsidRDefault="00E35632">
      <w:pPr>
        <w:pStyle w:val="ConsPlusNormal"/>
        <w:spacing w:before="220"/>
        <w:ind w:firstLine="540"/>
        <w:jc w:val="both"/>
      </w:pPr>
      <w:r>
        <w:t>Примечание - При отсутствии данных режимных наблюдений на застраиваемой территории необходимо расширить состав изысканий до объема достаточного для проведения прогноза гидрогеологических условий.</w:t>
      </w:r>
    </w:p>
    <w:p w:rsidR="00E35632" w:rsidRDefault="00E35632">
      <w:pPr>
        <w:pStyle w:val="ConsPlusNormal"/>
        <w:jc w:val="both"/>
      </w:pPr>
    </w:p>
    <w:p w:rsidR="00E35632" w:rsidRDefault="00E35632">
      <w:pPr>
        <w:pStyle w:val="ConsPlusNormal"/>
        <w:ind w:firstLine="540"/>
        <w:jc w:val="both"/>
      </w:pPr>
      <w:r>
        <w:t>5.4.6 Оценку возможных естественных сезонных и многолетних колебаний уровня подземных вод проводят на основе данных многолетних режимных наблюдений по государственной стационарной сети с использованием результатов краткосрочных наблюдений, в том числе разовых замеров уровня подземных вод, выполняемых при инженерных изысканиях на площадке строительства.</w:t>
      </w:r>
    </w:p>
    <w:p w:rsidR="00E35632" w:rsidRDefault="00E35632">
      <w:pPr>
        <w:pStyle w:val="ConsPlusNormal"/>
        <w:spacing w:before="220"/>
        <w:ind w:firstLine="540"/>
        <w:jc w:val="both"/>
      </w:pPr>
      <w:r>
        <w:t>5.4.7 Для разработки проектов сооружений и производства земляных работ необходимы данные о среднем многолетнем положении уровня подземных вод и их максимальном и минимальном уровнях за период наблюдений, а также о продолжительности стояния паводковых (весенних и летне-осенних) уровней подземных вод.</w:t>
      </w:r>
    </w:p>
    <w:p w:rsidR="00E35632" w:rsidRDefault="00E35632">
      <w:pPr>
        <w:pStyle w:val="ConsPlusNormal"/>
        <w:spacing w:before="220"/>
        <w:ind w:firstLine="540"/>
        <w:jc w:val="both"/>
      </w:pPr>
      <w:r>
        <w:t>5.4.8 По характеру подтопления следует выделять естественно или техногенно подтопленные территории (с глубинами залегания уровня подземных вод менее 3 м) и неподтопленные.</w:t>
      </w:r>
    </w:p>
    <w:p w:rsidR="00E35632" w:rsidRDefault="00E35632">
      <w:pPr>
        <w:pStyle w:val="ConsPlusNormal"/>
        <w:spacing w:before="220"/>
        <w:ind w:firstLine="540"/>
        <w:jc w:val="both"/>
      </w:pPr>
      <w:r>
        <w:t>Основными факторами подтопления являются: при строительстве - изменение условий поверхностного стока при вертикальной планировке территории, длительный разрыв между выполнением земляных и строительных работ; при эксплуатации - инфильтрация утечек, уменьшение испарения под зданиями и покрытиями и т.д.</w:t>
      </w:r>
    </w:p>
    <w:p w:rsidR="00E35632" w:rsidRDefault="00E35632">
      <w:pPr>
        <w:pStyle w:val="ConsPlusNormal"/>
        <w:spacing w:before="220"/>
        <w:ind w:firstLine="540"/>
        <w:jc w:val="both"/>
      </w:pPr>
      <w:r>
        <w:t>5.4.9 По характеру техногенного воздействия неподтопленные застраиваемые территории подразделяют на неподтопляемые, потенциально подтопляемые и осушаемые.</w:t>
      </w:r>
    </w:p>
    <w:p w:rsidR="00E35632" w:rsidRDefault="00E35632">
      <w:pPr>
        <w:pStyle w:val="ConsPlusNormal"/>
        <w:spacing w:before="220"/>
        <w:ind w:firstLine="540"/>
        <w:jc w:val="both"/>
      </w:pPr>
      <w:r>
        <w:t>Неподтопляемые территории - территории, на которых вследствие благоприятных природных условий (наличие проницаемых грунтов большой толщины, глубокое положение уровня подземных вод, дренированность территории) и благоприятных техногенных условий (отсутствие или незначительные утечки из коммуникаций, незначительный барражный эффект) не происходит заметного увеличения влажности грунтов основания и повышения уровня подземных вод.</w:t>
      </w:r>
    </w:p>
    <w:p w:rsidR="00E35632" w:rsidRDefault="00E35632">
      <w:pPr>
        <w:pStyle w:val="ConsPlusNormal"/>
        <w:spacing w:before="220"/>
        <w:ind w:firstLine="540"/>
        <w:jc w:val="both"/>
      </w:pPr>
      <w:r>
        <w:t>Потенциально подтопляемые территории - территории, на которых вследствие неблагоприятных природных и техногенных условий в результате их строительного освоения или в период эксплуатации возможно повышение уровня подземных вод, вызывающее нарушение условий нормальной эксплуатации сооружений, что требует проведения защитных мероприятий или устройства дренажей.</w:t>
      </w:r>
    </w:p>
    <w:p w:rsidR="00E35632" w:rsidRDefault="00E35632">
      <w:pPr>
        <w:pStyle w:val="ConsPlusNormal"/>
        <w:spacing w:before="220"/>
        <w:ind w:firstLine="540"/>
        <w:jc w:val="both"/>
      </w:pPr>
      <w:r>
        <w:t xml:space="preserve">Осушаемые территории - территории, на которых отмечается понижение уровня подземных вод в результате действия водоотлива в период строительства и действия дренажей в период эксплуатации сооружения, что вызывает оседание земной поверхности и может явиться причиной </w:t>
      </w:r>
      <w:r>
        <w:lastRenderedPageBreak/>
        <w:t>деформаций сооружений.</w:t>
      </w:r>
    </w:p>
    <w:p w:rsidR="00E35632" w:rsidRDefault="00E35632">
      <w:pPr>
        <w:pStyle w:val="ConsPlusNormal"/>
        <w:spacing w:before="220"/>
        <w:ind w:firstLine="540"/>
        <w:jc w:val="both"/>
      </w:pPr>
      <w:r>
        <w:t>5.4.10 Оценку потенциальной подтопляемости территории выполняют на основе прогноза изменения гидрогеологических условий с учетом инженерно-геологических условий площадки строительства и прилегающих территорий, конструктивных и технологических особенностей проектируемых (реконструируемых) сооружений и окружающей застройки.</w:t>
      </w:r>
    </w:p>
    <w:p w:rsidR="00E35632" w:rsidRDefault="00E35632">
      <w:pPr>
        <w:pStyle w:val="ConsPlusNormal"/>
        <w:spacing w:before="220"/>
        <w:ind w:firstLine="540"/>
        <w:jc w:val="both"/>
      </w:pPr>
      <w:r>
        <w:t>5.4.11 Для сооружений геотехнических категорий 2 и 3 следует выполнить количественный прогноз изменения уровня подземных вод с учетом техногенных факторов на основе специальных комплексных исследований, включающих не менее годового цикла стационарных наблюдений за режимом подземных вод.</w:t>
      </w:r>
    </w:p>
    <w:p w:rsidR="00E35632" w:rsidRDefault="00E35632">
      <w:pPr>
        <w:pStyle w:val="ConsPlusNormal"/>
        <w:spacing w:before="220"/>
        <w:ind w:firstLine="540"/>
        <w:jc w:val="both"/>
      </w:pPr>
      <w:r>
        <w:t>Примечание - При отсутствии данных режимных наблюдений на застраиваемой территории необходимо расширить состав изысканий до объема достаточного для проведения прогноза гидрогеологических условий.</w:t>
      </w:r>
    </w:p>
    <w:p w:rsidR="00E35632" w:rsidRDefault="00E35632">
      <w:pPr>
        <w:pStyle w:val="ConsPlusNormal"/>
        <w:jc w:val="both"/>
      </w:pPr>
    </w:p>
    <w:p w:rsidR="00E35632" w:rsidRDefault="00E35632">
      <w:pPr>
        <w:pStyle w:val="ConsPlusNormal"/>
        <w:ind w:firstLine="540"/>
        <w:jc w:val="both"/>
      </w:pPr>
      <w:r>
        <w:t>5.4.12 При подъеме уровня подземных вод следует учитывать возможность развития дополнительных осадок основания вследствие ухудшения деформационных и прочностных характеристик грунтов при их водонасыщении и изменения напряженного состояния сжимаемой толщи в результате гидростатического и гидродинамического взвешивания.</w:t>
      </w:r>
    </w:p>
    <w:p w:rsidR="00E35632" w:rsidRDefault="00E35632">
      <w:pPr>
        <w:pStyle w:val="ConsPlusNormal"/>
        <w:spacing w:before="220"/>
        <w:ind w:firstLine="540"/>
        <w:jc w:val="both"/>
      </w:pPr>
      <w:r>
        <w:t xml:space="preserve">5.4.13 Техногенное изменение уровня подземных вод на застраиваемой территории зависит от функционального назначения территории: промышленные зоны, селитебные территории с плотной, смешанной и низкоплотной застройкой, территории, занятые парками и лесами, и т.п. и характеризуется величиной инфильтрационного питания грунтовой толщи </w:t>
      </w:r>
      <w:r>
        <w:rPr>
          <w:i/>
        </w:rPr>
        <w:t>W</w:t>
      </w:r>
      <w:r>
        <w:t>, мм/год, которую вычисляют по формуле</w:t>
      </w:r>
    </w:p>
    <w:p w:rsidR="00E35632" w:rsidRDefault="00E35632">
      <w:pPr>
        <w:pStyle w:val="ConsPlusNormal"/>
        <w:jc w:val="both"/>
      </w:pPr>
    </w:p>
    <w:p w:rsidR="00E35632" w:rsidRDefault="00E35632">
      <w:pPr>
        <w:pStyle w:val="ConsPlusNormal"/>
        <w:jc w:val="center"/>
      </w:pPr>
      <w:r>
        <w:rPr>
          <w:i/>
        </w:rPr>
        <w:t>W</w:t>
      </w:r>
      <w:r>
        <w:t xml:space="preserve"> = (1 - </w:t>
      </w:r>
      <w:r>
        <w:rPr>
          <w:i/>
        </w:rPr>
        <w:t>m</w:t>
      </w:r>
      <w:r>
        <w:t>)</w:t>
      </w:r>
      <w:r>
        <w:rPr>
          <w:i/>
        </w:rPr>
        <w:t>W</w:t>
      </w:r>
      <w:r>
        <w:rPr>
          <w:i/>
          <w:vertAlign w:val="subscript"/>
        </w:rPr>
        <w:t>nat</w:t>
      </w:r>
      <w:r>
        <w:t xml:space="preserve"> + </w:t>
      </w:r>
      <w:r>
        <w:rPr>
          <w:i/>
        </w:rPr>
        <w:t>W</w:t>
      </w:r>
      <w:r>
        <w:rPr>
          <w:i/>
          <w:vertAlign w:val="subscript"/>
        </w:rPr>
        <w:t>tec</w:t>
      </w:r>
      <w:r>
        <w:t>, (5.2)</w:t>
      </w:r>
    </w:p>
    <w:p w:rsidR="00E35632" w:rsidRDefault="00E35632">
      <w:pPr>
        <w:pStyle w:val="ConsPlusNormal"/>
        <w:jc w:val="both"/>
      </w:pPr>
    </w:p>
    <w:p w:rsidR="00E35632" w:rsidRDefault="00E35632">
      <w:pPr>
        <w:pStyle w:val="ConsPlusNormal"/>
        <w:ind w:firstLine="540"/>
        <w:jc w:val="both"/>
      </w:pPr>
      <w:r>
        <w:t xml:space="preserve">где </w:t>
      </w:r>
      <w:r>
        <w:rPr>
          <w:i/>
        </w:rPr>
        <w:t>m</w:t>
      </w:r>
      <w:r>
        <w:t xml:space="preserve"> - степень закрытости территории непроницаемыми покрытиями (асфальт, крыши и т.д.);</w:t>
      </w:r>
    </w:p>
    <w:p w:rsidR="00E35632" w:rsidRDefault="00E35632">
      <w:pPr>
        <w:pStyle w:val="ConsPlusNormal"/>
        <w:spacing w:before="220"/>
        <w:ind w:firstLine="540"/>
        <w:jc w:val="both"/>
      </w:pPr>
      <w:r>
        <w:rPr>
          <w:i/>
        </w:rPr>
        <w:t>W</w:t>
      </w:r>
      <w:r>
        <w:rPr>
          <w:i/>
          <w:vertAlign w:val="subscript"/>
        </w:rPr>
        <w:t>nat</w:t>
      </w:r>
      <w:r>
        <w:t xml:space="preserve"> - инфильтрационное питание, обусловленное естественным фоном инфильтрации, мм/год;</w:t>
      </w:r>
    </w:p>
    <w:p w:rsidR="00E35632" w:rsidRDefault="00E35632">
      <w:pPr>
        <w:pStyle w:val="ConsPlusNormal"/>
        <w:spacing w:before="220"/>
        <w:ind w:firstLine="540"/>
        <w:jc w:val="both"/>
      </w:pPr>
      <w:r>
        <w:rPr>
          <w:i/>
        </w:rPr>
        <w:t>W</w:t>
      </w:r>
      <w:r>
        <w:rPr>
          <w:i/>
          <w:vertAlign w:val="subscript"/>
        </w:rPr>
        <w:t>tec</w:t>
      </w:r>
      <w:r>
        <w:t xml:space="preserve"> - инфильтрационное питание, обусловленное техногенными факторами, мм/год.</w:t>
      </w:r>
    </w:p>
    <w:p w:rsidR="00E35632" w:rsidRDefault="00E35632">
      <w:pPr>
        <w:pStyle w:val="ConsPlusNormal"/>
        <w:spacing w:before="220"/>
        <w:ind w:firstLine="540"/>
        <w:jc w:val="both"/>
      </w:pPr>
      <w:r>
        <w:t xml:space="preserve">Инфильтрационное питание </w:t>
      </w:r>
      <w:r>
        <w:rPr>
          <w:i/>
        </w:rPr>
        <w:t>W</w:t>
      </w:r>
      <w:r>
        <w:rPr>
          <w:i/>
          <w:vertAlign w:val="subscript"/>
        </w:rPr>
        <w:t>tec</w:t>
      </w:r>
      <w:r>
        <w:t xml:space="preserve"> зависит от предполагаемого водопотребления на застраиваемой территории.</w:t>
      </w:r>
    </w:p>
    <w:p w:rsidR="00E35632" w:rsidRDefault="00E35632">
      <w:pPr>
        <w:pStyle w:val="ConsPlusNormal"/>
        <w:spacing w:before="220"/>
        <w:ind w:firstLine="540"/>
        <w:jc w:val="both"/>
      </w:pPr>
      <w:r>
        <w:t>Потери водопотребления, участвующие в формировании питания подземных вод, на территории селитебных районов составляют в среднем 3,6% суммарного водопотребления. Для промышленных зон эти потери зависят от характера водопотребления производства и продолжительности его эксплуатации и составляют от 4% до 6% расхода воды.</w:t>
      </w:r>
    </w:p>
    <w:p w:rsidR="00E35632" w:rsidRDefault="00E35632">
      <w:pPr>
        <w:pStyle w:val="ConsPlusNormal"/>
        <w:spacing w:before="220"/>
        <w:ind w:firstLine="540"/>
        <w:jc w:val="both"/>
      </w:pPr>
      <w:r>
        <w:t>5.4.14 Для сооружений геотехнических категорий 2 и 3 количественный прогноз изменений гидрогеологических условий территории проводят для:</w:t>
      </w:r>
    </w:p>
    <w:p w:rsidR="00E35632" w:rsidRDefault="00E35632">
      <w:pPr>
        <w:pStyle w:val="ConsPlusNormal"/>
        <w:spacing w:before="220"/>
        <w:ind w:firstLine="540"/>
        <w:jc w:val="both"/>
      </w:pPr>
      <w:r>
        <w:t>- расчета водопритоков в котлован;</w:t>
      </w:r>
    </w:p>
    <w:p w:rsidR="00E35632" w:rsidRDefault="00E35632">
      <w:pPr>
        <w:pStyle w:val="ConsPlusNormal"/>
        <w:spacing w:before="220"/>
        <w:ind w:firstLine="540"/>
        <w:jc w:val="both"/>
      </w:pPr>
      <w:r>
        <w:t>- оценки устойчивости основания и откосов котлована, а также возможности проявления суффозионных процессов;</w:t>
      </w:r>
    </w:p>
    <w:p w:rsidR="00E35632" w:rsidRDefault="00E35632">
      <w:pPr>
        <w:pStyle w:val="ConsPlusNormal"/>
        <w:spacing w:before="220"/>
        <w:ind w:firstLine="540"/>
        <w:jc w:val="both"/>
      </w:pPr>
      <w:r>
        <w:t>- обоснования необходимости устройства противофильтрационной завесы и ее глубины;</w:t>
      </w:r>
    </w:p>
    <w:p w:rsidR="00E35632" w:rsidRDefault="00E35632">
      <w:pPr>
        <w:pStyle w:val="ConsPlusNormal"/>
        <w:spacing w:before="220"/>
        <w:ind w:firstLine="540"/>
        <w:jc w:val="both"/>
      </w:pPr>
      <w:r>
        <w:t>- оценки влияния дренажа на прилегающие территории с определением размеров депрессионной воронки;</w:t>
      </w:r>
    </w:p>
    <w:p w:rsidR="00E35632" w:rsidRDefault="00E35632">
      <w:pPr>
        <w:pStyle w:val="ConsPlusNormal"/>
        <w:spacing w:before="220"/>
        <w:ind w:firstLine="540"/>
        <w:jc w:val="both"/>
      </w:pPr>
      <w:r>
        <w:lastRenderedPageBreak/>
        <w:t>- оценки барражного эффекта;</w:t>
      </w:r>
    </w:p>
    <w:p w:rsidR="00E35632" w:rsidRDefault="00E35632">
      <w:pPr>
        <w:pStyle w:val="ConsPlusNormal"/>
        <w:spacing w:before="220"/>
        <w:ind w:firstLine="540"/>
        <w:jc w:val="both"/>
      </w:pPr>
      <w:r>
        <w:t>- расчета давления подземных вод на заглубленную часть сооружения;</w:t>
      </w:r>
    </w:p>
    <w:p w:rsidR="00E35632" w:rsidRDefault="00E35632">
      <w:pPr>
        <w:pStyle w:val="ConsPlusNormal"/>
        <w:spacing w:before="220"/>
        <w:ind w:firstLine="540"/>
        <w:jc w:val="both"/>
      </w:pPr>
      <w:r>
        <w:t>- расчет оседания земной поверхности;</w:t>
      </w:r>
    </w:p>
    <w:p w:rsidR="00E35632" w:rsidRDefault="00E35632">
      <w:pPr>
        <w:pStyle w:val="ConsPlusNormal"/>
        <w:spacing w:before="220"/>
        <w:ind w:firstLine="540"/>
        <w:jc w:val="both"/>
      </w:pPr>
      <w:r>
        <w:t>- расчета водопритоков к дренажу и определения зоны его влияния;</w:t>
      </w:r>
    </w:p>
    <w:p w:rsidR="00E35632" w:rsidRDefault="00E35632">
      <w:pPr>
        <w:pStyle w:val="ConsPlusNormal"/>
        <w:spacing w:before="220"/>
        <w:ind w:firstLine="540"/>
        <w:jc w:val="both"/>
      </w:pPr>
      <w:r>
        <w:t>- оценки высоты зоны капиллярного подъема.</w:t>
      </w:r>
    </w:p>
    <w:p w:rsidR="00E35632" w:rsidRDefault="00E35632">
      <w:pPr>
        <w:pStyle w:val="ConsPlusNormal"/>
        <w:spacing w:before="220"/>
        <w:ind w:firstLine="540"/>
        <w:jc w:val="both"/>
      </w:pPr>
      <w:r>
        <w:t>5.4.15 Если при прогнозируемом уровне подземных вод возможно ухудшение физико-механических свойств грунтов основания, развитие неблагоприятных геологических и инженерно-геологических процессов, нарушение условий нормальной эксплуатации подземных частей сооружений и т.п., то в проекте следует предусматривать соответствующие защитные мероприятия, в частности:</w:t>
      </w:r>
    </w:p>
    <w:p w:rsidR="00E35632" w:rsidRDefault="00E35632">
      <w:pPr>
        <w:pStyle w:val="ConsPlusNormal"/>
        <w:spacing w:before="220"/>
        <w:ind w:firstLine="540"/>
        <w:jc w:val="both"/>
      </w:pPr>
      <w:r>
        <w:t>- замкнутая по контуру гидроизоляция подземных сооружений;</w:t>
      </w:r>
    </w:p>
    <w:p w:rsidR="00E35632" w:rsidRDefault="00E35632">
      <w:pPr>
        <w:pStyle w:val="ConsPlusNormal"/>
        <w:jc w:val="both"/>
      </w:pPr>
      <w:r>
        <w:t xml:space="preserve">(в ред. </w:t>
      </w:r>
      <w:hyperlink r:id="rId302">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устройство защиты от механических повреждений гидроизоляционного слоя с применением геосинтетических (профилированные мембраны, геотекстиль и т.п.) или изоляционных материалов (влагостойкий теплоизоляционный материал);</w:t>
      </w:r>
    </w:p>
    <w:p w:rsidR="00E35632" w:rsidRDefault="00E35632">
      <w:pPr>
        <w:pStyle w:val="ConsPlusNormal"/>
        <w:jc w:val="both"/>
      </w:pPr>
      <w:r>
        <w:t xml:space="preserve">(перечисление введено </w:t>
      </w:r>
      <w:hyperlink r:id="rId303">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t>- мероприятия, ограничивающие подъем уровня подземных вод, снижающие или исключающие утечки из водонесущих коммуникаций и т.п. (дренаж, противофильтрационные завесы, устройство специальных защитных каналов для коммуникаций и т.д.);</w:t>
      </w:r>
    </w:p>
    <w:p w:rsidR="00E35632" w:rsidRDefault="00E35632">
      <w:pPr>
        <w:pStyle w:val="ConsPlusNormal"/>
        <w:spacing w:before="220"/>
        <w:ind w:firstLine="540"/>
        <w:jc w:val="both"/>
      </w:pPr>
      <w:r>
        <w:t>- мероприятия, препятствующие механической или химической суффозии грунтов (устройство водонепроницаемого ограждения котлована, закрепление грунтов);</w:t>
      </w:r>
    </w:p>
    <w:p w:rsidR="00E35632" w:rsidRDefault="00E35632">
      <w:pPr>
        <w:pStyle w:val="ConsPlusNormal"/>
        <w:spacing w:before="220"/>
        <w:ind w:firstLine="540"/>
        <w:jc w:val="both"/>
      </w:pPr>
      <w:r>
        <w:t>- устройство стационарной сети наблюдательных скважин для контроля над развитием процесса подтопления, своевременное устранение утечек из водонесущих коммуникаций и т.д.</w:t>
      </w:r>
    </w:p>
    <w:p w:rsidR="00E35632" w:rsidRDefault="00E35632">
      <w:pPr>
        <w:pStyle w:val="ConsPlusNormal"/>
        <w:spacing w:before="220"/>
        <w:ind w:firstLine="540"/>
        <w:jc w:val="both"/>
      </w:pPr>
      <w:r>
        <w:t>Выбор одного из указанных мероприятий или их комплекса следует проводить на основе технико-экономического анализа с учетом прогнозируемого уровня подземных вод, конструктивных и технологических особенностей проектируемого сооружения, его геотехнической категории и расчетного срока эксплуатации, стоимости и надежности водозащитных мероприятий и т.п.</w:t>
      </w:r>
    </w:p>
    <w:p w:rsidR="00E35632" w:rsidRDefault="00E35632">
      <w:pPr>
        <w:pStyle w:val="ConsPlusNormal"/>
        <w:spacing w:before="220"/>
        <w:ind w:firstLine="540"/>
        <w:jc w:val="both"/>
      </w:pPr>
      <w:r>
        <w:t>В необходимых случаях на стадии строительства и эксплуатации сооружения следует осуществлять мониторинг изменения гидрогеологических условий для контроля над возможным процессом подтопления или осушения, своевременным предотвращением утечек из водонесущих коммуникаций, прекращением или уменьшением объема откачек и т.д.</w:t>
      </w:r>
    </w:p>
    <w:p w:rsidR="00E35632" w:rsidRDefault="00E35632">
      <w:pPr>
        <w:pStyle w:val="ConsPlusNormal"/>
        <w:spacing w:before="220"/>
        <w:ind w:firstLine="540"/>
        <w:jc w:val="both"/>
      </w:pPr>
      <w:r>
        <w:t xml:space="preserve">5.4.16 Если подземные воды или промышленные стоки агрессивны по отношению к материалам заглубленных конструкций или могут повысить коррозийную агрессивность грунтов, следует предусматривать антикоррозионные мероприятия в соответствии с требованиями </w:t>
      </w:r>
      <w:hyperlink r:id="rId304">
        <w:r>
          <w:rPr>
            <w:color w:val="0000FF"/>
          </w:rPr>
          <w:t>СП 28.13330</w:t>
        </w:r>
      </w:hyperlink>
      <w:r>
        <w:t>.</w:t>
      </w:r>
    </w:p>
    <w:p w:rsidR="00E35632" w:rsidRDefault="00E35632">
      <w:pPr>
        <w:pStyle w:val="ConsPlusTitle"/>
        <w:spacing w:before="220"/>
        <w:ind w:firstLine="540"/>
        <w:jc w:val="both"/>
        <w:outlineLvl w:val="2"/>
      </w:pPr>
      <w:r>
        <w:t>5.5 Глубина заложения фундаментов</w:t>
      </w:r>
    </w:p>
    <w:p w:rsidR="00E35632" w:rsidRDefault="00E35632">
      <w:pPr>
        <w:pStyle w:val="ConsPlusNormal"/>
        <w:spacing w:before="220"/>
        <w:ind w:firstLine="540"/>
        <w:jc w:val="both"/>
      </w:pPr>
      <w:r>
        <w:t>5.5.1 Глубину заложения фундаментов следует принимать с учетом:</w:t>
      </w:r>
    </w:p>
    <w:p w:rsidR="00E35632" w:rsidRDefault="00E35632">
      <w:pPr>
        <w:pStyle w:val="ConsPlusNormal"/>
        <w:spacing w:before="220"/>
        <w:ind w:firstLine="540"/>
        <w:jc w:val="both"/>
      </w:pPr>
      <w:r>
        <w:t>- назначения и конструктивных особенностей проектируемого сооружения, нагрузок и воздействий на его фундаменты;</w:t>
      </w:r>
    </w:p>
    <w:p w:rsidR="00E35632" w:rsidRDefault="00E35632">
      <w:pPr>
        <w:pStyle w:val="ConsPlusNormal"/>
        <w:spacing w:before="220"/>
        <w:ind w:firstLine="540"/>
        <w:jc w:val="both"/>
      </w:pPr>
      <w:r>
        <w:lastRenderedPageBreak/>
        <w:t>- глубины заложения фундаментов примыкающих сооружений, а также глубины прокладки инженерных коммуникаций;</w:t>
      </w:r>
    </w:p>
    <w:p w:rsidR="00E35632" w:rsidRDefault="00E35632">
      <w:pPr>
        <w:pStyle w:val="ConsPlusNormal"/>
        <w:spacing w:before="220"/>
        <w:ind w:firstLine="540"/>
        <w:jc w:val="both"/>
      </w:pPr>
      <w:r>
        <w:t>- существующего и проектируемого рельефа застраиваемой территории;</w:t>
      </w:r>
    </w:p>
    <w:p w:rsidR="00E35632" w:rsidRDefault="00E35632">
      <w:pPr>
        <w:pStyle w:val="ConsPlusNormal"/>
        <w:spacing w:before="220"/>
        <w:ind w:firstLine="540"/>
        <w:jc w:val="both"/>
      </w:pPr>
      <w:r>
        <w:t>- инженерно-геологических условий площадки строительства (физико-механических свойств грунтов, характера напластований, наличия слоев, склонных к скольжению, карманов выветривания, карстовых полостей и пр.);</w:t>
      </w:r>
    </w:p>
    <w:p w:rsidR="00E35632" w:rsidRDefault="00E35632">
      <w:pPr>
        <w:pStyle w:val="ConsPlusNormal"/>
        <w:spacing w:before="220"/>
        <w:ind w:firstLine="540"/>
        <w:jc w:val="both"/>
      </w:pPr>
      <w:r>
        <w:t>- гидрогеологических условий площадки и возможных их изменений в процессе строительства и эксплуатации сооружения;</w:t>
      </w:r>
    </w:p>
    <w:p w:rsidR="00E35632" w:rsidRDefault="00E35632">
      <w:pPr>
        <w:pStyle w:val="ConsPlusNormal"/>
        <w:spacing w:before="220"/>
        <w:ind w:firstLine="540"/>
        <w:jc w:val="both"/>
      </w:pPr>
      <w:r>
        <w:t>- возможного размыва грунта у опор сооружений, возводимых в руслах рек (мостов, переходов трубопроводов и т.п.);</w:t>
      </w:r>
    </w:p>
    <w:p w:rsidR="00E35632" w:rsidRDefault="00E35632">
      <w:pPr>
        <w:pStyle w:val="ConsPlusNormal"/>
        <w:spacing w:before="220"/>
        <w:ind w:firstLine="540"/>
        <w:jc w:val="both"/>
      </w:pPr>
      <w:r>
        <w:t>- глубины сезонного промерзания грунтов.</w:t>
      </w:r>
    </w:p>
    <w:p w:rsidR="00E35632" w:rsidRDefault="00E35632">
      <w:pPr>
        <w:pStyle w:val="ConsPlusNormal"/>
        <w:spacing w:before="220"/>
        <w:ind w:firstLine="540"/>
        <w:jc w:val="both"/>
      </w:pPr>
      <w:r>
        <w:t>Выбор оптимальной глубины заложения фундаментов в зависимости от указанных условий необходимо выполнять на основе технико-экономического сравнения различных вариантов.</w:t>
      </w:r>
    </w:p>
    <w:p w:rsidR="00E35632" w:rsidRDefault="00E35632">
      <w:pPr>
        <w:pStyle w:val="ConsPlusNormal"/>
        <w:spacing w:before="220"/>
        <w:ind w:firstLine="540"/>
        <w:jc w:val="both"/>
      </w:pPr>
      <w:bookmarkStart w:id="37" w:name="P691"/>
      <w:bookmarkEnd w:id="37"/>
      <w:r>
        <w:t xml:space="preserve">5.5.2 Нормативную глубину сезонного промерзания грунта </w:t>
      </w:r>
      <w:r>
        <w:rPr>
          <w:i/>
        </w:rPr>
        <w:t>d</w:t>
      </w:r>
      <w:r>
        <w:rPr>
          <w:i/>
          <w:vertAlign w:val="subscript"/>
        </w:rPr>
        <w:t>fn</w:t>
      </w:r>
      <w:r>
        <w:t>, м, принимают равной средней из ежегодных максимальных глубин сезонного промерзания грунтов (по данным наблюдений за период не менее 10 лет) на открытой, оголенной от снега горизонтальной площадке при уровне подземных вод, расположенном ниже глубины сезонного промерзания грунтов.</w:t>
      </w:r>
    </w:p>
    <w:p w:rsidR="00E35632" w:rsidRDefault="00E35632">
      <w:pPr>
        <w:pStyle w:val="ConsPlusNormal"/>
        <w:spacing w:before="220"/>
        <w:ind w:firstLine="540"/>
        <w:jc w:val="both"/>
      </w:pPr>
      <w:r>
        <w:t xml:space="preserve">При использовании результатов наблюдений за фактической глубиной промерзания следует учитывать, что ее следует определять в соответствии с </w:t>
      </w:r>
      <w:hyperlink r:id="rId305">
        <w:r>
          <w:rPr>
            <w:color w:val="0000FF"/>
          </w:rPr>
          <w:t>ГОСТ 24847</w:t>
        </w:r>
      </w:hyperlink>
      <w:r>
        <w:t>.</w:t>
      </w:r>
    </w:p>
    <w:p w:rsidR="00E35632" w:rsidRDefault="00E35632">
      <w:pPr>
        <w:pStyle w:val="ConsPlusNormal"/>
        <w:spacing w:before="220"/>
        <w:ind w:firstLine="540"/>
        <w:jc w:val="both"/>
      </w:pPr>
      <w:bookmarkStart w:id="38" w:name="P693"/>
      <w:bookmarkEnd w:id="38"/>
      <w:r>
        <w:t xml:space="preserve">5.5.3 Нормативную глубину сезонного промерзания грунта </w:t>
      </w:r>
      <w:r>
        <w:rPr>
          <w:i/>
        </w:rPr>
        <w:t>d</w:t>
      </w:r>
      <w:r>
        <w:rPr>
          <w:i/>
          <w:vertAlign w:val="subscript"/>
        </w:rPr>
        <w:t>fn</w:t>
      </w:r>
      <w:r>
        <w:t>, м, при отсутствии данных многолетних наблюдений следует определять на основе теплотехнических расчетов. Для районов, где глубина промерзания не превышает 2,5 м, ее нормативное значение следует вычислять по формуле</w:t>
      </w:r>
    </w:p>
    <w:p w:rsidR="00E35632" w:rsidRDefault="00E35632">
      <w:pPr>
        <w:pStyle w:val="ConsPlusNormal"/>
        <w:jc w:val="both"/>
      </w:pPr>
    </w:p>
    <w:p w:rsidR="00E35632" w:rsidRDefault="00E35632">
      <w:pPr>
        <w:pStyle w:val="ConsPlusNormal"/>
        <w:jc w:val="center"/>
      </w:pPr>
      <w:r>
        <w:rPr>
          <w:noProof/>
          <w:position w:val="-12"/>
        </w:rPr>
        <w:drawing>
          <wp:inline distT="0" distB="0" distL="0" distR="0">
            <wp:extent cx="963295" cy="302260"/>
            <wp:effectExtent l="0" t="0" r="0" b="0"/>
            <wp:docPr id="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963295" cy="302260"/>
                    </a:xfrm>
                    <a:prstGeom prst="rect">
                      <a:avLst/>
                    </a:prstGeom>
                    <a:noFill/>
                    <a:ln>
                      <a:noFill/>
                    </a:ln>
                  </pic:spPr>
                </pic:pic>
              </a:graphicData>
            </a:graphic>
          </wp:inline>
        </w:drawing>
      </w:r>
      <w:r>
        <w:t xml:space="preserve"> (5.3)</w:t>
      </w:r>
    </w:p>
    <w:p w:rsidR="00E35632" w:rsidRDefault="00E35632">
      <w:pPr>
        <w:pStyle w:val="ConsPlusNormal"/>
        <w:jc w:val="both"/>
      </w:pPr>
    </w:p>
    <w:p w:rsidR="00E35632" w:rsidRDefault="00E35632">
      <w:pPr>
        <w:pStyle w:val="ConsPlusNormal"/>
        <w:ind w:firstLine="540"/>
        <w:jc w:val="both"/>
      </w:pPr>
      <w:r>
        <w:t xml:space="preserve">где </w:t>
      </w:r>
      <w:r>
        <w:rPr>
          <w:i/>
        </w:rPr>
        <w:t>d</w:t>
      </w:r>
      <w:r>
        <w:rPr>
          <w:vertAlign w:val="subscript"/>
        </w:rPr>
        <w:t>0</w:t>
      </w:r>
      <w:r>
        <w:t xml:space="preserve"> - величина, принимаемая равной для суглинков и глин 0,23 м; супесей, песков мелких и пылеватых - 0,28 м; песков гравелистых, крупных и средней крупности - 0,30 м; крупнообломочных грунтов - 0,34 м;</w:t>
      </w:r>
    </w:p>
    <w:p w:rsidR="00E35632" w:rsidRDefault="00E35632">
      <w:pPr>
        <w:pStyle w:val="ConsPlusNormal"/>
        <w:spacing w:before="220"/>
        <w:ind w:firstLine="540"/>
        <w:jc w:val="both"/>
      </w:pPr>
      <w:r>
        <w:rPr>
          <w:i/>
        </w:rPr>
        <w:t>M</w:t>
      </w:r>
      <w:r>
        <w:rPr>
          <w:i/>
          <w:vertAlign w:val="subscript"/>
        </w:rPr>
        <w:t>t</w:t>
      </w:r>
      <w:r>
        <w:t xml:space="preserve"> - безразмерный коэффициент, численно равный сумме абсолютных значений среднемесячных отрицательных температур за год в данном районе, принимаемых по </w:t>
      </w:r>
      <w:hyperlink r:id="rId307">
        <w:r>
          <w:rPr>
            <w:color w:val="0000FF"/>
          </w:rPr>
          <w:t>СП 131.13330</w:t>
        </w:r>
      </w:hyperlink>
      <w:r>
        <w:t>, а при отсутствии в нем данных для конкретного пункта или района строительства - по результатам наблюдений гидрометеорологической станции, находящейся в аналогичных условиях с районом строительства.</w:t>
      </w:r>
    </w:p>
    <w:p w:rsidR="00E35632" w:rsidRDefault="00E35632">
      <w:pPr>
        <w:pStyle w:val="ConsPlusNormal"/>
        <w:spacing w:before="220"/>
        <w:ind w:firstLine="540"/>
        <w:jc w:val="both"/>
      </w:pPr>
      <w:r>
        <w:t xml:space="preserve">Значение </w:t>
      </w:r>
      <w:r>
        <w:rPr>
          <w:i/>
        </w:rPr>
        <w:t>d</w:t>
      </w:r>
      <w:r>
        <w:rPr>
          <w:vertAlign w:val="subscript"/>
        </w:rPr>
        <w:t>0</w:t>
      </w:r>
      <w:r>
        <w:t xml:space="preserve"> для грунтов неоднородного сложения определяют как средневзвешенное в пределах глубины промерзания.</w:t>
      </w:r>
    </w:p>
    <w:p w:rsidR="00E35632" w:rsidRDefault="00E35632">
      <w:pPr>
        <w:pStyle w:val="ConsPlusNormal"/>
        <w:spacing w:before="220"/>
        <w:ind w:firstLine="540"/>
        <w:jc w:val="both"/>
      </w:pPr>
      <w:r>
        <w:t xml:space="preserve">Нормативную глубину промерзания грунта в районах, где </w:t>
      </w:r>
      <w:r>
        <w:rPr>
          <w:i/>
        </w:rPr>
        <w:t>d</w:t>
      </w:r>
      <w:r>
        <w:rPr>
          <w:i/>
          <w:vertAlign w:val="subscript"/>
        </w:rPr>
        <w:t>fn</w:t>
      </w:r>
      <w:r>
        <w:t xml:space="preserve"> &gt; 2,5 м, а также в горных районах (где резко изменяются рельеф местности, инженерно-геологические и климатические условия), следует определять теплотехническим расчетом в соответствии с требованиями </w:t>
      </w:r>
      <w:hyperlink r:id="rId308">
        <w:r>
          <w:rPr>
            <w:color w:val="0000FF"/>
          </w:rPr>
          <w:t>СП 25.13330</w:t>
        </w:r>
      </w:hyperlink>
      <w:r>
        <w:t>.</w:t>
      </w:r>
    </w:p>
    <w:p w:rsidR="00E35632" w:rsidRDefault="00E35632">
      <w:pPr>
        <w:pStyle w:val="ConsPlusNormal"/>
        <w:spacing w:before="220"/>
        <w:ind w:firstLine="540"/>
        <w:jc w:val="both"/>
      </w:pPr>
      <w:r>
        <w:t xml:space="preserve">5.5.4 Расчетную глубину сезонного промерзания грунта </w:t>
      </w:r>
      <w:r>
        <w:rPr>
          <w:i/>
        </w:rPr>
        <w:t>d</w:t>
      </w:r>
      <w:r>
        <w:rPr>
          <w:i/>
          <w:vertAlign w:val="subscript"/>
        </w:rPr>
        <w:t>f</w:t>
      </w:r>
      <w:r>
        <w:t>, м, вычисляют по формуле</w:t>
      </w:r>
    </w:p>
    <w:p w:rsidR="00E35632" w:rsidRDefault="00E35632">
      <w:pPr>
        <w:pStyle w:val="ConsPlusNormal"/>
        <w:jc w:val="both"/>
      </w:pPr>
    </w:p>
    <w:p w:rsidR="00E35632" w:rsidRDefault="00E35632">
      <w:pPr>
        <w:pStyle w:val="ConsPlusNormal"/>
        <w:jc w:val="center"/>
      </w:pPr>
      <w:bookmarkStart w:id="39" w:name="P703"/>
      <w:bookmarkEnd w:id="39"/>
      <w:r>
        <w:rPr>
          <w:i/>
        </w:rPr>
        <w:t>d</w:t>
      </w:r>
      <w:r>
        <w:rPr>
          <w:i/>
          <w:vertAlign w:val="subscript"/>
        </w:rPr>
        <w:t>f</w:t>
      </w:r>
      <w:r>
        <w:t xml:space="preserve"> = </w:t>
      </w:r>
      <w:r>
        <w:rPr>
          <w:i/>
        </w:rPr>
        <w:t>k</w:t>
      </w:r>
      <w:r>
        <w:rPr>
          <w:i/>
          <w:vertAlign w:val="subscript"/>
        </w:rPr>
        <w:t>h</w:t>
      </w:r>
      <w:r>
        <w:rPr>
          <w:i/>
        </w:rPr>
        <w:t>d</w:t>
      </w:r>
      <w:r>
        <w:rPr>
          <w:i/>
          <w:vertAlign w:val="subscript"/>
        </w:rPr>
        <w:t>fn</w:t>
      </w:r>
      <w:r>
        <w:t>, (5.4)</w:t>
      </w:r>
    </w:p>
    <w:p w:rsidR="00E35632" w:rsidRDefault="00E35632">
      <w:pPr>
        <w:pStyle w:val="ConsPlusNormal"/>
        <w:jc w:val="both"/>
      </w:pPr>
    </w:p>
    <w:p w:rsidR="00E35632" w:rsidRDefault="00E35632">
      <w:pPr>
        <w:pStyle w:val="ConsPlusNormal"/>
        <w:ind w:firstLine="540"/>
        <w:jc w:val="both"/>
      </w:pPr>
      <w:r>
        <w:t xml:space="preserve">где </w:t>
      </w:r>
      <w:r>
        <w:rPr>
          <w:i/>
        </w:rPr>
        <w:t>k</w:t>
      </w:r>
      <w:r>
        <w:rPr>
          <w:i/>
          <w:vertAlign w:val="subscript"/>
        </w:rPr>
        <w:t>h</w:t>
      </w:r>
      <w:r>
        <w:t xml:space="preserve"> - коэффициент, учитывающий влияние теплового режима сооружения, принимаемый для наружных фундаментов отапливаемых сооружений - по </w:t>
      </w:r>
      <w:hyperlink w:anchor="P721">
        <w:r>
          <w:rPr>
            <w:color w:val="0000FF"/>
          </w:rPr>
          <w:t>таблице 5.2</w:t>
        </w:r>
      </w:hyperlink>
      <w:r>
        <w:t xml:space="preserve">; для наружных и внутренних фундаментов неотапливаемых сооружений </w:t>
      </w:r>
      <w:r>
        <w:rPr>
          <w:i/>
        </w:rPr>
        <w:t>k</w:t>
      </w:r>
      <w:r>
        <w:rPr>
          <w:i/>
          <w:vertAlign w:val="subscript"/>
        </w:rPr>
        <w:t>h</w:t>
      </w:r>
      <w:r>
        <w:t xml:space="preserve"> = 1,1, кроме районов с отрицательной среднегодовой температурой;</w:t>
      </w:r>
    </w:p>
    <w:p w:rsidR="00E35632" w:rsidRDefault="00E35632">
      <w:pPr>
        <w:pStyle w:val="ConsPlusNormal"/>
        <w:spacing w:before="220"/>
        <w:ind w:firstLine="540"/>
        <w:jc w:val="both"/>
      </w:pPr>
      <w:r>
        <w:rPr>
          <w:i/>
        </w:rPr>
        <w:t>d</w:t>
      </w:r>
      <w:r>
        <w:rPr>
          <w:i/>
          <w:vertAlign w:val="subscript"/>
        </w:rPr>
        <w:t>fn</w:t>
      </w:r>
      <w:r>
        <w:t xml:space="preserve"> - нормативная глубина промерзания, м, определяемая по </w:t>
      </w:r>
      <w:hyperlink w:anchor="P691">
        <w:r>
          <w:rPr>
            <w:color w:val="0000FF"/>
          </w:rPr>
          <w:t>5.5.2</w:t>
        </w:r>
      </w:hyperlink>
      <w:r>
        <w:t xml:space="preserve"> и </w:t>
      </w:r>
      <w:hyperlink w:anchor="P693">
        <w:r>
          <w:rPr>
            <w:color w:val="0000FF"/>
          </w:rPr>
          <w:t>5.5.3</w:t>
        </w:r>
      </w:hyperlink>
      <w:r>
        <w:t>.</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 xml:space="preserve">1 В районах с отрицательной среднегодовой температурой расчетную глубину промерзания грунта для неотапливаемых сооружений следует определять теплотехническим расчетом в соответствии с требованиями </w:t>
      </w:r>
      <w:hyperlink r:id="rId309">
        <w:r>
          <w:rPr>
            <w:color w:val="0000FF"/>
          </w:rPr>
          <w:t>СП 25.13330</w:t>
        </w:r>
      </w:hyperlink>
      <w:r>
        <w:t>. Расчетную глубину промерзания следует определять теплотехническим расчетом и в случае применения постоянной теплозащиты основания, а также, если тепловой режим проектируемого сооружения может существенно влиять на температуру грунтов (холодильники, котельные и т.п.).</w:t>
      </w:r>
    </w:p>
    <w:p w:rsidR="00E35632" w:rsidRDefault="00E35632">
      <w:pPr>
        <w:pStyle w:val="ConsPlusNormal"/>
        <w:spacing w:before="220"/>
        <w:ind w:firstLine="540"/>
        <w:jc w:val="both"/>
      </w:pPr>
      <w:r>
        <w:t xml:space="preserve">2 Для зданий с нерегулярным отоплением при определении </w:t>
      </w:r>
      <w:r>
        <w:rPr>
          <w:i/>
        </w:rPr>
        <w:t>k</w:t>
      </w:r>
      <w:r>
        <w:rPr>
          <w:i/>
          <w:vertAlign w:val="subscript"/>
        </w:rPr>
        <w:t>h</w:t>
      </w:r>
      <w:r>
        <w:t xml:space="preserve"> за расчетную температуру воздуха принимают ее среднесуточное значение с учетом длительности отапливаемого и неотапливаемого периодов в течение суток.</w:t>
      </w:r>
    </w:p>
    <w:p w:rsidR="00E35632" w:rsidRDefault="00E35632">
      <w:pPr>
        <w:pStyle w:val="ConsPlusNormal"/>
        <w:jc w:val="both"/>
      </w:pPr>
    </w:p>
    <w:p w:rsidR="00E35632" w:rsidRDefault="00E35632">
      <w:pPr>
        <w:pStyle w:val="ConsPlusNormal"/>
        <w:ind w:firstLine="540"/>
        <w:jc w:val="both"/>
      </w:pPr>
      <w:r>
        <w:t>5.5.5 Глубину заложения фундаментов отапливаемых сооружений по условиям недопущения морозного пучения грунтов основания следует назначать:</w:t>
      </w:r>
    </w:p>
    <w:p w:rsidR="00E35632" w:rsidRDefault="00E35632">
      <w:pPr>
        <w:pStyle w:val="ConsPlusNormal"/>
        <w:spacing w:before="220"/>
        <w:ind w:firstLine="540"/>
        <w:jc w:val="both"/>
      </w:pPr>
      <w:r>
        <w:t xml:space="preserve">- для наружных фундаментов (от уровня планировки) по </w:t>
      </w:r>
      <w:hyperlink w:anchor="P765">
        <w:r>
          <w:rPr>
            <w:color w:val="0000FF"/>
          </w:rPr>
          <w:t>таблице 5.3</w:t>
        </w:r>
      </w:hyperlink>
      <w:r>
        <w:t>;</w:t>
      </w:r>
    </w:p>
    <w:p w:rsidR="00E35632" w:rsidRDefault="00E35632">
      <w:pPr>
        <w:pStyle w:val="ConsPlusNormal"/>
        <w:spacing w:before="220"/>
        <w:ind w:firstLine="540"/>
        <w:jc w:val="both"/>
      </w:pPr>
      <w:r>
        <w:t>- для внутренних фундаментов - независимо от расчетной глубины промерзания грунтов.</w:t>
      </w:r>
    </w:p>
    <w:p w:rsidR="00E35632" w:rsidRDefault="00E35632">
      <w:pPr>
        <w:pStyle w:val="ConsPlusNormal"/>
        <w:spacing w:before="220"/>
        <w:ind w:firstLine="540"/>
        <w:jc w:val="both"/>
      </w:pPr>
      <w:r>
        <w:t>Глубину заложения наружных фундаментов допускается назначать независимо от расчетной глубины промерзания, если:</w:t>
      </w:r>
    </w:p>
    <w:p w:rsidR="00E35632" w:rsidRDefault="00E35632">
      <w:pPr>
        <w:pStyle w:val="ConsPlusNormal"/>
        <w:spacing w:before="220"/>
        <w:ind w:firstLine="540"/>
        <w:jc w:val="both"/>
      </w:pPr>
      <w:r>
        <w:t>- специальными исследованиями на данной площадке установлено, что грунты не имеют пучинистых свойств;</w:t>
      </w:r>
    </w:p>
    <w:p w:rsidR="00E35632" w:rsidRDefault="00E35632">
      <w:pPr>
        <w:pStyle w:val="ConsPlusNormal"/>
        <w:spacing w:before="220"/>
        <w:ind w:firstLine="540"/>
        <w:jc w:val="both"/>
      </w:pPr>
      <w:r>
        <w:t xml:space="preserve">- специальными исследованиями и расчетами установлено, что деформации грунтов основания при их промерзании и оттаивании не нарушают эксплуатационную надежность сооружения и не превышают предельно допустимых деформаций (см. </w:t>
      </w:r>
      <w:hyperlink w:anchor="P805">
        <w:r>
          <w:rPr>
            <w:color w:val="0000FF"/>
          </w:rPr>
          <w:t>5.6</w:t>
        </w:r>
      </w:hyperlink>
      <w:r>
        <w:t>);</w:t>
      </w:r>
    </w:p>
    <w:p w:rsidR="00E35632" w:rsidRDefault="00E35632">
      <w:pPr>
        <w:pStyle w:val="ConsPlusNormal"/>
        <w:spacing w:before="220"/>
        <w:ind w:firstLine="540"/>
        <w:jc w:val="both"/>
      </w:pPr>
      <w:r>
        <w:t>- предусмотрены специальные теплотехнические мероприятия, исключающие промерзание грунтов;</w:t>
      </w:r>
    </w:p>
    <w:p w:rsidR="00E35632" w:rsidRDefault="00E35632">
      <w:pPr>
        <w:pStyle w:val="ConsPlusNormal"/>
        <w:spacing w:before="220"/>
        <w:ind w:firstLine="540"/>
        <w:jc w:val="both"/>
      </w:pPr>
      <w:r>
        <w:t>- выполнена замена грунта непучинистым материалом на глубину промерзания.</w:t>
      </w:r>
    </w:p>
    <w:p w:rsidR="00E35632" w:rsidRDefault="00E35632">
      <w:pPr>
        <w:pStyle w:val="ConsPlusNormal"/>
        <w:spacing w:before="220"/>
        <w:ind w:firstLine="540"/>
        <w:jc w:val="both"/>
      </w:pPr>
      <w:r>
        <w:t xml:space="preserve">5.5.6 Глубину заложения наружных и внутренних фундаментов отапливаемых сооружений с холодными подвалами и техническими подпольями (имеющими отрицательную температуру в зимний период) следует принимать по </w:t>
      </w:r>
      <w:hyperlink w:anchor="P765">
        <w:r>
          <w:rPr>
            <w:color w:val="0000FF"/>
          </w:rPr>
          <w:t>таблице 5.3</w:t>
        </w:r>
      </w:hyperlink>
      <w:r>
        <w:t>, считая от пола подвала или технического подполья.</w:t>
      </w:r>
    </w:p>
    <w:p w:rsidR="00E35632" w:rsidRDefault="00E35632">
      <w:pPr>
        <w:pStyle w:val="ConsPlusNormal"/>
        <w:jc w:val="both"/>
      </w:pPr>
    </w:p>
    <w:p w:rsidR="00E35632" w:rsidRDefault="00E35632">
      <w:pPr>
        <w:pStyle w:val="ConsPlusNormal"/>
        <w:jc w:val="right"/>
      </w:pPr>
      <w:bookmarkStart w:id="40" w:name="P721"/>
      <w:bookmarkEnd w:id="40"/>
      <w:r>
        <w:t>Таблица 5.2</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740"/>
        <w:gridCol w:w="900"/>
        <w:gridCol w:w="840"/>
        <w:gridCol w:w="900"/>
        <w:gridCol w:w="831"/>
        <w:gridCol w:w="840"/>
      </w:tblGrid>
      <w:tr w:rsidR="00E35632">
        <w:tc>
          <w:tcPr>
            <w:tcW w:w="4740" w:type="dxa"/>
            <w:vMerge w:val="restart"/>
            <w:tcBorders>
              <w:top w:val="single" w:sz="4" w:space="0" w:color="auto"/>
              <w:bottom w:val="single" w:sz="4" w:space="0" w:color="auto"/>
            </w:tcBorders>
            <w:vAlign w:val="center"/>
          </w:tcPr>
          <w:p w:rsidR="00E35632" w:rsidRDefault="00E35632">
            <w:pPr>
              <w:pStyle w:val="ConsPlusNormal"/>
              <w:jc w:val="center"/>
            </w:pPr>
            <w:r>
              <w:t>Особенности сооружения</w:t>
            </w:r>
          </w:p>
        </w:tc>
        <w:tc>
          <w:tcPr>
            <w:tcW w:w="4311" w:type="dxa"/>
            <w:gridSpan w:val="5"/>
            <w:tcBorders>
              <w:top w:val="single" w:sz="4" w:space="0" w:color="auto"/>
              <w:bottom w:val="single" w:sz="4" w:space="0" w:color="auto"/>
            </w:tcBorders>
            <w:vAlign w:val="center"/>
          </w:tcPr>
          <w:p w:rsidR="00E35632" w:rsidRDefault="00E35632">
            <w:pPr>
              <w:pStyle w:val="ConsPlusNormal"/>
              <w:jc w:val="center"/>
            </w:pPr>
            <w:r>
              <w:t xml:space="preserve">Коэффициент </w:t>
            </w:r>
            <w:r>
              <w:rPr>
                <w:i/>
              </w:rPr>
              <w:t>k</w:t>
            </w:r>
            <w:r>
              <w:rPr>
                <w:i/>
                <w:vertAlign w:val="subscript"/>
              </w:rPr>
              <w:t>h</w:t>
            </w:r>
            <w:r>
              <w:t xml:space="preserve"> при расчетной среднесуточной температуре воздуха в помещении, примыкающем к наружным фундаментам, °C</w:t>
            </w:r>
          </w:p>
        </w:tc>
      </w:tr>
      <w:tr w:rsidR="00E35632">
        <w:tc>
          <w:tcPr>
            <w:tcW w:w="4740" w:type="dxa"/>
            <w:vMerge/>
            <w:tcBorders>
              <w:top w:val="single" w:sz="4" w:space="0" w:color="auto"/>
              <w:bottom w:val="single" w:sz="4" w:space="0" w:color="auto"/>
            </w:tcBorders>
          </w:tcPr>
          <w:p w:rsidR="00E35632" w:rsidRDefault="00E35632">
            <w:pPr>
              <w:pStyle w:val="ConsPlusNormal"/>
            </w:pPr>
          </w:p>
        </w:tc>
        <w:tc>
          <w:tcPr>
            <w:tcW w:w="900" w:type="dxa"/>
            <w:tcBorders>
              <w:top w:val="single" w:sz="4" w:space="0" w:color="auto"/>
              <w:bottom w:val="single" w:sz="4" w:space="0" w:color="auto"/>
            </w:tcBorders>
            <w:vAlign w:val="center"/>
          </w:tcPr>
          <w:p w:rsidR="00E35632" w:rsidRDefault="00E35632">
            <w:pPr>
              <w:pStyle w:val="ConsPlusNormal"/>
              <w:jc w:val="center"/>
            </w:pPr>
            <w:r>
              <w:t>0</w:t>
            </w:r>
          </w:p>
        </w:tc>
        <w:tc>
          <w:tcPr>
            <w:tcW w:w="840" w:type="dxa"/>
            <w:tcBorders>
              <w:top w:val="single" w:sz="4" w:space="0" w:color="auto"/>
              <w:bottom w:val="single" w:sz="4" w:space="0" w:color="auto"/>
            </w:tcBorders>
            <w:vAlign w:val="center"/>
          </w:tcPr>
          <w:p w:rsidR="00E35632" w:rsidRDefault="00E35632">
            <w:pPr>
              <w:pStyle w:val="ConsPlusNormal"/>
              <w:jc w:val="center"/>
            </w:pPr>
            <w:r>
              <w:t>5</w:t>
            </w:r>
          </w:p>
        </w:tc>
        <w:tc>
          <w:tcPr>
            <w:tcW w:w="900" w:type="dxa"/>
            <w:tcBorders>
              <w:top w:val="single" w:sz="4" w:space="0" w:color="auto"/>
              <w:bottom w:val="single" w:sz="4" w:space="0" w:color="auto"/>
            </w:tcBorders>
            <w:vAlign w:val="center"/>
          </w:tcPr>
          <w:p w:rsidR="00E35632" w:rsidRDefault="00E35632">
            <w:pPr>
              <w:pStyle w:val="ConsPlusNormal"/>
              <w:jc w:val="center"/>
            </w:pPr>
            <w:r>
              <w:t>10</w:t>
            </w:r>
          </w:p>
        </w:tc>
        <w:tc>
          <w:tcPr>
            <w:tcW w:w="831" w:type="dxa"/>
            <w:tcBorders>
              <w:top w:val="single" w:sz="4" w:space="0" w:color="auto"/>
              <w:bottom w:val="single" w:sz="4" w:space="0" w:color="auto"/>
            </w:tcBorders>
            <w:vAlign w:val="center"/>
          </w:tcPr>
          <w:p w:rsidR="00E35632" w:rsidRDefault="00E35632">
            <w:pPr>
              <w:pStyle w:val="ConsPlusNormal"/>
              <w:jc w:val="center"/>
            </w:pPr>
            <w:r>
              <w:t>15</w:t>
            </w:r>
          </w:p>
        </w:tc>
        <w:tc>
          <w:tcPr>
            <w:tcW w:w="840" w:type="dxa"/>
            <w:tcBorders>
              <w:top w:val="single" w:sz="4" w:space="0" w:color="auto"/>
              <w:bottom w:val="single" w:sz="4" w:space="0" w:color="auto"/>
            </w:tcBorders>
            <w:vAlign w:val="center"/>
          </w:tcPr>
          <w:p w:rsidR="00E35632" w:rsidRDefault="00E35632">
            <w:pPr>
              <w:pStyle w:val="ConsPlusNormal"/>
              <w:jc w:val="center"/>
            </w:pPr>
            <w:r>
              <w:t>20 и более</w:t>
            </w:r>
          </w:p>
        </w:tc>
      </w:tr>
      <w:tr w:rsidR="00E35632">
        <w:tblPrEx>
          <w:tblBorders>
            <w:insideH w:val="none" w:sz="0" w:space="0" w:color="auto"/>
          </w:tblBorders>
        </w:tblPrEx>
        <w:tc>
          <w:tcPr>
            <w:tcW w:w="4740" w:type="dxa"/>
            <w:tcBorders>
              <w:top w:val="single" w:sz="4" w:space="0" w:color="auto"/>
              <w:bottom w:val="nil"/>
            </w:tcBorders>
          </w:tcPr>
          <w:p w:rsidR="00E35632" w:rsidRDefault="00E35632">
            <w:pPr>
              <w:pStyle w:val="ConsPlusNormal"/>
            </w:pPr>
            <w:r>
              <w:t>Без подвала с полами, устраиваемыми:</w:t>
            </w:r>
          </w:p>
        </w:tc>
        <w:tc>
          <w:tcPr>
            <w:tcW w:w="900" w:type="dxa"/>
            <w:tcBorders>
              <w:top w:val="single" w:sz="4" w:space="0" w:color="auto"/>
              <w:bottom w:val="nil"/>
            </w:tcBorders>
          </w:tcPr>
          <w:p w:rsidR="00E35632" w:rsidRDefault="00E35632">
            <w:pPr>
              <w:pStyle w:val="ConsPlusNormal"/>
            </w:pPr>
          </w:p>
        </w:tc>
        <w:tc>
          <w:tcPr>
            <w:tcW w:w="840" w:type="dxa"/>
            <w:tcBorders>
              <w:top w:val="single" w:sz="4" w:space="0" w:color="auto"/>
              <w:bottom w:val="nil"/>
            </w:tcBorders>
          </w:tcPr>
          <w:p w:rsidR="00E35632" w:rsidRDefault="00E35632">
            <w:pPr>
              <w:pStyle w:val="ConsPlusNormal"/>
            </w:pPr>
          </w:p>
        </w:tc>
        <w:tc>
          <w:tcPr>
            <w:tcW w:w="900" w:type="dxa"/>
            <w:tcBorders>
              <w:top w:val="single" w:sz="4" w:space="0" w:color="auto"/>
              <w:bottom w:val="nil"/>
            </w:tcBorders>
          </w:tcPr>
          <w:p w:rsidR="00E35632" w:rsidRDefault="00E35632">
            <w:pPr>
              <w:pStyle w:val="ConsPlusNormal"/>
            </w:pPr>
          </w:p>
        </w:tc>
        <w:tc>
          <w:tcPr>
            <w:tcW w:w="831" w:type="dxa"/>
            <w:tcBorders>
              <w:top w:val="single" w:sz="4" w:space="0" w:color="auto"/>
              <w:bottom w:val="nil"/>
            </w:tcBorders>
          </w:tcPr>
          <w:p w:rsidR="00E35632" w:rsidRDefault="00E35632">
            <w:pPr>
              <w:pStyle w:val="ConsPlusNormal"/>
            </w:pPr>
          </w:p>
        </w:tc>
        <w:tc>
          <w:tcPr>
            <w:tcW w:w="840" w:type="dxa"/>
            <w:tcBorders>
              <w:top w:val="single" w:sz="4" w:space="0" w:color="auto"/>
              <w:bottom w:val="nil"/>
            </w:tcBorders>
          </w:tcPr>
          <w:p w:rsidR="00E35632" w:rsidRDefault="00E35632">
            <w:pPr>
              <w:pStyle w:val="ConsPlusNormal"/>
            </w:pPr>
          </w:p>
        </w:tc>
      </w:tr>
      <w:tr w:rsidR="00E35632">
        <w:tblPrEx>
          <w:tblBorders>
            <w:insideH w:val="none" w:sz="0" w:space="0" w:color="auto"/>
          </w:tblBorders>
        </w:tblPrEx>
        <w:tc>
          <w:tcPr>
            <w:tcW w:w="4740" w:type="dxa"/>
            <w:tcBorders>
              <w:top w:val="nil"/>
              <w:bottom w:val="nil"/>
            </w:tcBorders>
          </w:tcPr>
          <w:p w:rsidR="00E35632" w:rsidRDefault="00E35632">
            <w:pPr>
              <w:pStyle w:val="ConsPlusNormal"/>
              <w:ind w:firstLine="283"/>
            </w:pPr>
            <w:r>
              <w:t>по грунту</w:t>
            </w:r>
          </w:p>
        </w:tc>
        <w:tc>
          <w:tcPr>
            <w:tcW w:w="900" w:type="dxa"/>
            <w:tcBorders>
              <w:top w:val="nil"/>
              <w:bottom w:val="nil"/>
            </w:tcBorders>
          </w:tcPr>
          <w:p w:rsidR="00E35632" w:rsidRDefault="00E35632">
            <w:pPr>
              <w:pStyle w:val="ConsPlusNormal"/>
              <w:jc w:val="center"/>
            </w:pPr>
            <w:r>
              <w:t>0,9</w:t>
            </w:r>
          </w:p>
        </w:tc>
        <w:tc>
          <w:tcPr>
            <w:tcW w:w="840" w:type="dxa"/>
            <w:tcBorders>
              <w:top w:val="nil"/>
              <w:bottom w:val="nil"/>
            </w:tcBorders>
          </w:tcPr>
          <w:p w:rsidR="00E35632" w:rsidRDefault="00E35632">
            <w:pPr>
              <w:pStyle w:val="ConsPlusNormal"/>
              <w:jc w:val="center"/>
            </w:pPr>
            <w:r>
              <w:t>0,8</w:t>
            </w:r>
          </w:p>
        </w:tc>
        <w:tc>
          <w:tcPr>
            <w:tcW w:w="900" w:type="dxa"/>
            <w:tcBorders>
              <w:top w:val="nil"/>
              <w:bottom w:val="nil"/>
            </w:tcBorders>
          </w:tcPr>
          <w:p w:rsidR="00E35632" w:rsidRDefault="00E35632">
            <w:pPr>
              <w:pStyle w:val="ConsPlusNormal"/>
              <w:jc w:val="center"/>
            </w:pPr>
            <w:r>
              <w:t>0,7</w:t>
            </w:r>
          </w:p>
        </w:tc>
        <w:tc>
          <w:tcPr>
            <w:tcW w:w="831" w:type="dxa"/>
            <w:tcBorders>
              <w:top w:val="nil"/>
              <w:bottom w:val="nil"/>
            </w:tcBorders>
          </w:tcPr>
          <w:p w:rsidR="00E35632" w:rsidRDefault="00E35632">
            <w:pPr>
              <w:pStyle w:val="ConsPlusNormal"/>
              <w:jc w:val="center"/>
            </w:pPr>
            <w:r>
              <w:t>0,6</w:t>
            </w:r>
          </w:p>
        </w:tc>
        <w:tc>
          <w:tcPr>
            <w:tcW w:w="840" w:type="dxa"/>
            <w:tcBorders>
              <w:top w:val="nil"/>
              <w:bottom w:val="nil"/>
            </w:tcBorders>
          </w:tcPr>
          <w:p w:rsidR="00E35632" w:rsidRDefault="00E35632">
            <w:pPr>
              <w:pStyle w:val="ConsPlusNormal"/>
              <w:jc w:val="center"/>
            </w:pPr>
            <w:r>
              <w:t>0,5</w:t>
            </w:r>
          </w:p>
        </w:tc>
      </w:tr>
      <w:tr w:rsidR="00E35632">
        <w:tblPrEx>
          <w:tblBorders>
            <w:insideH w:val="none" w:sz="0" w:space="0" w:color="auto"/>
          </w:tblBorders>
        </w:tblPrEx>
        <w:tc>
          <w:tcPr>
            <w:tcW w:w="4740" w:type="dxa"/>
            <w:tcBorders>
              <w:top w:val="nil"/>
              <w:bottom w:val="nil"/>
            </w:tcBorders>
          </w:tcPr>
          <w:p w:rsidR="00E35632" w:rsidRDefault="00E35632">
            <w:pPr>
              <w:pStyle w:val="ConsPlusNormal"/>
              <w:ind w:firstLine="283"/>
            </w:pPr>
            <w:r>
              <w:t>на лагах по грунту</w:t>
            </w:r>
          </w:p>
        </w:tc>
        <w:tc>
          <w:tcPr>
            <w:tcW w:w="900" w:type="dxa"/>
            <w:tcBorders>
              <w:top w:val="nil"/>
              <w:bottom w:val="nil"/>
            </w:tcBorders>
          </w:tcPr>
          <w:p w:rsidR="00E35632" w:rsidRDefault="00E35632">
            <w:pPr>
              <w:pStyle w:val="ConsPlusNormal"/>
              <w:jc w:val="center"/>
            </w:pPr>
            <w:r>
              <w:t>1,0</w:t>
            </w:r>
          </w:p>
        </w:tc>
        <w:tc>
          <w:tcPr>
            <w:tcW w:w="840" w:type="dxa"/>
            <w:tcBorders>
              <w:top w:val="nil"/>
              <w:bottom w:val="nil"/>
            </w:tcBorders>
          </w:tcPr>
          <w:p w:rsidR="00E35632" w:rsidRDefault="00E35632">
            <w:pPr>
              <w:pStyle w:val="ConsPlusNormal"/>
              <w:jc w:val="center"/>
            </w:pPr>
            <w:r>
              <w:t>0,9</w:t>
            </w:r>
          </w:p>
        </w:tc>
        <w:tc>
          <w:tcPr>
            <w:tcW w:w="900" w:type="dxa"/>
            <w:tcBorders>
              <w:top w:val="nil"/>
              <w:bottom w:val="nil"/>
            </w:tcBorders>
          </w:tcPr>
          <w:p w:rsidR="00E35632" w:rsidRDefault="00E35632">
            <w:pPr>
              <w:pStyle w:val="ConsPlusNormal"/>
              <w:jc w:val="center"/>
            </w:pPr>
            <w:r>
              <w:t>0,8</w:t>
            </w:r>
          </w:p>
        </w:tc>
        <w:tc>
          <w:tcPr>
            <w:tcW w:w="831" w:type="dxa"/>
            <w:tcBorders>
              <w:top w:val="nil"/>
              <w:bottom w:val="nil"/>
            </w:tcBorders>
          </w:tcPr>
          <w:p w:rsidR="00E35632" w:rsidRDefault="00E35632">
            <w:pPr>
              <w:pStyle w:val="ConsPlusNormal"/>
              <w:jc w:val="center"/>
            </w:pPr>
            <w:r>
              <w:t>0,7</w:t>
            </w:r>
          </w:p>
        </w:tc>
        <w:tc>
          <w:tcPr>
            <w:tcW w:w="840" w:type="dxa"/>
            <w:tcBorders>
              <w:top w:val="nil"/>
              <w:bottom w:val="nil"/>
            </w:tcBorders>
          </w:tcPr>
          <w:p w:rsidR="00E35632" w:rsidRDefault="00E35632">
            <w:pPr>
              <w:pStyle w:val="ConsPlusNormal"/>
              <w:jc w:val="center"/>
            </w:pPr>
            <w:r>
              <w:t>0,6</w:t>
            </w:r>
          </w:p>
        </w:tc>
      </w:tr>
      <w:tr w:rsidR="00E35632">
        <w:tblPrEx>
          <w:tblBorders>
            <w:insideH w:val="none" w:sz="0" w:space="0" w:color="auto"/>
          </w:tblBorders>
        </w:tblPrEx>
        <w:tc>
          <w:tcPr>
            <w:tcW w:w="4740" w:type="dxa"/>
            <w:tcBorders>
              <w:top w:val="nil"/>
              <w:bottom w:val="nil"/>
            </w:tcBorders>
          </w:tcPr>
          <w:p w:rsidR="00E35632" w:rsidRDefault="00E35632">
            <w:pPr>
              <w:pStyle w:val="ConsPlusNormal"/>
              <w:ind w:firstLine="283"/>
            </w:pPr>
            <w:r>
              <w:t>по утепленному цокольному перекрытию</w:t>
            </w:r>
          </w:p>
        </w:tc>
        <w:tc>
          <w:tcPr>
            <w:tcW w:w="900" w:type="dxa"/>
            <w:tcBorders>
              <w:top w:val="nil"/>
              <w:bottom w:val="nil"/>
            </w:tcBorders>
          </w:tcPr>
          <w:p w:rsidR="00E35632" w:rsidRDefault="00E35632">
            <w:pPr>
              <w:pStyle w:val="ConsPlusNormal"/>
              <w:jc w:val="center"/>
            </w:pPr>
            <w:r>
              <w:t>1,0</w:t>
            </w:r>
          </w:p>
        </w:tc>
        <w:tc>
          <w:tcPr>
            <w:tcW w:w="840" w:type="dxa"/>
            <w:tcBorders>
              <w:top w:val="nil"/>
              <w:bottom w:val="nil"/>
            </w:tcBorders>
          </w:tcPr>
          <w:p w:rsidR="00E35632" w:rsidRDefault="00E35632">
            <w:pPr>
              <w:pStyle w:val="ConsPlusNormal"/>
              <w:jc w:val="center"/>
            </w:pPr>
            <w:r>
              <w:t>1,0</w:t>
            </w:r>
          </w:p>
        </w:tc>
        <w:tc>
          <w:tcPr>
            <w:tcW w:w="900" w:type="dxa"/>
            <w:tcBorders>
              <w:top w:val="nil"/>
              <w:bottom w:val="nil"/>
            </w:tcBorders>
          </w:tcPr>
          <w:p w:rsidR="00E35632" w:rsidRDefault="00E35632">
            <w:pPr>
              <w:pStyle w:val="ConsPlusNormal"/>
              <w:jc w:val="center"/>
            </w:pPr>
            <w:r>
              <w:t>0,9</w:t>
            </w:r>
          </w:p>
        </w:tc>
        <w:tc>
          <w:tcPr>
            <w:tcW w:w="831" w:type="dxa"/>
            <w:tcBorders>
              <w:top w:val="nil"/>
              <w:bottom w:val="nil"/>
            </w:tcBorders>
          </w:tcPr>
          <w:p w:rsidR="00E35632" w:rsidRDefault="00E35632">
            <w:pPr>
              <w:pStyle w:val="ConsPlusNormal"/>
              <w:jc w:val="center"/>
            </w:pPr>
            <w:r>
              <w:t>0,8</w:t>
            </w:r>
          </w:p>
        </w:tc>
        <w:tc>
          <w:tcPr>
            <w:tcW w:w="840" w:type="dxa"/>
            <w:tcBorders>
              <w:top w:val="nil"/>
              <w:bottom w:val="nil"/>
            </w:tcBorders>
          </w:tcPr>
          <w:p w:rsidR="00E35632" w:rsidRDefault="00E35632">
            <w:pPr>
              <w:pStyle w:val="ConsPlusNormal"/>
              <w:jc w:val="center"/>
            </w:pPr>
            <w:r>
              <w:t>0,7</w:t>
            </w:r>
          </w:p>
        </w:tc>
      </w:tr>
      <w:tr w:rsidR="00E35632">
        <w:tblPrEx>
          <w:tblBorders>
            <w:insideH w:val="none" w:sz="0" w:space="0" w:color="auto"/>
          </w:tblBorders>
        </w:tblPrEx>
        <w:tc>
          <w:tcPr>
            <w:tcW w:w="4740" w:type="dxa"/>
            <w:tcBorders>
              <w:top w:val="nil"/>
              <w:bottom w:val="single" w:sz="4" w:space="0" w:color="auto"/>
            </w:tcBorders>
          </w:tcPr>
          <w:p w:rsidR="00E35632" w:rsidRDefault="00E35632">
            <w:pPr>
              <w:pStyle w:val="ConsPlusNormal"/>
            </w:pPr>
            <w:r>
              <w:t>С подвалом или техническим подпольем</w:t>
            </w:r>
          </w:p>
        </w:tc>
        <w:tc>
          <w:tcPr>
            <w:tcW w:w="900" w:type="dxa"/>
            <w:tcBorders>
              <w:top w:val="nil"/>
              <w:bottom w:val="single" w:sz="4" w:space="0" w:color="auto"/>
            </w:tcBorders>
          </w:tcPr>
          <w:p w:rsidR="00E35632" w:rsidRDefault="00E35632">
            <w:pPr>
              <w:pStyle w:val="ConsPlusNormal"/>
              <w:jc w:val="center"/>
            </w:pPr>
            <w:r>
              <w:t>0,8</w:t>
            </w:r>
          </w:p>
        </w:tc>
        <w:tc>
          <w:tcPr>
            <w:tcW w:w="840" w:type="dxa"/>
            <w:tcBorders>
              <w:top w:val="nil"/>
              <w:bottom w:val="single" w:sz="4" w:space="0" w:color="auto"/>
            </w:tcBorders>
          </w:tcPr>
          <w:p w:rsidR="00E35632" w:rsidRDefault="00E35632">
            <w:pPr>
              <w:pStyle w:val="ConsPlusNormal"/>
              <w:jc w:val="center"/>
            </w:pPr>
            <w:r>
              <w:t>0,7</w:t>
            </w:r>
          </w:p>
        </w:tc>
        <w:tc>
          <w:tcPr>
            <w:tcW w:w="900" w:type="dxa"/>
            <w:tcBorders>
              <w:top w:val="nil"/>
              <w:bottom w:val="single" w:sz="4" w:space="0" w:color="auto"/>
            </w:tcBorders>
          </w:tcPr>
          <w:p w:rsidR="00E35632" w:rsidRDefault="00E35632">
            <w:pPr>
              <w:pStyle w:val="ConsPlusNormal"/>
              <w:jc w:val="center"/>
            </w:pPr>
            <w:r>
              <w:t>0,6</w:t>
            </w:r>
          </w:p>
        </w:tc>
        <w:tc>
          <w:tcPr>
            <w:tcW w:w="831" w:type="dxa"/>
            <w:tcBorders>
              <w:top w:val="nil"/>
              <w:bottom w:val="single" w:sz="4" w:space="0" w:color="auto"/>
            </w:tcBorders>
          </w:tcPr>
          <w:p w:rsidR="00E35632" w:rsidRDefault="00E35632">
            <w:pPr>
              <w:pStyle w:val="ConsPlusNormal"/>
              <w:jc w:val="center"/>
            </w:pPr>
            <w:r>
              <w:t>0,5</w:t>
            </w:r>
          </w:p>
        </w:tc>
        <w:tc>
          <w:tcPr>
            <w:tcW w:w="840" w:type="dxa"/>
            <w:tcBorders>
              <w:top w:val="nil"/>
              <w:bottom w:val="single" w:sz="4" w:space="0" w:color="auto"/>
            </w:tcBorders>
          </w:tcPr>
          <w:p w:rsidR="00E35632" w:rsidRDefault="00E35632">
            <w:pPr>
              <w:pStyle w:val="ConsPlusNormal"/>
              <w:jc w:val="center"/>
            </w:pPr>
            <w:r>
              <w:t>0,4</w:t>
            </w:r>
          </w:p>
        </w:tc>
      </w:tr>
      <w:tr w:rsidR="00E35632">
        <w:tc>
          <w:tcPr>
            <w:tcW w:w="9051" w:type="dxa"/>
            <w:gridSpan w:val="6"/>
            <w:tcBorders>
              <w:top w:val="single" w:sz="4" w:space="0" w:color="auto"/>
              <w:bottom w:val="single" w:sz="4" w:space="0" w:color="auto"/>
            </w:tcBorders>
          </w:tcPr>
          <w:p w:rsidR="00E35632" w:rsidRDefault="00E35632">
            <w:pPr>
              <w:pStyle w:val="ConsPlusNormal"/>
              <w:ind w:firstLine="283"/>
              <w:jc w:val="both"/>
            </w:pPr>
            <w:r>
              <w:t>Примечания</w:t>
            </w:r>
          </w:p>
          <w:p w:rsidR="00E35632" w:rsidRDefault="00E35632">
            <w:pPr>
              <w:pStyle w:val="ConsPlusNormal"/>
              <w:ind w:firstLine="283"/>
              <w:jc w:val="both"/>
            </w:pPr>
            <w:r>
              <w:t xml:space="preserve">1 Приведенные в таблице значения коэффициента </w:t>
            </w:r>
            <w:r>
              <w:rPr>
                <w:i/>
              </w:rPr>
              <w:t>k</w:t>
            </w:r>
            <w:r>
              <w:rPr>
                <w:i/>
                <w:vertAlign w:val="subscript"/>
              </w:rPr>
              <w:t>h</w:t>
            </w:r>
            <w:r>
              <w:t xml:space="preserve"> относятся к фундаментам, у которых расстояние от внешней грани стены до края фундамента </w:t>
            </w:r>
            <w:r>
              <w:rPr>
                <w:i/>
              </w:rPr>
              <w:t>a</w:t>
            </w:r>
            <w:r>
              <w:rPr>
                <w:i/>
                <w:vertAlign w:val="subscript"/>
              </w:rPr>
              <w:t>f</w:t>
            </w:r>
            <w:r>
              <w:t xml:space="preserve"> &lt; 0,5 м, если </w:t>
            </w:r>
            <w:r>
              <w:rPr>
                <w:i/>
              </w:rPr>
              <w:t>a</w:t>
            </w:r>
            <w:r>
              <w:rPr>
                <w:i/>
                <w:vertAlign w:val="subscript"/>
              </w:rPr>
              <w:t>f</w:t>
            </w:r>
            <w:r>
              <w:t xml:space="preserve"> &gt;= 1,5 м, значения коэффициента </w:t>
            </w:r>
            <w:r>
              <w:rPr>
                <w:i/>
              </w:rPr>
              <w:t>k</w:t>
            </w:r>
            <w:r>
              <w:rPr>
                <w:i/>
                <w:vertAlign w:val="subscript"/>
              </w:rPr>
              <w:t>h</w:t>
            </w:r>
            <w:r>
              <w:t xml:space="preserve"> повышают на 0,1, но не более чем до значения </w:t>
            </w:r>
            <w:r>
              <w:rPr>
                <w:i/>
              </w:rPr>
              <w:t>k</w:t>
            </w:r>
            <w:r>
              <w:rPr>
                <w:i/>
                <w:vertAlign w:val="subscript"/>
              </w:rPr>
              <w:t>h</w:t>
            </w:r>
            <w:r>
              <w:t xml:space="preserve"> = 1; при промежуточном значении </w:t>
            </w:r>
            <w:r>
              <w:rPr>
                <w:i/>
              </w:rPr>
              <w:t>a</w:t>
            </w:r>
            <w:r>
              <w:rPr>
                <w:i/>
                <w:vertAlign w:val="subscript"/>
              </w:rPr>
              <w:t>f</w:t>
            </w:r>
            <w:r>
              <w:t xml:space="preserve"> значения коэффициента </w:t>
            </w:r>
            <w:r>
              <w:rPr>
                <w:i/>
              </w:rPr>
              <w:t>k</w:t>
            </w:r>
            <w:r>
              <w:rPr>
                <w:i/>
                <w:vertAlign w:val="subscript"/>
              </w:rPr>
              <w:t>h</w:t>
            </w:r>
            <w:r>
              <w:t xml:space="preserve"> определяют интерполяцией.</w:t>
            </w:r>
          </w:p>
          <w:p w:rsidR="00E35632" w:rsidRDefault="00E35632">
            <w:pPr>
              <w:pStyle w:val="ConsPlusNormal"/>
              <w:ind w:firstLine="283"/>
              <w:jc w:val="both"/>
            </w:pPr>
            <w:r>
              <w:t>2 К помещениям, примыкающим к наружным фундаментам, относятся подвалы и технические подполья, а при их отсутствии - помещения первого этажа.</w:t>
            </w:r>
          </w:p>
          <w:p w:rsidR="00E35632" w:rsidRDefault="00E35632">
            <w:pPr>
              <w:pStyle w:val="ConsPlusNormal"/>
              <w:ind w:firstLine="283"/>
              <w:jc w:val="both"/>
            </w:pPr>
            <w:r>
              <w:t xml:space="preserve">3 При промежуточных значениях температуры воздуха коэффициент </w:t>
            </w:r>
            <w:r>
              <w:rPr>
                <w:i/>
              </w:rPr>
              <w:t>k</w:t>
            </w:r>
            <w:r>
              <w:rPr>
                <w:i/>
                <w:vertAlign w:val="subscript"/>
              </w:rPr>
              <w:t>h</w:t>
            </w:r>
            <w:r>
              <w:t xml:space="preserve"> принимают с округлением до ближайшего меньшего значения, указанного в таблице.</w:t>
            </w:r>
          </w:p>
        </w:tc>
      </w:tr>
    </w:tbl>
    <w:p w:rsidR="00E35632" w:rsidRDefault="00E35632">
      <w:pPr>
        <w:pStyle w:val="ConsPlusNormal"/>
        <w:jc w:val="both"/>
      </w:pPr>
    </w:p>
    <w:p w:rsidR="00E35632" w:rsidRDefault="00E35632">
      <w:pPr>
        <w:pStyle w:val="ConsPlusNormal"/>
        <w:jc w:val="right"/>
      </w:pPr>
      <w:bookmarkStart w:id="41" w:name="P765"/>
      <w:bookmarkEnd w:id="41"/>
      <w:r>
        <w:t>Таблица 5.3</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358"/>
        <w:gridCol w:w="2302"/>
        <w:gridCol w:w="2400"/>
      </w:tblGrid>
      <w:tr w:rsidR="00E35632">
        <w:tc>
          <w:tcPr>
            <w:tcW w:w="4358" w:type="dxa"/>
            <w:vMerge w:val="restart"/>
            <w:tcBorders>
              <w:top w:val="single" w:sz="4" w:space="0" w:color="auto"/>
              <w:bottom w:val="single" w:sz="4" w:space="0" w:color="auto"/>
            </w:tcBorders>
            <w:vAlign w:val="center"/>
          </w:tcPr>
          <w:p w:rsidR="00E35632" w:rsidRDefault="00E35632">
            <w:pPr>
              <w:pStyle w:val="ConsPlusNormal"/>
              <w:jc w:val="center"/>
            </w:pPr>
            <w:r>
              <w:t>Грунты под подошвой фундамента</w:t>
            </w:r>
          </w:p>
        </w:tc>
        <w:tc>
          <w:tcPr>
            <w:tcW w:w="4702" w:type="dxa"/>
            <w:gridSpan w:val="2"/>
            <w:tcBorders>
              <w:top w:val="single" w:sz="4" w:space="0" w:color="auto"/>
              <w:bottom w:val="single" w:sz="4" w:space="0" w:color="auto"/>
            </w:tcBorders>
            <w:vAlign w:val="center"/>
          </w:tcPr>
          <w:p w:rsidR="00E35632" w:rsidRDefault="00E35632">
            <w:pPr>
              <w:pStyle w:val="ConsPlusNormal"/>
              <w:jc w:val="center"/>
            </w:pPr>
            <w:r>
              <w:t xml:space="preserve">Глубина заложения фундаментов в зависимости от глубины расположения уровня подземных вод </w:t>
            </w:r>
            <w:r>
              <w:rPr>
                <w:i/>
              </w:rPr>
              <w:t>d</w:t>
            </w:r>
            <w:r>
              <w:rPr>
                <w:i/>
                <w:vertAlign w:val="subscript"/>
              </w:rPr>
              <w:t>w</w:t>
            </w:r>
            <w:r>
              <w:t>, м, при</w:t>
            </w:r>
          </w:p>
        </w:tc>
      </w:tr>
      <w:tr w:rsidR="00E35632">
        <w:tc>
          <w:tcPr>
            <w:tcW w:w="4358" w:type="dxa"/>
            <w:vMerge/>
            <w:tcBorders>
              <w:top w:val="single" w:sz="4" w:space="0" w:color="auto"/>
              <w:bottom w:val="single" w:sz="4" w:space="0" w:color="auto"/>
            </w:tcBorders>
          </w:tcPr>
          <w:p w:rsidR="00E35632" w:rsidRDefault="00E35632">
            <w:pPr>
              <w:pStyle w:val="ConsPlusNormal"/>
            </w:pPr>
          </w:p>
        </w:tc>
        <w:tc>
          <w:tcPr>
            <w:tcW w:w="2302" w:type="dxa"/>
            <w:tcBorders>
              <w:top w:val="single" w:sz="4" w:space="0" w:color="auto"/>
              <w:bottom w:val="single" w:sz="4" w:space="0" w:color="auto"/>
            </w:tcBorders>
            <w:vAlign w:val="center"/>
          </w:tcPr>
          <w:p w:rsidR="00E35632" w:rsidRDefault="00E35632">
            <w:pPr>
              <w:pStyle w:val="ConsPlusNormal"/>
              <w:jc w:val="center"/>
            </w:pPr>
            <w:r>
              <w:rPr>
                <w:i/>
              </w:rPr>
              <w:t>d</w:t>
            </w:r>
            <w:r>
              <w:rPr>
                <w:i/>
                <w:vertAlign w:val="subscript"/>
              </w:rPr>
              <w:t>w</w:t>
            </w:r>
            <w:r>
              <w:t xml:space="preserve"> &lt;= </w:t>
            </w:r>
            <w:r>
              <w:rPr>
                <w:i/>
              </w:rPr>
              <w:t>d</w:t>
            </w:r>
            <w:r>
              <w:rPr>
                <w:i/>
                <w:vertAlign w:val="subscript"/>
              </w:rPr>
              <w:t>f</w:t>
            </w:r>
            <w:r>
              <w:t xml:space="preserve"> + 2</w:t>
            </w:r>
          </w:p>
        </w:tc>
        <w:tc>
          <w:tcPr>
            <w:tcW w:w="2400" w:type="dxa"/>
            <w:tcBorders>
              <w:top w:val="single" w:sz="4" w:space="0" w:color="auto"/>
              <w:bottom w:val="single" w:sz="4" w:space="0" w:color="auto"/>
            </w:tcBorders>
            <w:vAlign w:val="center"/>
          </w:tcPr>
          <w:p w:rsidR="00E35632" w:rsidRDefault="00E35632">
            <w:pPr>
              <w:pStyle w:val="ConsPlusNormal"/>
              <w:jc w:val="center"/>
            </w:pPr>
            <w:r>
              <w:rPr>
                <w:i/>
              </w:rPr>
              <w:t>d</w:t>
            </w:r>
            <w:r>
              <w:rPr>
                <w:i/>
                <w:vertAlign w:val="subscript"/>
              </w:rPr>
              <w:t>w</w:t>
            </w:r>
            <w:r>
              <w:t xml:space="preserve"> &gt; </w:t>
            </w:r>
            <w:r>
              <w:rPr>
                <w:i/>
              </w:rPr>
              <w:t>d</w:t>
            </w:r>
            <w:r>
              <w:rPr>
                <w:i/>
                <w:vertAlign w:val="subscript"/>
              </w:rPr>
              <w:t>f</w:t>
            </w:r>
            <w:r>
              <w:t xml:space="preserve"> + 2</w:t>
            </w:r>
          </w:p>
        </w:tc>
      </w:tr>
      <w:tr w:rsidR="00E35632">
        <w:tblPrEx>
          <w:tblBorders>
            <w:insideH w:val="none" w:sz="0" w:space="0" w:color="auto"/>
          </w:tblBorders>
        </w:tblPrEx>
        <w:tc>
          <w:tcPr>
            <w:tcW w:w="4358" w:type="dxa"/>
            <w:tcBorders>
              <w:top w:val="single" w:sz="4" w:space="0" w:color="auto"/>
              <w:bottom w:val="nil"/>
            </w:tcBorders>
          </w:tcPr>
          <w:p w:rsidR="00E35632" w:rsidRDefault="00E35632">
            <w:pPr>
              <w:pStyle w:val="ConsPlusNormal"/>
            </w:pPr>
            <w:r>
              <w:t>Скальные, крупнообломочные с песчаным заполнителем, пески гравелистые, крупные и средней крупности</w:t>
            </w:r>
          </w:p>
        </w:tc>
        <w:tc>
          <w:tcPr>
            <w:tcW w:w="2302" w:type="dxa"/>
            <w:tcBorders>
              <w:top w:val="single" w:sz="4" w:space="0" w:color="auto"/>
              <w:bottom w:val="nil"/>
            </w:tcBorders>
          </w:tcPr>
          <w:p w:rsidR="00E35632" w:rsidRDefault="00E35632">
            <w:pPr>
              <w:pStyle w:val="ConsPlusNormal"/>
              <w:jc w:val="center"/>
            </w:pPr>
            <w:r>
              <w:t xml:space="preserve">Не зависит от </w:t>
            </w:r>
            <w:r>
              <w:rPr>
                <w:i/>
              </w:rPr>
              <w:t>d</w:t>
            </w:r>
            <w:r>
              <w:rPr>
                <w:i/>
                <w:vertAlign w:val="subscript"/>
              </w:rPr>
              <w:t>f</w:t>
            </w:r>
          </w:p>
        </w:tc>
        <w:tc>
          <w:tcPr>
            <w:tcW w:w="2400" w:type="dxa"/>
            <w:tcBorders>
              <w:top w:val="single" w:sz="4" w:space="0" w:color="auto"/>
              <w:bottom w:val="nil"/>
            </w:tcBorders>
          </w:tcPr>
          <w:p w:rsidR="00E35632" w:rsidRDefault="00E35632">
            <w:pPr>
              <w:pStyle w:val="ConsPlusNormal"/>
              <w:jc w:val="center"/>
            </w:pPr>
            <w:r>
              <w:t xml:space="preserve">Не зависит от </w:t>
            </w:r>
            <w:r>
              <w:rPr>
                <w:i/>
              </w:rPr>
              <w:t>d</w:t>
            </w:r>
            <w:r>
              <w:rPr>
                <w:i/>
                <w:vertAlign w:val="subscript"/>
              </w:rPr>
              <w:t>f</w:t>
            </w:r>
          </w:p>
        </w:tc>
      </w:tr>
      <w:tr w:rsidR="00E35632">
        <w:tblPrEx>
          <w:tblBorders>
            <w:insideH w:val="none" w:sz="0" w:space="0" w:color="auto"/>
          </w:tblBorders>
        </w:tblPrEx>
        <w:tc>
          <w:tcPr>
            <w:tcW w:w="4358" w:type="dxa"/>
            <w:tcBorders>
              <w:top w:val="nil"/>
              <w:bottom w:val="nil"/>
            </w:tcBorders>
          </w:tcPr>
          <w:p w:rsidR="00E35632" w:rsidRDefault="00E35632">
            <w:pPr>
              <w:pStyle w:val="ConsPlusNormal"/>
            </w:pPr>
            <w:r>
              <w:t>Пески мелкие и пылеватые</w:t>
            </w:r>
          </w:p>
        </w:tc>
        <w:tc>
          <w:tcPr>
            <w:tcW w:w="2302" w:type="dxa"/>
            <w:tcBorders>
              <w:top w:val="nil"/>
              <w:bottom w:val="nil"/>
            </w:tcBorders>
          </w:tcPr>
          <w:p w:rsidR="00E35632" w:rsidRDefault="00E35632">
            <w:pPr>
              <w:pStyle w:val="ConsPlusNormal"/>
              <w:jc w:val="center"/>
            </w:pPr>
            <w:r>
              <w:t xml:space="preserve">Не менее </w:t>
            </w:r>
            <w:r>
              <w:rPr>
                <w:i/>
              </w:rPr>
              <w:t>d</w:t>
            </w:r>
            <w:r>
              <w:rPr>
                <w:i/>
                <w:vertAlign w:val="subscript"/>
              </w:rPr>
              <w:t>f</w:t>
            </w:r>
          </w:p>
        </w:tc>
        <w:tc>
          <w:tcPr>
            <w:tcW w:w="2400" w:type="dxa"/>
            <w:tcBorders>
              <w:top w:val="nil"/>
              <w:bottom w:val="nil"/>
            </w:tcBorders>
          </w:tcPr>
          <w:p w:rsidR="00E35632" w:rsidRDefault="00E35632">
            <w:pPr>
              <w:pStyle w:val="ConsPlusNormal"/>
              <w:jc w:val="center"/>
            </w:pPr>
            <w:r>
              <w:t>То же</w:t>
            </w:r>
          </w:p>
        </w:tc>
      </w:tr>
      <w:tr w:rsidR="00E35632">
        <w:tblPrEx>
          <w:tblBorders>
            <w:insideH w:val="none" w:sz="0" w:space="0" w:color="auto"/>
          </w:tblBorders>
        </w:tblPrEx>
        <w:tc>
          <w:tcPr>
            <w:tcW w:w="4358" w:type="dxa"/>
            <w:tcBorders>
              <w:top w:val="nil"/>
              <w:bottom w:val="nil"/>
            </w:tcBorders>
          </w:tcPr>
          <w:p w:rsidR="00E35632" w:rsidRDefault="00E35632">
            <w:pPr>
              <w:pStyle w:val="ConsPlusNormal"/>
            </w:pPr>
            <w:r>
              <w:t xml:space="preserve">Супеси с показателем текучести </w:t>
            </w:r>
            <w:r>
              <w:rPr>
                <w:i/>
              </w:rPr>
              <w:t>I</w:t>
            </w:r>
            <w:r>
              <w:rPr>
                <w:i/>
                <w:vertAlign w:val="subscript"/>
              </w:rPr>
              <w:t>L</w:t>
            </w:r>
            <w:r>
              <w:t xml:space="preserve"> &lt; 0</w:t>
            </w:r>
          </w:p>
        </w:tc>
        <w:tc>
          <w:tcPr>
            <w:tcW w:w="2302" w:type="dxa"/>
            <w:tcBorders>
              <w:top w:val="nil"/>
              <w:bottom w:val="nil"/>
            </w:tcBorders>
          </w:tcPr>
          <w:p w:rsidR="00E35632" w:rsidRDefault="00E35632">
            <w:pPr>
              <w:pStyle w:val="ConsPlusNormal"/>
              <w:jc w:val="center"/>
            </w:pPr>
            <w:r>
              <w:t>То же</w:t>
            </w:r>
          </w:p>
        </w:tc>
        <w:tc>
          <w:tcPr>
            <w:tcW w:w="2400" w:type="dxa"/>
            <w:tcBorders>
              <w:top w:val="nil"/>
              <w:bottom w:val="nil"/>
            </w:tcBorders>
          </w:tcPr>
          <w:p w:rsidR="00E35632" w:rsidRDefault="00E35632">
            <w:pPr>
              <w:pStyle w:val="ConsPlusNormal"/>
              <w:jc w:val="center"/>
            </w:pPr>
            <w:r>
              <w:t>"</w:t>
            </w:r>
          </w:p>
        </w:tc>
      </w:tr>
      <w:tr w:rsidR="00E35632">
        <w:tblPrEx>
          <w:tblBorders>
            <w:insideH w:val="none" w:sz="0" w:space="0" w:color="auto"/>
          </w:tblBorders>
        </w:tblPrEx>
        <w:tc>
          <w:tcPr>
            <w:tcW w:w="4358" w:type="dxa"/>
            <w:tcBorders>
              <w:top w:val="nil"/>
              <w:bottom w:val="nil"/>
            </w:tcBorders>
          </w:tcPr>
          <w:p w:rsidR="00E35632" w:rsidRDefault="00E35632">
            <w:pPr>
              <w:pStyle w:val="ConsPlusNormal"/>
            </w:pPr>
            <w:r>
              <w:t xml:space="preserve">То же, при </w:t>
            </w:r>
            <w:r>
              <w:rPr>
                <w:i/>
              </w:rPr>
              <w:t>I</w:t>
            </w:r>
            <w:r>
              <w:rPr>
                <w:i/>
                <w:vertAlign w:val="subscript"/>
              </w:rPr>
              <w:t>L</w:t>
            </w:r>
            <w:r>
              <w:t xml:space="preserve"> &gt;= 0</w:t>
            </w:r>
          </w:p>
        </w:tc>
        <w:tc>
          <w:tcPr>
            <w:tcW w:w="2302" w:type="dxa"/>
            <w:tcBorders>
              <w:top w:val="nil"/>
              <w:bottom w:val="nil"/>
            </w:tcBorders>
          </w:tcPr>
          <w:p w:rsidR="00E35632" w:rsidRDefault="00E35632">
            <w:pPr>
              <w:pStyle w:val="ConsPlusNormal"/>
              <w:jc w:val="center"/>
            </w:pPr>
            <w:r>
              <w:t>"</w:t>
            </w:r>
          </w:p>
        </w:tc>
        <w:tc>
          <w:tcPr>
            <w:tcW w:w="2400" w:type="dxa"/>
            <w:tcBorders>
              <w:top w:val="nil"/>
              <w:bottom w:val="nil"/>
            </w:tcBorders>
          </w:tcPr>
          <w:p w:rsidR="00E35632" w:rsidRDefault="00E35632">
            <w:pPr>
              <w:pStyle w:val="ConsPlusNormal"/>
              <w:jc w:val="center"/>
            </w:pPr>
            <w:r>
              <w:t xml:space="preserve">Не менее </w:t>
            </w:r>
            <w:r>
              <w:rPr>
                <w:i/>
              </w:rPr>
              <w:t>d</w:t>
            </w:r>
            <w:r>
              <w:rPr>
                <w:i/>
                <w:vertAlign w:val="subscript"/>
              </w:rPr>
              <w:t>f</w:t>
            </w:r>
          </w:p>
        </w:tc>
      </w:tr>
      <w:tr w:rsidR="00E35632">
        <w:tblPrEx>
          <w:tblBorders>
            <w:insideH w:val="none" w:sz="0" w:space="0" w:color="auto"/>
          </w:tblBorders>
        </w:tblPrEx>
        <w:tc>
          <w:tcPr>
            <w:tcW w:w="4358" w:type="dxa"/>
            <w:tcBorders>
              <w:top w:val="nil"/>
              <w:bottom w:val="nil"/>
            </w:tcBorders>
          </w:tcPr>
          <w:p w:rsidR="00E35632" w:rsidRDefault="00E35632">
            <w:pPr>
              <w:pStyle w:val="ConsPlusNormal"/>
            </w:pPr>
            <w:r>
              <w:t xml:space="preserve">Суглинки, глины, а также крупнообломочные грунты с глинистым заполнителем при показателе текучести грунта или заполнителя </w:t>
            </w:r>
            <w:r>
              <w:rPr>
                <w:i/>
              </w:rPr>
              <w:t>I</w:t>
            </w:r>
            <w:r>
              <w:rPr>
                <w:i/>
                <w:vertAlign w:val="subscript"/>
              </w:rPr>
              <w:t>L</w:t>
            </w:r>
            <w:r>
              <w:t xml:space="preserve"> &gt;= 0,25</w:t>
            </w:r>
          </w:p>
        </w:tc>
        <w:tc>
          <w:tcPr>
            <w:tcW w:w="2302" w:type="dxa"/>
            <w:tcBorders>
              <w:top w:val="nil"/>
              <w:bottom w:val="nil"/>
            </w:tcBorders>
          </w:tcPr>
          <w:p w:rsidR="00E35632" w:rsidRDefault="00E35632">
            <w:pPr>
              <w:pStyle w:val="ConsPlusNormal"/>
              <w:jc w:val="center"/>
            </w:pPr>
            <w:r>
              <w:t>"</w:t>
            </w:r>
          </w:p>
        </w:tc>
        <w:tc>
          <w:tcPr>
            <w:tcW w:w="2400" w:type="dxa"/>
            <w:tcBorders>
              <w:top w:val="nil"/>
              <w:bottom w:val="nil"/>
            </w:tcBorders>
          </w:tcPr>
          <w:p w:rsidR="00E35632" w:rsidRDefault="00E35632">
            <w:pPr>
              <w:pStyle w:val="ConsPlusNormal"/>
              <w:jc w:val="center"/>
            </w:pPr>
            <w:r>
              <w:t>То же</w:t>
            </w:r>
          </w:p>
        </w:tc>
      </w:tr>
      <w:tr w:rsidR="00E35632">
        <w:tblPrEx>
          <w:tblBorders>
            <w:insideH w:val="none" w:sz="0" w:space="0" w:color="auto"/>
          </w:tblBorders>
        </w:tblPrEx>
        <w:tc>
          <w:tcPr>
            <w:tcW w:w="4358" w:type="dxa"/>
            <w:tcBorders>
              <w:top w:val="nil"/>
              <w:bottom w:val="single" w:sz="4" w:space="0" w:color="auto"/>
            </w:tcBorders>
          </w:tcPr>
          <w:p w:rsidR="00E35632" w:rsidRDefault="00E35632">
            <w:pPr>
              <w:pStyle w:val="ConsPlusNormal"/>
            </w:pPr>
            <w:r>
              <w:t xml:space="preserve">То же, при </w:t>
            </w:r>
            <w:r>
              <w:rPr>
                <w:i/>
              </w:rPr>
              <w:t>I</w:t>
            </w:r>
            <w:r>
              <w:rPr>
                <w:i/>
                <w:vertAlign w:val="subscript"/>
              </w:rPr>
              <w:t>L</w:t>
            </w:r>
            <w:r>
              <w:t xml:space="preserve"> &lt; 0,25</w:t>
            </w:r>
          </w:p>
        </w:tc>
        <w:tc>
          <w:tcPr>
            <w:tcW w:w="2302" w:type="dxa"/>
            <w:tcBorders>
              <w:top w:val="nil"/>
              <w:bottom w:val="single" w:sz="4" w:space="0" w:color="auto"/>
            </w:tcBorders>
          </w:tcPr>
          <w:p w:rsidR="00E35632" w:rsidRDefault="00E35632">
            <w:pPr>
              <w:pStyle w:val="ConsPlusNormal"/>
              <w:jc w:val="center"/>
            </w:pPr>
            <w:r>
              <w:t>"</w:t>
            </w:r>
          </w:p>
        </w:tc>
        <w:tc>
          <w:tcPr>
            <w:tcW w:w="2400" w:type="dxa"/>
            <w:tcBorders>
              <w:top w:val="nil"/>
              <w:bottom w:val="single" w:sz="4" w:space="0" w:color="auto"/>
            </w:tcBorders>
          </w:tcPr>
          <w:p w:rsidR="00E35632" w:rsidRDefault="00E35632">
            <w:pPr>
              <w:pStyle w:val="ConsPlusNormal"/>
              <w:jc w:val="center"/>
            </w:pPr>
            <w:r>
              <w:t xml:space="preserve">Не менее 0,5 </w:t>
            </w:r>
            <w:r>
              <w:rPr>
                <w:i/>
              </w:rPr>
              <w:t>d</w:t>
            </w:r>
            <w:r>
              <w:rPr>
                <w:i/>
                <w:vertAlign w:val="subscript"/>
              </w:rPr>
              <w:t>f</w:t>
            </w:r>
          </w:p>
        </w:tc>
      </w:tr>
      <w:tr w:rsidR="00E35632">
        <w:tc>
          <w:tcPr>
            <w:tcW w:w="9060" w:type="dxa"/>
            <w:gridSpan w:val="3"/>
            <w:tcBorders>
              <w:top w:val="single" w:sz="4" w:space="0" w:color="auto"/>
              <w:bottom w:val="single" w:sz="4" w:space="0" w:color="auto"/>
            </w:tcBorders>
          </w:tcPr>
          <w:p w:rsidR="00E35632" w:rsidRDefault="00E35632">
            <w:pPr>
              <w:pStyle w:val="ConsPlusNormal"/>
              <w:ind w:firstLine="283"/>
              <w:jc w:val="both"/>
            </w:pPr>
            <w:r>
              <w:t>Примечания</w:t>
            </w:r>
          </w:p>
          <w:p w:rsidR="00E35632" w:rsidRDefault="00E35632">
            <w:pPr>
              <w:pStyle w:val="ConsPlusNormal"/>
              <w:ind w:firstLine="283"/>
              <w:jc w:val="both"/>
            </w:pPr>
            <w:r>
              <w:t xml:space="preserve">1 В случаях когда глубина заложения фундаментов не зависит от расчетной глубины промерзания </w:t>
            </w:r>
            <w:r>
              <w:rPr>
                <w:i/>
              </w:rPr>
              <w:t>d</w:t>
            </w:r>
            <w:r>
              <w:rPr>
                <w:i/>
                <w:vertAlign w:val="subscript"/>
              </w:rPr>
              <w:t>f</w:t>
            </w:r>
            <w:r>
              <w:t xml:space="preserve">, соответствующие грунты, указанные в настоящей таблице, должны залегать до глубины не менее нормативной глубины промерзания </w:t>
            </w:r>
            <w:r>
              <w:rPr>
                <w:i/>
              </w:rPr>
              <w:t>d</w:t>
            </w:r>
            <w:r>
              <w:rPr>
                <w:i/>
                <w:vertAlign w:val="subscript"/>
              </w:rPr>
              <w:t>fn</w:t>
            </w:r>
            <w:r>
              <w:rPr>
                <w:i/>
              </w:rPr>
              <w:t>.</w:t>
            </w:r>
          </w:p>
          <w:p w:rsidR="00E35632" w:rsidRDefault="00E35632">
            <w:pPr>
              <w:pStyle w:val="ConsPlusNormal"/>
              <w:ind w:firstLine="283"/>
              <w:jc w:val="both"/>
            </w:pPr>
            <w:r>
              <w:t xml:space="preserve">2 Положение уровня подземных вод следует принимать с учетом </w:t>
            </w:r>
            <w:hyperlink w:anchor="P622">
              <w:r>
                <w:rPr>
                  <w:color w:val="0000FF"/>
                </w:rPr>
                <w:t>положений 5.4</w:t>
              </w:r>
            </w:hyperlink>
            <w:r>
              <w:t>.</w:t>
            </w:r>
          </w:p>
        </w:tc>
      </w:tr>
    </w:tbl>
    <w:p w:rsidR="00E35632" w:rsidRDefault="00E35632">
      <w:pPr>
        <w:pStyle w:val="ConsPlusNormal"/>
        <w:jc w:val="both"/>
      </w:pPr>
    </w:p>
    <w:p w:rsidR="00E35632" w:rsidRDefault="00E35632">
      <w:pPr>
        <w:pStyle w:val="ConsPlusNormal"/>
        <w:ind w:firstLine="540"/>
        <w:jc w:val="both"/>
      </w:pPr>
      <w:r>
        <w:t xml:space="preserve">При наличии в холодном подвале (техническом подполье) отапливаемого сооружения </w:t>
      </w:r>
      <w:r>
        <w:lastRenderedPageBreak/>
        <w:t xml:space="preserve">отрицательной среднезимней температуры глубину заложения внутренних фундаментов принимают по </w:t>
      </w:r>
      <w:hyperlink w:anchor="P765">
        <w:r>
          <w:rPr>
            <w:color w:val="0000FF"/>
          </w:rPr>
          <w:t>таблице 5.3</w:t>
        </w:r>
      </w:hyperlink>
      <w:r>
        <w:t xml:space="preserve"> в зависимости от расчетной глубины промерзания грунта, вычисляемой по </w:t>
      </w:r>
      <w:hyperlink w:anchor="P703">
        <w:r>
          <w:rPr>
            <w:color w:val="0000FF"/>
          </w:rPr>
          <w:t>формуле (5.4)</w:t>
        </w:r>
      </w:hyperlink>
      <w:r>
        <w:t xml:space="preserve"> при коэффициенте </w:t>
      </w:r>
      <w:r>
        <w:rPr>
          <w:i/>
        </w:rPr>
        <w:t>k</w:t>
      </w:r>
      <w:r>
        <w:rPr>
          <w:i/>
          <w:vertAlign w:val="subscript"/>
        </w:rPr>
        <w:t>h</w:t>
      </w:r>
      <w:r>
        <w:t xml:space="preserve"> = 1. При этом нормативную глубину промерзания, считая от пола подвала, определяют расчетом по </w:t>
      </w:r>
      <w:hyperlink w:anchor="P693">
        <w:r>
          <w:rPr>
            <w:color w:val="0000FF"/>
          </w:rPr>
          <w:t>5.5.3</w:t>
        </w:r>
      </w:hyperlink>
      <w:r>
        <w:t xml:space="preserve"> с учетом среднезимней температуры воздуха в подвале.</w:t>
      </w:r>
    </w:p>
    <w:p w:rsidR="00E35632" w:rsidRDefault="00E35632">
      <w:pPr>
        <w:pStyle w:val="ConsPlusNormal"/>
        <w:spacing w:before="220"/>
        <w:ind w:firstLine="540"/>
        <w:jc w:val="both"/>
      </w:pPr>
      <w:r>
        <w:t xml:space="preserve">Глубину заложения наружных фундаментов отапливаемых сооружений с холодным подвалом (техническим подпольем) принимают наибольшей из значений глубины заложения внутренних фундаментов и расчетной глубины промерзания грунта с коэффициентом </w:t>
      </w:r>
      <w:r>
        <w:rPr>
          <w:i/>
        </w:rPr>
        <w:t>k</w:t>
      </w:r>
      <w:r>
        <w:rPr>
          <w:i/>
          <w:vertAlign w:val="subscript"/>
        </w:rPr>
        <w:t>h</w:t>
      </w:r>
      <w:r>
        <w:t xml:space="preserve"> = 1, считая от уровня планировки.</w:t>
      </w:r>
    </w:p>
    <w:p w:rsidR="00E35632" w:rsidRDefault="00E35632">
      <w:pPr>
        <w:pStyle w:val="ConsPlusNormal"/>
        <w:spacing w:before="220"/>
        <w:ind w:firstLine="540"/>
        <w:jc w:val="both"/>
      </w:pPr>
      <w:r>
        <w:t xml:space="preserve">5.5.7 Глубина заложения наружных и внутренних фундаментов неотапливаемых сооружений должна назначаться по </w:t>
      </w:r>
      <w:hyperlink w:anchor="P765">
        <w:r>
          <w:rPr>
            <w:color w:val="0000FF"/>
          </w:rPr>
          <w:t>таблице 5.3</w:t>
        </w:r>
      </w:hyperlink>
      <w:r>
        <w:t>, при этом глубина исчисляется: при отсутствии подвала или технического подполья - от уровня планировки, а при их наличии - от пола подвала или технического подполья.</w:t>
      </w:r>
    </w:p>
    <w:p w:rsidR="00E35632" w:rsidRDefault="00E35632">
      <w:pPr>
        <w:pStyle w:val="ConsPlusNormal"/>
        <w:spacing w:before="220"/>
        <w:ind w:firstLine="540"/>
        <w:jc w:val="both"/>
      </w:pPr>
      <w:r>
        <w:t>5.5.8 В проекте оснований и фундаментов следует предусматривать мероприятия, не допускающие увлажнения грунтов основания, а также промораживания их в период строительства.</w:t>
      </w:r>
    </w:p>
    <w:p w:rsidR="00E35632" w:rsidRDefault="00E35632">
      <w:pPr>
        <w:pStyle w:val="ConsPlusNormal"/>
        <w:spacing w:before="220"/>
        <w:ind w:firstLine="540"/>
        <w:jc w:val="both"/>
      </w:pPr>
      <w:r>
        <w:t xml:space="preserve">5.5.9 При проектировании сооружений уровень подземных вод должен приниматься с учетом его прогнозирования на период эксплуатации сооружения по </w:t>
      </w:r>
      <w:hyperlink w:anchor="P622">
        <w:r>
          <w:rPr>
            <w:color w:val="0000FF"/>
          </w:rPr>
          <w:t>5.4</w:t>
        </w:r>
      </w:hyperlink>
      <w:r>
        <w:t xml:space="preserve"> и влияния на него водопонижающих мероприятий, если они предусмотрены проектом </w:t>
      </w:r>
      <w:hyperlink w:anchor="P4896">
        <w:r>
          <w:rPr>
            <w:color w:val="0000FF"/>
          </w:rPr>
          <w:t>(раздел 11)</w:t>
        </w:r>
      </w:hyperlink>
      <w:r>
        <w:t>.</w:t>
      </w:r>
    </w:p>
    <w:p w:rsidR="00E35632" w:rsidRDefault="00E35632">
      <w:pPr>
        <w:pStyle w:val="ConsPlusNormal"/>
        <w:spacing w:before="220"/>
        <w:ind w:firstLine="540"/>
        <w:jc w:val="both"/>
      </w:pPr>
      <w:r>
        <w:t xml:space="preserve">5.5.10 Фундаменты сооружения или его отсека должны закладываться на одном уровне. При необходимости заложения соседних фундаментов без специальных защитных мероприятий на разных отметках их допустимую разность </w:t>
      </w:r>
      <w:r>
        <w:rPr>
          <w:noProof/>
          <w:position w:val="-3"/>
        </w:rPr>
        <w:drawing>
          <wp:inline distT="0" distB="0" distL="0" distR="0">
            <wp:extent cx="241935" cy="182880"/>
            <wp:effectExtent l="0" t="0" r="0" b="0"/>
            <wp:docPr id="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241935" cy="182880"/>
                    </a:xfrm>
                    <a:prstGeom prst="rect">
                      <a:avLst/>
                    </a:prstGeom>
                    <a:noFill/>
                    <a:ln>
                      <a:noFill/>
                    </a:ln>
                  </pic:spPr>
                </pic:pic>
              </a:graphicData>
            </a:graphic>
          </wp:inline>
        </w:drawing>
      </w:r>
      <w:r>
        <w:t>, м, определяют исходя из условия</w:t>
      </w:r>
    </w:p>
    <w:p w:rsidR="00E35632" w:rsidRDefault="00E35632">
      <w:pPr>
        <w:pStyle w:val="ConsPlusNormal"/>
        <w:jc w:val="both"/>
      </w:pPr>
    </w:p>
    <w:p w:rsidR="00E35632" w:rsidRDefault="00E35632">
      <w:pPr>
        <w:pStyle w:val="ConsPlusNormal"/>
        <w:jc w:val="center"/>
      </w:pPr>
      <w:bookmarkStart w:id="42" w:name="P800"/>
      <w:bookmarkEnd w:id="42"/>
      <w:r>
        <w:rPr>
          <w:noProof/>
          <w:position w:val="-8"/>
        </w:rPr>
        <w:drawing>
          <wp:inline distT="0" distB="0" distL="0" distR="0">
            <wp:extent cx="1424940" cy="251460"/>
            <wp:effectExtent l="0" t="0" r="0" b="0"/>
            <wp:docPr id="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424940" cy="251460"/>
                    </a:xfrm>
                    <a:prstGeom prst="rect">
                      <a:avLst/>
                    </a:prstGeom>
                    <a:noFill/>
                    <a:ln>
                      <a:noFill/>
                    </a:ln>
                  </pic:spPr>
                </pic:pic>
              </a:graphicData>
            </a:graphic>
          </wp:inline>
        </w:drawing>
      </w:r>
      <w:r>
        <w:t xml:space="preserve"> (5.5)</w:t>
      </w:r>
    </w:p>
    <w:p w:rsidR="00E35632" w:rsidRDefault="00E35632">
      <w:pPr>
        <w:pStyle w:val="ConsPlusNormal"/>
        <w:jc w:val="both"/>
      </w:pPr>
    </w:p>
    <w:p w:rsidR="00E35632" w:rsidRDefault="00E35632">
      <w:pPr>
        <w:pStyle w:val="ConsPlusNormal"/>
        <w:ind w:firstLine="540"/>
        <w:jc w:val="both"/>
      </w:pPr>
      <w:r>
        <w:t xml:space="preserve">где </w:t>
      </w:r>
      <w:r>
        <w:rPr>
          <w:i/>
        </w:rPr>
        <w:t>a</w:t>
      </w:r>
      <w:r>
        <w:t xml:space="preserve"> - расстояние между фундаментами в свету, м;</w:t>
      </w:r>
    </w:p>
    <w:p w:rsidR="00E35632" w:rsidRDefault="00E35632">
      <w:pPr>
        <w:pStyle w:val="ConsPlusNormal"/>
        <w:spacing w:before="220"/>
        <w:ind w:firstLine="540"/>
        <w:jc w:val="both"/>
      </w:pPr>
      <w:r>
        <w:rPr>
          <w:noProof/>
          <w:position w:val="-8"/>
        </w:rPr>
        <w:drawing>
          <wp:inline distT="0" distB="0" distL="0" distR="0">
            <wp:extent cx="192405" cy="251460"/>
            <wp:effectExtent l="0" t="0" r="0" b="0"/>
            <wp:docPr id="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w:t>
      </w:r>
      <w:r>
        <w:rPr>
          <w:i/>
        </w:rPr>
        <w:t>c</w:t>
      </w:r>
      <w:r>
        <w:rPr>
          <w:vertAlign w:val="subscript"/>
        </w:rPr>
        <w:t>I</w:t>
      </w:r>
      <w:r>
        <w:t xml:space="preserve"> - расчетные значения угла внутреннего трения, град. и удельного сцепления, кПа;</w:t>
      </w:r>
    </w:p>
    <w:p w:rsidR="00E35632" w:rsidRDefault="00E35632">
      <w:pPr>
        <w:pStyle w:val="ConsPlusNormal"/>
        <w:spacing w:before="220"/>
        <w:ind w:firstLine="540"/>
        <w:jc w:val="both"/>
      </w:pPr>
      <w:r>
        <w:rPr>
          <w:i/>
        </w:rPr>
        <w:t>p</w:t>
      </w:r>
      <w:r>
        <w:t xml:space="preserve"> - среднее давление под подошвой вышерасположенного фундамента от расчетных нагрузок (для расчета основания по несущей способности), кПа.</w:t>
      </w:r>
    </w:p>
    <w:p w:rsidR="00E35632" w:rsidRDefault="00E35632">
      <w:pPr>
        <w:pStyle w:val="ConsPlusTitle"/>
        <w:spacing w:before="220"/>
        <w:ind w:firstLine="540"/>
        <w:jc w:val="both"/>
        <w:outlineLvl w:val="2"/>
      </w:pPr>
      <w:bookmarkStart w:id="43" w:name="P805"/>
      <w:bookmarkEnd w:id="43"/>
      <w:r>
        <w:t>5.6 Расчет оснований по деформациям</w:t>
      </w:r>
    </w:p>
    <w:p w:rsidR="00E35632" w:rsidRDefault="00E35632">
      <w:pPr>
        <w:pStyle w:val="ConsPlusNormal"/>
        <w:spacing w:before="220"/>
        <w:ind w:firstLine="540"/>
        <w:jc w:val="both"/>
      </w:pPr>
      <w:r>
        <w:t>5.6.1 Целью расчета оснований по деформациям является ограничение абсолютных или относительных перемещений такими пределами, при которых гарантируется нормальная эксплуатация сооружения и не снижается его долговечность (вследствие появления недопустимых общих и неравномерных осадок, подъемов, кренов, изменений проектных уровней и положений конструкций, расстройств их соединений и т.п.). При этом имеется в виду, что прочность и трещиностойкость фундаментов и надфундаментных конструкций проверены расчетом, учитывающим усилия, которые возникают при взаимодействии сооружения с основанием.</w:t>
      </w:r>
    </w:p>
    <w:p w:rsidR="00E35632" w:rsidRDefault="00E35632">
      <w:pPr>
        <w:pStyle w:val="ConsPlusNormal"/>
        <w:spacing w:before="220"/>
        <w:ind w:firstLine="540"/>
        <w:jc w:val="both"/>
      </w:pPr>
      <w:r>
        <w:t xml:space="preserve">Примечание - При проектировании сооружений, расположенных вблизи окружающей застройки, необходимо учитывать дополнительные деформации оснований сооружений окружающей застройки от воздействия проектируемых или реконструируемых сооружений (см. </w:t>
      </w:r>
      <w:hyperlink w:anchor="P4452">
        <w:r>
          <w:rPr>
            <w:color w:val="0000FF"/>
          </w:rPr>
          <w:t>раздел 9</w:t>
        </w:r>
      </w:hyperlink>
      <w:r>
        <w:t>).</w:t>
      </w:r>
    </w:p>
    <w:p w:rsidR="00E35632" w:rsidRDefault="00E35632">
      <w:pPr>
        <w:pStyle w:val="ConsPlusNormal"/>
        <w:jc w:val="both"/>
      </w:pPr>
    </w:p>
    <w:p w:rsidR="00E35632" w:rsidRDefault="00E35632">
      <w:pPr>
        <w:pStyle w:val="ConsPlusNormal"/>
        <w:ind w:firstLine="540"/>
        <w:jc w:val="both"/>
      </w:pPr>
      <w:r>
        <w:t>5.6.2 Деформации основания в зависимости от причин возникновения подразделяют на два вида:</w:t>
      </w:r>
    </w:p>
    <w:p w:rsidR="00E35632" w:rsidRDefault="00E35632">
      <w:pPr>
        <w:pStyle w:val="ConsPlusNormal"/>
        <w:spacing w:before="220"/>
        <w:ind w:firstLine="540"/>
        <w:jc w:val="both"/>
      </w:pPr>
      <w:r>
        <w:t xml:space="preserve">первый - деформации от внешней нагрузки на основание (осадки, просадки, горизонтальные </w:t>
      </w:r>
      <w:r>
        <w:lastRenderedPageBreak/>
        <w:t>перемещения);</w:t>
      </w:r>
    </w:p>
    <w:p w:rsidR="00E35632" w:rsidRDefault="00E35632">
      <w:pPr>
        <w:pStyle w:val="ConsPlusNormal"/>
        <w:spacing w:before="220"/>
        <w:ind w:firstLine="540"/>
        <w:jc w:val="both"/>
      </w:pPr>
      <w:r>
        <w:t>второй - деформации, не связанные с внешней нагрузкой на основание и проявляющиеся в виде вертикальных и горизонтальных перемещений поверхности основания (оседания, просадки грунтов от собственного веса, подъемы и т.п.).</w:t>
      </w:r>
    </w:p>
    <w:p w:rsidR="00E35632" w:rsidRDefault="00E35632">
      <w:pPr>
        <w:pStyle w:val="ConsPlusNormal"/>
        <w:spacing w:before="220"/>
        <w:ind w:firstLine="540"/>
        <w:jc w:val="both"/>
      </w:pPr>
      <w:r>
        <w:t>5.6.3 Расчет оснований по деформациям следует проводить исходя из условия совместной работы сооружения и основания.</w:t>
      </w:r>
    </w:p>
    <w:p w:rsidR="00E35632" w:rsidRDefault="00E35632">
      <w:pPr>
        <w:pStyle w:val="ConsPlusNormal"/>
        <w:spacing w:before="220"/>
        <w:ind w:firstLine="540"/>
        <w:jc w:val="both"/>
      </w:pPr>
      <w:r>
        <w:t xml:space="preserve">Деформации основания фундаментов допускается определять без учета совместной работы сооружения и основания в случаях, оговоренных в </w:t>
      </w:r>
      <w:hyperlink w:anchor="P481">
        <w:r>
          <w:rPr>
            <w:color w:val="0000FF"/>
          </w:rPr>
          <w:t>5.2.1</w:t>
        </w:r>
      </w:hyperlink>
      <w:r>
        <w:t>.</w:t>
      </w:r>
    </w:p>
    <w:p w:rsidR="00E35632" w:rsidRDefault="00E35632">
      <w:pPr>
        <w:pStyle w:val="ConsPlusNormal"/>
        <w:spacing w:before="220"/>
        <w:ind w:firstLine="540"/>
        <w:jc w:val="both"/>
      </w:pPr>
      <w:bookmarkStart w:id="44" w:name="P814"/>
      <w:bookmarkEnd w:id="44"/>
      <w:r>
        <w:t>5.6.4 Совместная деформация основания и сооружения может характеризоваться:</w:t>
      </w:r>
    </w:p>
    <w:p w:rsidR="00E35632" w:rsidRDefault="00E35632">
      <w:pPr>
        <w:pStyle w:val="ConsPlusNormal"/>
        <w:spacing w:before="220"/>
        <w:ind w:firstLine="540"/>
        <w:jc w:val="both"/>
      </w:pPr>
      <w:r>
        <w:t xml:space="preserve">- осадкой (подъемом) основания фундамента </w:t>
      </w:r>
      <w:r>
        <w:rPr>
          <w:i/>
        </w:rPr>
        <w:t>s</w:t>
      </w:r>
      <w:r>
        <w:t>;</w:t>
      </w:r>
    </w:p>
    <w:p w:rsidR="00E35632" w:rsidRDefault="00E35632">
      <w:pPr>
        <w:pStyle w:val="ConsPlusNormal"/>
        <w:spacing w:before="220"/>
        <w:ind w:firstLine="540"/>
        <w:jc w:val="both"/>
      </w:pPr>
      <w:r>
        <w:t xml:space="preserve">- средней осадкой основания фундамента </w:t>
      </w:r>
      <w:r>
        <w:rPr>
          <w:noProof/>
          <w:position w:val="-4"/>
        </w:rPr>
        <w:drawing>
          <wp:inline distT="0" distB="0" distL="0" distR="0">
            <wp:extent cx="142240" cy="192405"/>
            <wp:effectExtent l="0" t="0" r="0" b="0"/>
            <wp:docPr id="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142240" cy="192405"/>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 относительной разностью осадок (подъемов) основания двух фундаментов </w:t>
      </w:r>
      <w:r>
        <w:rPr>
          <w:noProof/>
          <w:position w:val="-3"/>
        </w:rPr>
        <w:drawing>
          <wp:inline distT="0" distB="0" distL="0" distR="0">
            <wp:extent cx="445770" cy="182880"/>
            <wp:effectExtent l="0" t="0" r="0" b="0"/>
            <wp:docPr id="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45770" cy="182880"/>
                    </a:xfrm>
                    <a:prstGeom prst="rect">
                      <a:avLst/>
                    </a:prstGeom>
                    <a:noFill/>
                    <a:ln>
                      <a:noFill/>
                    </a:ln>
                  </pic:spPr>
                </pic:pic>
              </a:graphicData>
            </a:graphic>
          </wp:inline>
        </w:drawing>
      </w:r>
      <w:r>
        <w:t xml:space="preserve"> (</w:t>
      </w:r>
      <w:r>
        <w:rPr>
          <w:i/>
        </w:rPr>
        <w:t>L</w:t>
      </w:r>
      <w:r>
        <w:t xml:space="preserve"> - расстояние между фундаментами);</w:t>
      </w:r>
    </w:p>
    <w:p w:rsidR="00E35632" w:rsidRDefault="00E35632">
      <w:pPr>
        <w:pStyle w:val="ConsPlusNormal"/>
        <w:spacing w:before="220"/>
        <w:ind w:firstLine="540"/>
        <w:jc w:val="both"/>
      </w:pPr>
      <w:r>
        <w:t xml:space="preserve">- креном фундамента (сооружения) </w:t>
      </w:r>
      <w:r>
        <w:rPr>
          <w:i/>
        </w:rPr>
        <w:t>i</w:t>
      </w:r>
      <w:r>
        <w:t>;</w:t>
      </w:r>
    </w:p>
    <w:p w:rsidR="00E35632" w:rsidRDefault="00E35632">
      <w:pPr>
        <w:pStyle w:val="ConsPlusNormal"/>
        <w:spacing w:before="220"/>
        <w:ind w:firstLine="540"/>
        <w:jc w:val="both"/>
      </w:pPr>
      <w:r>
        <w:t xml:space="preserve">- относительным прогибом или выгибом </w:t>
      </w:r>
      <w:r>
        <w:rPr>
          <w:i/>
        </w:rPr>
        <w:t>f/L</w:t>
      </w:r>
      <w:r>
        <w:t xml:space="preserve"> (</w:t>
      </w:r>
      <w:r>
        <w:rPr>
          <w:i/>
        </w:rPr>
        <w:t>L</w:t>
      </w:r>
      <w:r>
        <w:t xml:space="preserve"> - длина однозначно изгибаемого участка сооружения);</w:t>
      </w:r>
    </w:p>
    <w:p w:rsidR="00E35632" w:rsidRDefault="00E35632">
      <w:pPr>
        <w:pStyle w:val="ConsPlusNormal"/>
        <w:spacing w:before="220"/>
        <w:ind w:firstLine="540"/>
        <w:jc w:val="both"/>
      </w:pPr>
      <w:r>
        <w:t>- кривизной изгибаемого участка сооружения;</w:t>
      </w:r>
    </w:p>
    <w:p w:rsidR="00E35632" w:rsidRDefault="00E35632">
      <w:pPr>
        <w:pStyle w:val="ConsPlusNormal"/>
        <w:spacing w:before="220"/>
        <w:ind w:firstLine="540"/>
        <w:jc w:val="both"/>
      </w:pPr>
      <w:r>
        <w:t>- относительным углом закручивания сооружения;</w:t>
      </w:r>
    </w:p>
    <w:p w:rsidR="00E35632" w:rsidRDefault="00E35632">
      <w:pPr>
        <w:pStyle w:val="ConsPlusNormal"/>
        <w:spacing w:before="220"/>
        <w:ind w:firstLine="540"/>
        <w:jc w:val="both"/>
      </w:pPr>
      <w:r>
        <w:t xml:space="preserve">- горизонтальным перемещением фундамента (сооружения) </w:t>
      </w:r>
      <w:r>
        <w:rPr>
          <w:i/>
        </w:rPr>
        <w:t>u</w:t>
      </w:r>
      <w:r>
        <w:rPr>
          <w:i/>
          <w:vertAlign w:val="subscript"/>
        </w:rPr>
        <w:t>h</w:t>
      </w:r>
      <w:r>
        <w:t>.</w:t>
      </w:r>
    </w:p>
    <w:p w:rsidR="00E35632" w:rsidRDefault="00E35632">
      <w:pPr>
        <w:pStyle w:val="ConsPlusNormal"/>
        <w:spacing w:before="220"/>
        <w:ind w:firstLine="540"/>
        <w:jc w:val="both"/>
      </w:pPr>
      <w:bookmarkStart w:id="45" w:name="P823"/>
      <w:bookmarkEnd w:id="45"/>
      <w:r>
        <w:t>5.6.5 Расчет оснований по деформациям проводят исходя из условия</w:t>
      </w:r>
    </w:p>
    <w:p w:rsidR="00E35632" w:rsidRDefault="00E35632">
      <w:pPr>
        <w:pStyle w:val="ConsPlusNormal"/>
        <w:jc w:val="both"/>
      </w:pPr>
    </w:p>
    <w:p w:rsidR="00E35632" w:rsidRDefault="00E35632">
      <w:pPr>
        <w:pStyle w:val="ConsPlusNormal"/>
        <w:jc w:val="center"/>
      </w:pPr>
      <w:bookmarkStart w:id="46" w:name="P825"/>
      <w:bookmarkEnd w:id="46"/>
      <w:r>
        <w:rPr>
          <w:i/>
        </w:rPr>
        <w:t>s</w:t>
      </w:r>
      <w:r>
        <w:t xml:space="preserve"> &lt;= </w:t>
      </w:r>
      <w:r>
        <w:rPr>
          <w:i/>
        </w:rPr>
        <w:t>s</w:t>
      </w:r>
      <w:r>
        <w:rPr>
          <w:i/>
          <w:vertAlign w:val="subscript"/>
        </w:rPr>
        <w:t>u</w:t>
      </w:r>
      <w:r>
        <w:t>, (5.6)</w:t>
      </w:r>
    </w:p>
    <w:p w:rsidR="00E35632" w:rsidRDefault="00E35632">
      <w:pPr>
        <w:pStyle w:val="ConsPlusNormal"/>
        <w:jc w:val="both"/>
      </w:pPr>
    </w:p>
    <w:p w:rsidR="00E35632" w:rsidRDefault="00E35632">
      <w:pPr>
        <w:pStyle w:val="ConsPlusNormal"/>
        <w:ind w:firstLine="540"/>
        <w:jc w:val="both"/>
      </w:pPr>
      <w:r>
        <w:t xml:space="preserve">где </w:t>
      </w:r>
      <w:r>
        <w:rPr>
          <w:i/>
        </w:rPr>
        <w:t>s</w:t>
      </w:r>
      <w:r>
        <w:t xml:space="preserve"> - осадка основания фундамента (совместная деформация основания и сооружения);</w:t>
      </w:r>
    </w:p>
    <w:p w:rsidR="00E35632" w:rsidRDefault="00E35632">
      <w:pPr>
        <w:pStyle w:val="ConsPlusNormal"/>
        <w:spacing w:before="220"/>
        <w:ind w:firstLine="540"/>
        <w:jc w:val="both"/>
      </w:pPr>
      <w:r>
        <w:rPr>
          <w:i/>
        </w:rPr>
        <w:t>s</w:t>
      </w:r>
      <w:r>
        <w:rPr>
          <w:i/>
          <w:vertAlign w:val="subscript"/>
        </w:rPr>
        <w:t>u</w:t>
      </w:r>
      <w:r>
        <w:t xml:space="preserve"> - предельное значение осадки основания фундамента (совместной деформации основания и сооружения), устанавливаемое в соответствии с требованиями </w:t>
      </w:r>
      <w:hyperlink w:anchor="P1786">
        <w:r>
          <w:rPr>
            <w:color w:val="0000FF"/>
          </w:rPr>
          <w:t>5.6.46</w:t>
        </w:r>
      </w:hyperlink>
      <w:r>
        <w:t xml:space="preserve"> - </w:t>
      </w:r>
      <w:hyperlink w:anchor="P1801">
        <w:r>
          <w:rPr>
            <w:color w:val="0000FF"/>
          </w:rPr>
          <w:t>5.6.50</w:t>
        </w:r>
      </w:hyperlink>
      <w:r>
        <w:t>.</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 xml:space="preserve">1 Для определения совместной деформации основания и сооружения </w:t>
      </w:r>
      <w:r>
        <w:rPr>
          <w:i/>
        </w:rPr>
        <w:t>s</w:t>
      </w:r>
      <w:r>
        <w:t xml:space="preserve"> могут применяться методы, приведенные в </w:t>
      </w:r>
      <w:hyperlink w:anchor="P416">
        <w:r>
          <w:rPr>
            <w:color w:val="0000FF"/>
          </w:rPr>
          <w:t>5.1.11</w:t>
        </w:r>
      </w:hyperlink>
      <w:r>
        <w:t>.</w:t>
      </w:r>
    </w:p>
    <w:p w:rsidR="00E35632" w:rsidRDefault="00E35632">
      <w:pPr>
        <w:pStyle w:val="ConsPlusNormal"/>
        <w:jc w:val="both"/>
      </w:pPr>
      <w:r>
        <w:t xml:space="preserve">(в ред. </w:t>
      </w:r>
      <w:hyperlink r:id="rId315">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 xml:space="preserve">2 При расчете оснований по деформациям </w:t>
      </w:r>
      <w:hyperlink w:anchor="P825">
        <w:r>
          <w:rPr>
            <w:color w:val="0000FF"/>
          </w:rPr>
          <w:t>условие (5.6)</w:t>
        </w:r>
      </w:hyperlink>
      <w:r>
        <w:t xml:space="preserve"> следует выполнять в т.ч. для параметров, указанных в </w:t>
      </w:r>
      <w:hyperlink w:anchor="P814">
        <w:r>
          <w:rPr>
            <w:color w:val="0000FF"/>
          </w:rPr>
          <w:t>5.6.4</w:t>
        </w:r>
      </w:hyperlink>
      <w:r>
        <w:t>.</w:t>
      </w:r>
    </w:p>
    <w:p w:rsidR="00E35632" w:rsidRDefault="00E35632">
      <w:pPr>
        <w:pStyle w:val="ConsPlusNormal"/>
        <w:spacing w:before="220"/>
        <w:ind w:firstLine="540"/>
        <w:jc w:val="both"/>
      </w:pPr>
      <w:r>
        <w:t>3 В необходимых случаях для оценки напряженно-деформированного состояния конструкций сооружений с учетом длительных процессов и прогноза времени консолидации основания следует проводить расчет осадок во времени с учетом первичной и вторичной консолидации.</w:t>
      </w:r>
    </w:p>
    <w:p w:rsidR="00E35632" w:rsidRDefault="00E35632">
      <w:pPr>
        <w:pStyle w:val="ConsPlusNormal"/>
        <w:spacing w:before="220"/>
        <w:ind w:firstLine="540"/>
        <w:jc w:val="both"/>
      </w:pPr>
      <w:r>
        <w:t xml:space="preserve">4 Осадки основания фундаментов, происходящие в процессе строительства (например, осадки от веса насыпей до устройства фундаментов, осадки до омоноличивания стыков строительных конструкций), допускается не учитывать, если они не влияют на эксплуатационную </w:t>
      </w:r>
      <w:r>
        <w:lastRenderedPageBreak/>
        <w:t>надежность сооружений.</w:t>
      </w:r>
    </w:p>
    <w:p w:rsidR="00E35632" w:rsidRDefault="00E35632">
      <w:pPr>
        <w:pStyle w:val="ConsPlusNormal"/>
        <w:spacing w:before="220"/>
        <w:ind w:firstLine="540"/>
        <w:jc w:val="both"/>
      </w:pPr>
      <w:r>
        <w:t xml:space="preserve">5 При расчете оснований по деформациям необходимо учитывать возможность изменения как расчетных, так и предельных значений деформаций основания за счет применения мероприятий, указанных в </w:t>
      </w:r>
      <w:hyperlink w:anchor="P2257">
        <w:r>
          <w:rPr>
            <w:color w:val="0000FF"/>
          </w:rPr>
          <w:t>5.9</w:t>
        </w:r>
      </w:hyperlink>
      <w:r>
        <w:t>.</w:t>
      </w:r>
    </w:p>
    <w:p w:rsidR="00E35632" w:rsidRDefault="00E35632">
      <w:pPr>
        <w:pStyle w:val="ConsPlusNormal"/>
        <w:jc w:val="both"/>
      </w:pPr>
    </w:p>
    <w:p w:rsidR="00E35632" w:rsidRDefault="00E35632">
      <w:pPr>
        <w:pStyle w:val="ConsPlusNormal"/>
        <w:ind w:firstLine="540"/>
        <w:jc w:val="both"/>
      </w:pPr>
      <w:bookmarkStart w:id="47" w:name="P837"/>
      <w:bookmarkEnd w:id="47"/>
      <w:r>
        <w:t xml:space="preserve">5.6.6 Расчетная схема основания, применяемая для определения совместной деформации основания и сооружения, должна выбираться в соответствии с </w:t>
      </w:r>
      <w:hyperlink w:anchor="P399">
        <w:r>
          <w:rPr>
            <w:color w:val="0000FF"/>
          </w:rPr>
          <w:t>5.1.6</w:t>
        </w:r>
      </w:hyperlink>
      <w:r>
        <w:t xml:space="preserve"> и </w:t>
      </w:r>
      <w:hyperlink w:anchor="P419">
        <w:r>
          <w:rPr>
            <w:color w:val="0000FF"/>
          </w:rPr>
          <w:t>5.1.11а</w:t>
        </w:r>
      </w:hyperlink>
      <w:r>
        <w:t>.</w:t>
      </w:r>
    </w:p>
    <w:p w:rsidR="00E35632" w:rsidRDefault="00E35632">
      <w:pPr>
        <w:pStyle w:val="ConsPlusNormal"/>
        <w:jc w:val="both"/>
      </w:pPr>
      <w:r>
        <w:t xml:space="preserve">(в ред. </w:t>
      </w:r>
      <w:hyperlink r:id="rId316">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 xml:space="preserve">Расчет деформаций основания фундамента при среднем давлении под подошвой фундамента </w:t>
      </w:r>
      <w:r>
        <w:rPr>
          <w:i/>
        </w:rPr>
        <w:t>p</w:t>
      </w:r>
      <w:r>
        <w:t xml:space="preserve">, не превышающем расчетное сопротивление грунта </w:t>
      </w:r>
      <w:r>
        <w:rPr>
          <w:i/>
        </w:rPr>
        <w:t>R</w:t>
      </w:r>
      <w:r>
        <w:t xml:space="preserve"> (см. </w:t>
      </w:r>
      <w:hyperlink w:anchor="P849">
        <w:r>
          <w:rPr>
            <w:color w:val="0000FF"/>
          </w:rPr>
          <w:t>5.6.7</w:t>
        </w:r>
      </w:hyperlink>
      <w:r>
        <w:t xml:space="preserve">), следует выполнять, применяя расчетную схему в виде линейно деформируемого полупространства (см. </w:t>
      </w:r>
      <w:hyperlink w:anchor="P1298">
        <w:r>
          <w:rPr>
            <w:color w:val="0000FF"/>
          </w:rPr>
          <w:t>5.6.31</w:t>
        </w:r>
      </w:hyperlink>
      <w:r>
        <w:t xml:space="preserve">) с условным ограничением глубины сжимаемой толщи </w:t>
      </w:r>
      <w:r>
        <w:rPr>
          <w:i/>
        </w:rPr>
        <w:t>H</w:t>
      </w:r>
      <w:r>
        <w:rPr>
          <w:i/>
          <w:vertAlign w:val="subscript"/>
        </w:rPr>
        <w:t>c</w:t>
      </w:r>
      <w:r>
        <w:t xml:space="preserve"> (см. </w:t>
      </w:r>
      <w:hyperlink w:anchor="P1695">
        <w:r>
          <w:rPr>
            <w:color w:val="0000FF"/>
          </w:rPr>
          <w:t>5.6.41</w:t>
        </w:r>
      </w:hyperlink>
      <w:r>
        <w:t>).</w:t>
      </w:r>
    </w:p>
    <w:p w:rsidR="00E35632" w:rsidRDefault="00E35632">
      <w:pPr>
        <w:pStyle w:val="ConsPlusNormal"/>
        <w:spacing w:before="220"/>
        <w:ind w:firstLine="540"/>
        <w:jc w:val="both"/>
      </w:pPr>
      <w:r>
        <w:t xml:space="preserve">Для предварительных расчетов деформаций основания фундаментов сооружений геотехнической категории 2 и окончательных расчетов для сооружений геотехнической категории 1 при среднем давлении под подошвой фундамента </w:t>
      </w:r>
      <w:r>
        <w:rPr>
          <w:i/>
        </w:rPr>
        <w:t>p</w:t>
      </w:r>
      <w:r>
        <w:t xml:space="preserve">, не превышающем расчетное сопротивление грунта </w:t>
      </w:r>
      <w:r>
        <w:rPr>
          <w:i/>
        </w:rPr>
        <w:t>R</w:t>
      </w:r>
      <w:r>
        <w:t xml:space="preserve"> (см. </w:t>
      </w:r>
      <w:hyperlink w:anchor="P849">
        <w:r>
          <w:rPr>
            <w:color w:val="0000FF"/>
          </w:rPr>
          <w:t>5.6.7</w:t>
        </w:r>
      </w:hyperlink>
      <w:r>
        <w:t xml:space="preserve">), допускается применять расчетную схему в виде линейно деформируемого слоя </w:t>
      </w:r>
      <w:hyperlink w:anchor="P6534">
        <w:r>
          <w:rPr>
            <w:color w:val="0000FF"/>
          </w:rPr>
          <w:t>(приложение В)</w:t>
        </w:r>
      </w:hyperlink>
      <w:r>
        <w:t>, при соблюдении следующих условий:</w:t>
      </w:r>
    </w:p>
    <w:p w:rsidR="00E35632" w:rsidRDefault="00E35632">
      <w:pPr>
        <w:pStyle w:val="ConsPlusNormal"/>
        <w:spacing w:before="220"/>
        <w:ind w:firstLine="540"/>
        <w:jc w:val="both"/>
      </w:pPr>
      <w:r>
        <w:t xml:space="preserve">- ширина (диаметр) фундамента </w:t>
      </w:r>
      <w:r>
        <w:rPr>
          <w:i/>
        </w:rPr>
        <w:t>b</w:t>
      </w:r>
      <w:r>
        <w:t xml:space="preserve"> &gt;= 10 м;</w:t>
      </w:r>
    </w:p>
    <w:p w:rsidR="00E35632" w:rsidRDefault="00E35632">
      <w:pPr>
        <w:pStyle w:val="ConsPlusNormal"/>
        <w:spacing w:before="220"/>
        <w:ind w:firstLine="540"/>
        <w:jc w:val="both"/>
      </w:pPr>
      <w:r>
        <w:t xml:space="preserve">- среднее давление под подошвой фундамента </w:t>
      </w:r>
      <w:r>
        <w:rPr>
          <w:i/>
        </w:rPr>
        <w:t>p</w:t>
      </w:r>
      <w:r>
        <w:t xml:space="preserve"> изменяется в пределах от 150 до 350 кПа;</w:t>
      </w:r>
    </w:p>
    <w:p w:rsidR="00E35632" w:rsidRDefault="00E35632">
      <w:pPr>
        <w:pStyle w:val="ConsPlusNormal"/>
        <w:spacing w:before="220"/>
        <w:ind w:firstLine="540"/>
        <w:jc w:val="both"/>
      </w:pPr>
      <w:r>
        <w:t xml:space="preserve">- глубина заложения фундамента от уровня планировки </w:t>
      </w:r>
      <w:r>
        <w:rPr>
          <w:i/>
        </w:rPr>
        <w:t>d</w:t>
      </w:r>
      <w:r>
        <w:t xml:space="preserve"> &lt;= 5 м;</w:t>
      </w:r>
    </w:p>
    <w:p w:rsidR="00E35632" w:rsidRDefault="00E35632">
      <w:pPr>
        <w:pStyle w:val="ConsPlusNormal"/>
        <w:spacing w:before="220"/>
        <w:ind w:firstLine="540"/>
        <w:jc w:val="both"/>
      </w:pPr>
      <w:r>
        <w:t xml:space="preserve">- в основании фундамента залегают грунты с модулем деформации </w:t>
      </w:r>
      <w:r>
        <w:rPr>
          <w:i/>
        </w:rPr>
        <w:t>E</w:t>
      </w:r>
      <w:r>
        <w:t xml:space="preserve"> &gt;= 10 МПа.</w:t>
      </w:r>
    </w:p>
    <w:p w:rsidR="00E35632" w:rsidRDefault="00E35632">
      <w:pPr>
        <w:pStyle w:val="ConsPlusNormal"/>
        <w:spacing w:before="220"/>
        <w:ind w:firstLine="540"/>
        <w:jc w:val="both"/>
      </w:pPr>
      <w:r>
        <w:t>Примечание - Деформации основания следует определять с учетом изменения свойств грунтов в результате природных и техногенных воздействий на грунты в открытом котловане.</w:t>
      </w:r>
    </w:p>
    <w:p w:rsidR="00E35632" w:rsidRDefault="00E35632">
      <w:pPr>
        <w:pStyle w:val="ConsPlusNormal"/>
        <w:jc w:val="both"/>
      </w:pPr>
    </w:p>
    <w:p w:rsidR="00E35632" w:rsidRDefault="00E35632">
      <w:pPr>
        <w:pStyle w:val="ConsPlusNormal"/>
        <w:ind w:firstLine="540"/>
        <w:jc w:val="both"/>
      </w:pPr>
      <w:r>
        <w:rPr>
          <w:b/>
          <w:i/>
        </w:rPr>
        <w:t>Определение расчетного сопротивления грунта основания</w:t>
      </w:r>
    </w:p>
    <w:p w:rsidR="00E35632" w:rsidRDefault="00E35632">
      <w:pPr>
        <w:pStyle w:val="ConsPlusNormal"/>
        <w:jc w:val="both"/>
      </w:pPr>
    </w:p>
    <w:p w:rsidR="00E35632" w:rsidRDefault="00E35632">
      <w:pPr>
        <w:pStyle w:val="ConsPlusNormal"/>
        <w:ind w:firstLine="540"/>
        <w:jc w:val="both"/>
      </w:pPr>
      <w:bookmarkStart w:id="48" w:name="P849"/>
      <w:bookmarkEnd w:id="48"/>
      <w:r>
        <w:t xml:space="preserve">5.6.7 При расчете деформаций основания фундаментов с использованием расчетных схем, указанных в </w:t>
      </w:r>
      <w:hyperlink w:anchor="P837">
        <w:r>
          <w:rPr>
            <w:color w:val="0000FF"/>
          </w:rPr>
          <w:t>5.6.6</w:t>
        </w:r>
      </w:hyperlink>
      <w:r>
        <w:t xml:space="preserve">, среднее давление под подошвой фундамента </w:t>
      </w:r>
      <w:r>
        <w:rPr>
          <w:i/>
        </w:rPr>
        <w:t>p</w:t>
      </w:r>
      <w:r>
        <w:t xml:space="preserve"> не должно превышать расчетного сопротивления грунта основания </w:t>
      </w:r>
      <w:r>
        <w:rPr>
          <w:i/>
        </w:rPr>
        <w:t>R</w:t>
      </w:r>
      <w:r>
        <w:t>, вычисляемого по формуле</w:t>
      </w:r>
    </w:p>
    <w:p w:rsidR="00E35632" w:rsidRDefault="00E35632">
      <w:pPr>
        <w:pStyle w:val="ConsPlusNormal"/>
        <w:jc w:val="both"/>
      </w:pPr>
    </w:p>
    <w:p w:rsidR="00E35632" w:rsidRDefault="00E35632">
      <w:pPr>
        <w:pStyle w:val="ConsPlusNormal"/>
        <w:jc w:val="center"/>
      </w:pPr>
      <w:bookmarkStart w:id="49" w:name="P851"/>
      <w:bookmarkEnd w:id="49"/>
      <w:r>
        <w:rPr>
          <w:noProof/>
          <w:position w:val="-22"/>
        </w:rPr>
        <w:drawing>
          <wp:inline distT="0" distB="0" distL="0" distR="0">
            <wp:extent cx="3743960" cy="428625"/>
            <wp:effectExtent l="0" t="0" r="0" b="0"/>
            <wp:docPr id="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743960" cy="428625"/>
                    </a:xfrm>
                    <a:prstGeom prst="rect">
                      <a:avLst/>
                    </a:prstGeom>
                    <a:noFill/>
                    <a:ln>
                      <a:noFill/>
                    </a:ln>
                  </pic:spPr>
                </pic:pic>
              </a:graphicData>
            </a:graphic>
          </wp:inline>
        </w:drawing>
      </w:r>
      <w:r>
        <w:t xml:space="preserve"> (5.7)</w:t>
      </w:r>
    </w:p>
    <w:p w:rsidR="00E35632" w:rsidRDefault="00E35632">
      <w:pPr>
        <w:pStyle w:val="ConsPlusNormal"/>
        <w:jc w:val="both"/>
      </w:pPr>
    </w:p>
    <w:p w:rsidR="00E35632" w:rsidRDefault="00E35632">
      <w:pPr>
        <w:pStyle w:val="ConsPlusNormal"/>
        <w:ind w:firstLine="540"/>
        <w:jc w:val="both"/>
      </w:pPr>
      <w:r>
        <w:t xml:space="preserve">где </w:t>
      </w:r>
      <w:r>
        <w:rPr>
          <w:noProof/>
          <w:position w:val="-8"/>
        </w:rPr>
        <w:drawing>
          <wp:inline distT="0" distB="0" distL="0" distR="0">
            <wp:extent cx="226060" cy="251460"/>
            <wp:effectExtent l="0" t="0" r="0" b="0"/>
            <wp:docPr id="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226060" cy="251460"/>
                    </a:xfrm>
                    <a:prstGeom prst="rect">
                      <a:avLst/>
                    </a:prstGeom>
                    <a:noFill/>
                    <a:ln>
                      <a:noFill/>
                    </a:ln>
                  </pic:spPr>
                </pic:pic>
              </a:graphicData>
            </a:graphic>
          </wp:inline>
        </w:drawing>
      </w:r>
      <w:r>
        <w:t xml:space="preserve"> и </w:t>
      </w:r>
      <w:r>
        <w:rPr>
          <w:noProof/>
          <w:position w:val="-8"/>
        </w:rPr>
        <w:drawing>
          <wp:inline distT="0" distB="0" distL="0" distR="0">
            <wp:extent cx="241935" cy="251460"/>
            <wp:effectExtent l="0" t="0" r="0" b="0"/>
            <wp:docPr id="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 коэффициенты условий работы, принимаемые по </w:t>
      </w:r>
      <w:hyperlink w:anchor="P878">
        <w:r>
          <w:rPr>
            <w:color w:val="0000FF"/>
          </w:rPr>
          <w:t>таблице 5.4</w:t>
        </w:r>
      </w:hyperlink>
      <w:r>
        <w:t>;</w:t>
      </w:r>
    </w:p>
    <w:p w:rsidR="00E35632" w:rsidRDefault="00E35632">
      <w:pPr>
        <w:pStyle w:val="ConsPlusNormal"/>
        <w:spacing w:before="220"/>
        <w:ind w:firstLine="540"/>
        <w:jc w:val="both"/>
      </w:pPr>
      <w:r>
        <w:rPr>
          <w:i/>
        </w:rPr>
        <w:t>k</w:t>
      </w:r>
      <w:r>
        <w:t xml:space="preserve"> - коэффициент, принимаемый равным единице, если прочностные характеристики грунта (</w:t>
      </w:r>
      <w:r>
        <w:rPr>
          <w:noProof/>
          <w:position w:val="-8"/>
        </w:rPr>
        <w:drawing>
          <wp:inline distT="0" distB="0" distL="0" distR="0">
            <wp:extent cx="209550" cy="251460"/>
            <wp:effectExtent l="0" t="0" r="0" b="0"/>
            <wp:docPr id="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и </w:t>
      </w:r>
      <w:r>
        <w:rPr>
          <w:i/>
        </w:rPr>
        <w:t>c</w:t>
      </w:r>
      <w:r>
        <w:rPr>
          <w:vertAlign w:val="subscript"/>
        </w:rPr>
        <w:t>II</w:t>
      </w:r>
      <w:r>
        <w:t xml:space="preserve">) определены непосредственными испытаниями, и </w:t>
      </w:r>
      <w:r>
        <w:rPr>
          <w:i/>
        </w:rPr>
        <w:t>k</w:t>
      </w:r>
      <w:r>
        <w:t xml:space="preserve"> = 1,1, если они приняты по таблицам </w:t>
      </w:r>
      <w:hyperlink w:anchor="P5118">
        <w:r>
          <w:rPr>
            <w:color w:val="0000FF"/>
          </w:rPr>
          <w:t>приложения А</w:t>
        </w:r>
      </w:hyperlink>
      <w:r>
        <w:t>;</w:t>
      </w:r>
    </w:p>
    <w:p w:rsidR="00E35632" w:rsidRDefault="00E35632">
      <w:pPr>
        <w:pStyle w:val="ConsPlusNormal"/>
        <w:spacing w:before="220"/>
        <w:ind w:firstLine="540"/>
        <w:jc w:val="both"/>
      </w:pPr>
      <w:r>
        <w:rPr>
          <w:noProof/>
          <w:position w:val="-10"/>
        </w:rPr>
        <w:drawing>
          <wp:inline distT="0" distB="0" distL="0" distR="0">
            <wp:extent cx="267970" cy="267970"/>
            <wp:effectExtent l="0" t="0" r="0" b="0"/>
            <wp:docPr id="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xml:space="preserve">, </w:t>
      </w:r>
      <w:r>
        <w:rPr>
          <w:i/>
        </w:rPr>
        <w:t>M</w:t>
      </w:r>
      <w:r>
        <w:rPr>
          <w:i/>
          <w:vertAlign w:val="subscript"/>
        </w:rPr>
        <w:t>q</w:t>
      </w:r>
      <w:r>
        <w:t xml:space="preserve">, </w:t>
      </w:r>
      <w:r>
        <w:rPr>
          <w:i/>
        </w:rPr>
        <w:t>M</w:t>
      </w:r>
      <w:r>
        <w:rPr>
          <w:i/>
          <w:vertAlign w:val="subscript"/>
        </w:rPr>
        <w:t>c</w:t>
      </w:r>
      <w:r>
        <w:t xml:space="preserve"> - коэффициенты, принимаемые по </w:t>
      </w:r>
      <w:hyperlink w:anchor="P918">
        <w:r>
          <w:rPr>
            <w:color w:val="0000FF"/>
          </w:rPr>
          <w:t>таблице 5.5</w:t>
        </w:r>
      </w:hyperlink>
      <w:r>
        <w:t>;</w:t>
      </w:r>
    </w:p>
    <w:p w:rsidR="00E35632" w:rsidRDefault="00E35632">
      <w:pPr>
        <w:pStyle w:val="ConsPlusNormal"/>
        <w:spacing w:before="220"/>
        <w:ind w:firstLine="540"/>
        <w:jc w:val="both"/>
      </w:pPr>
      <w:r>
        <w:rPr>
          <w:i/>
        </w:rPr>
        <w:t>k</w:t>
      </w:r>
      <w:r>
        <w:rPr>
          <w:i/>
          <w:vertAlign w:val="subscript"/>
        </w:rPr>
        <w:t>z</w:t>
      </w:r>
      <w:r>
        <w:t xml:space="preserve"> - коэффициент, принимаемый равным единице при </w:t>
      </w:r>
      <w:r>
        <w:rPr>
          <w:i/>
        </w:rPr>
        <w:t>b</w:t>
      </w:r>
      <w:r>
        <w:t xml:space="preserve"> &lt; 10 м; </w:t>
      </w:r>
      <w:r>
        <w:rPr>
          <w:i/>
        </w:rPr>
        <w:t>k</w:t>
      </w:r>
      <w:r>
        <w:rPr>
          <w:i/>
          <w:vertAlign w:val="subscript"/>
        </w:rPr>
        <w:t>z</w:t>
      </w:r>
      <w:r>
        <w:t xml:space="preserve"> = </w:t>
      </w:r>
      <w:r>
        <w:rPr>
          <w:i/>
        </w:rPr>
        <w:t>z</w:t>
      </w:r>
      <w:r>
        <w:rPr>
          <w:vertAlign w:val="subscript"/>
        </w:rPr>
        <w:t>0</w:t>
      </w:r>
      <w:r>
        <w:t>/</w:t>
      </w:r>
      <w:r>
        <w:rPr>
          <w:i/>
        </w:rPr>
        <w:t>b</w:t>
      </w:r>
      <w:r>
        <w:t xml:space="preserve"> + 0,2 при </w:t>
      </w:r>
      <w:r>
        <w:rPr>
          <w:i/>
        </w:rPr>
        <w:t>b</w:t>
      </w:r>
      <w:r>
        <w:t xml:space="preserve"> &gt;= 10 м (здесь </w:t>
      </w:r>
      <w:r>
        <w:rPr>
          <w:i/>
        </w:rPr>
        <w:t>z</w:t>
      </w:r>
      <w:r>
        <w:rPr>
          <w:vertAlign w:val="subscript"/>
        </w:rPr>
        <w:t>0</w:t>
      </w:r>
      <w:r>
        <w:t xml:space="preserve"> = 8 м);</w:t>
      </w:r>
    </w:p>
    <w:p w:rsidR="00E35632" w:rsidRDefault="00E35632">
      <w:pPr>
        <w:pStyle w:val="ConsPlusNormal"/>
        <w:spacing w:before="220"/>
        <w:ind w:firstLine="540"/>
        <w:jc w:val="both"/>
      </w:pPr>
      <w:r>
        <w:rPr>
          <w:i/>
        </w:rPr>
        <w:t>b</w:t>
      </w:r>
      <w:r>
        <w:t xml:space="preserve"> - ширина подошвы фундамента, м (при бетонной или щебеночной подготовке толщиной </w:t>
      </w:r>
      <w:r>
        <w:rPr>
          <w:i/>
        </w:rPr>
        <w:t>h</w:t>
      </w:r>
      <w:r>
        <w:rPr>
          <w:i/>
          <w:vertAlign w:val="subscript"/>
        </w:rPr>
        <w:t>n</w:t>
      </w:r>
      <w:r>
        <w:t xml:space="preserve"> допускается увеличивать </w:t>
      </w:r>
      <w:r>
        <w:rPr>
          <w:i/>
        </w:rPr>
        <w:t>b</w:t>
      </w:r>
      <w:r>
        <w:t xml:space="preserve"> на 2</w:t>
      </w:r>
      <w:r>
        <w:rPr>
          <w:i/>
        </w:rPr>
        <w:t>h</w:t>
      </w:r>
      <w:r>
        <w:rPr>
          <w:i/>
          <w:vertAlign w:val="subscript"/>
        </w:rPr>
        <w:t>n</w:t>
      </w:r>
      <w:r>
        <w:t>);</w:t>
      </w:r>
    </w:p>
    <w:p w:rsidR="00E35632" w:rsidRDefault="00E35632">
      <w:pPr>
        <w:pStyle w:val="ConsPlusNormal"/>
        <w:spacing w:before="220"/>
        <w:ind w:firstLine="540"/>
        <w:jc w:val="both"/>
      </w:pPr>
      <w:r>
        <w:rPr>
          <w:noProof/>
          <w:position w:val="-8"/>
        </w:rPr>
        <w:lastRenderedPageBreak/>
        <w:drawing>
          <wp:inline distT="0" distB="0" distL="0" distR="0">
            <wp:extent cx="182880" cy="250825"/>
            <wp:effectExtent l="0" t="0" r="0" b="0"/>
            <wp:docPr id="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 xml:space="preserve"> - осредненное (см. </w:t>
      </w:r>
      <w:hyperlink w:anchor="P1113">
        <w:r>
          <w:rPr>
            <w:color w:val="0000FF"/>
          </w:rPr>
          <w:t>5.6.10</w:t>
        </w:r>
      </w:hyperlink>
      <w:r>
        <w:t>) расчетное значение удельного веса грунтов, залегающих ниже подошвы фундамента (при наличии подземных вод определяется с учетом взвешивающего действия воды), кН/м</w:t>
      </w:r>
      <w:r>
        <w:rPr>
          <w:vertAlign w:val="superscript"/>
        </w:rPr>
        <w:t>3</w:t>
      </w:r>
      <w:r>
        <w:t>;</w:t>
      </w:r>
    </w:p>
    <w:p w:rsidR="00E35632" w:rsidRDefault="00E35632">
      <w:pPr>
        <w:pStyle w:val="ConsPlusNormal"/>
        <w:spacing w:before="220"/>
        <w:ind w:firstLine="540"/>
        <w:jc w:val="both"/>
      </w:pPr>
      <w:r>
        <w:rPr>
          <w:noProof/>
          <w:position w:val="-8"/>
        </w:rPr>
        <w:drawing>
          <wp:inline distT="0" distB="0" distL="0" distR="0">
            <wp:extent cx="182880" cy="250825"/>
            <wp:effectExtent l="0" t="0" r="0" b="0"/>
            <wp:docPr id="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 xml:space="preserve"> - то же, для грунтов, залегающих выше подошвы фундамента, кН/м</w:t>
      </w:r>
      <w:r>
        <w:rPr>
          <w:vertAlign w:val="superscript"/>
        </w:rPr>
        <w:t>3</w:t>
      </w:r>
      <w:r>
        <w:t>;</w:t>
      </w:r>
    </w:p>
    <w:p w:rsidR="00E35632" w:rsidRDefault="00E35632">
      <w:pPr>
        <w:pStyle w:val="ConsPlusNormal"/>
        <w:spacing w:before="220"/>
        <w:ind w:firstLine="540"/>
        <w:jc w:val="both"/>
      </w:pPr>
      <w:r>
        <w:rPr>
          <w:i/>
        </w:rPr>
        <w:t>c</w:t>
      </w:r>
      <w:r>
        <w:rPr>
          <w:vertAlign w:val="subscript"/>
        </w:rPr>
        <w:t>II</w:t>
      </w:r>
      <w:r>
        <w:t xml:space="preserve"> - расчетное значение удельного сцепления грунта, залегающего непосредственно под подошвой фундамента (см. </w:t>
      </w:r>
      <w:hyperlink w:anchor="P1113">
        <w:r>
          <w:rPr>
            <w:color w:val="0000FF"/>
          </w:rPr>
          <w:t>5.6.10</w:t>
        </w:r>
      </w:hyperlink>
      <w:r>
        <w:t>), кПа;</w:t>
      </w:r>
    </w:p>
    <w:p w:rsidR="00E35632" w:rsidRDefault="00E35632">
      <w:pPr>
        <w:pStyle w:val="ConsPlusNormal"/>
        <w:spacing w:before="220"/>
        <w:ind w:firstLine="540"/>
        <w:jc w:val="both"/>
      </w:pPr>
      <w:r>
        <w:rPr>
          <w:i/>
        </w:rPr>
        <w:t>d</w:t>
      </w:r>
      <w:r>
        <w:rPr>
          <w:vertAlign w:val="subscript"/>
        </w:rPr>
        <w:t>I</w:t>
      </w:r>
      <w:r>
        <w:t xml:space="preserve"> - глубина заложения фундаментов, м, бесподвальных сооружений от уровня планировки или приведенная глубина заложения наружных и внутренних фундаментов от пола подвала, вычисляемая по формуле (5.8). При плитных фундаментах за </w:t>
      </w:r>
      <w:r>
        <w:rPr>
          <w:i/>
        </w:rPr>
        <w:t>d</w:t>
      </w:r>
      <w:r>
        <w:rPr>
          <w:vertAlign w:val="subscript"/>
        </w:rPr>
        <w:t>I</w:t>
      </w:r>
      <w:r>
        <w:t xml:space="preserve"> принимают наименьшую глубину от подошвы плиты до уровня планировки;</w:t>
      </w:r>
    </w:p>
    <w:p w:rsidR="00E35632" w:rsidRDefault="00E35632">
      <w:pPr>
        <w:pStyle w:val="ConsPlusNormal"/>
        <w:jc w:val="both"/>
      </w:pPr>
    </w:p>
    <w:p w:rsidR="00E35632" w:rsidRDefault="00E35632">
      <w:pPr>
        <w:pStyle w:val="ConsPlusNormal"/>
        <w:jc w:val="center"/>
      </w:pPr>
      <w:bookmarkStart w:id="50" w:name="P863"/>
      <w:bookmarkEnd w:id="50"/>
      <w:r>
        <w:rPr>
          <w:noProof/>
          <w:position w:val="-10"/>
        </w:rPr>
        <w:drawing>
          <wp:inline distT="0" distB="0" distL="0" distR="0">
            <wp:extent cx="1313180" cy="267970"/>
            <wp:effectExtent l="0" t="0" r="0" b="0"/>
            <wp:docPr id="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4" cstate="print">
                      <a:extLst>
                        <a:ext uri="{28A0092B-C50C-407E-A947-70E740481C1C}">
                          <a14:useLocalDpi xmlns:a14="http://schemas.microsoft.com/office/drawing/2010/main" val="0"/>
                        </a:ext>
                      </a:extLst>
                    </a:blip>
                    <a:srcRect/>
                    <a:stretch>
                      <a:fillRect/>
                    </a:stretch>
                  </pic:blipFill>
                  <pic:spPr bwMode="auto">
                    <a:xfrm>
                      <a:off x="0" y="0"/>
                      <a:ext cx="1313180" cy="267970"/>
                    </a:xfrm>
                    <a:prstGeom prst="rect">
                      <a:avLst/>
                    </a:prstGeom>
                    <a:noFill/>
                    <a:ln>
                      <a:noFill/>
                    </a:ln>
                  </pic:spPr>
                </pic:pic>
              </a:graphicData>
            </a:graphic>
          </wp:inline>
        </w:drawing>
      </w:r>
      <w:r>
        <w:t xml:space="preserve"> (5.8)</w:t>
      </w:r>
    </w:p>
    <w:p w:rsidR="00E35632" w:rsidRDefault="00E35632">
      <w:pPr>
        <w:pStyle w:val="ConsPlusNormal"/>
        <w:jc w:val="both"/>
      </w:pPr>
    </w:p>
    <w:p w:rsidR="00E35632" w:rsidRDefault="00E35632">
      <w:pPr>
        <w:pStyle w:val="ConsPlusNormal"/>
        <w:ind w:firstLine="540"/>
        <w:jc w:val="both"/>
      </w:pPr>
      <w:r>
        <w:t xml:space="preserve">здесь </w:t>
      </w:r>
      <w:r>
        <w:rPr>
          <w:i/>
        </w:rPr>
        <w:t>h</w:t>
      </w:r>
      <w:r>
        <w:rPr>
          <w:i/>
          <w:vertAlign w:val="subscript"/>
        </w:rPr>
        <w:t>s</w:t>
      </w:r>
      <w:r>
        <w:t xml:space="preserve"> - толщина слоя грунта выше подошвы фундамента со стороны подвала, м,</w:t>
      </w:r>
    </w:p>
    <w:p w:rsidR="00E35632" w:rsidRDefault="00E35632">
      <w:pPr>
        <w:pStyle w:val="ConsPlusNormal"/>
        <w:spacing w:before="220"/>
        <w:ind w:firstLine="540"/>
        <w:jc w:val="both"/>
      </w:pPr>
      <w:r>
        <w:rPr>
          <w:i/>
        </w:rPr>
        <w:t>h</w:t>
      </w:r>
      <w:r>
        <w:rPr>
          <w:i/>
          <w:vertAlign w:val="subscript"/>
        </w:rPr>
        <w:t>cf</w:t>
      </w:r>
      <w:r>
        <w:t xml:space="preserve"> - толщина конструкции пола подвала, м,</w:t>
      </w:r>
    </w:p>
    <w:p w:rsidR="00E35632" w:rsidRDefault="00E35632">
      <w:pPr>
        <w:pStyle w:val="ConsPlusNormal"/>
        <w:spacing w:before="220"/>
        <w:ind w:firstLine="540"/>
        <w:jc w:val="both"/>
      </w:pPr>
      <w:r>
        <w:rPr>
          <w:noProof/>
          <w:position w:val="-10"/>
        </w:rPr>
        <w:drawing>
          <wp:inline distT="0" distB="0" distL="0" distR="0">
            <wp:extent cx="226060" cy="267970"/>
            <wp:effectExtent l="0" t="0" r="0" b="0"/>
            <wp:docPr id="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226060" cy="267970"/>
                    </a:xfrm>
                    <a:prstGeom prst="rect">
                      <a:avLst/>
                    </a:prstGeom>
                    <a:noFill/>
                    <a:ln>
                      <a:noFill/>
                    </a:ln>
                  </pic:spPr>
                </pic:pic>
              </a:graphicData>
            </a:graphic>
          </wp:inline>
        </w:drawing>
      </w:r>
      <w:r>
        <w:t xml:space="preserve"> - расчетное значение удельного веса конструкции пола подвала, кН/м</w:t>
      </w:r>
      <w:r>
        <w:rPr>
          <w:vertAlign w:val="superscript"/>
        </w:rPr>
        <w:t>3</w:t>
      </w:r>
      <w:r>
        <w:t>,</w:t>
      </w:r>
    </w:p>
    <w:p w:rsidR="00E35632" w:rsidRDefault="00E35632">
      <w:pPr>
        <w:pStyle w:val="ConsPlusNormal"/>
        <w:spacing w:before="220"/>
        <w:ind w:firstLine="540"/>
        <w:jc w:val="both"/>
      </w:pPr>
      <w:r>
        <w:rPr>
          <w:i/>
        </w:rPr>
        <w:t>d</w:t>
      </w:r>
      <w:r>
        <w:rPr>
          <w:i/>
          <w:vertAlign w:val="subscript"/>
        </w:rPr>
        <w:t>b</w:t>
      </w:r>
      <w:r>
        <w:t xml:space="preserve"> - глубина подвала, расстояние от уровня планировки до пола подвала, м (для сооружений с подвалом глубиной свыше 2 м принимают равным 2 м).</w:t>
      </w:r>
    </w:p>
    <w:p w:rsidR="00E35632" w:rsidRDefault="00E35632">
      <w:pPr>
        <w:pStyle w:val="ConsPlusNormal"/>
        <w:spacing w:before="220"/>
        <w:ind w:firstLine="540"/>
        <w:jc w:val="both"/>
      </w:pPr>
      <w:r>
        <w:t xml:space="preserve">При бетонной или щебеночной подготовке толщиной </w:t>
      </w:r>
      <w:r>
        <w:rPr>
          <w:i/>
        </w:rPr>
        <w:t>h</w:t>
      </w:r>
      <w:r>
        <w:rPr>
          <w:i/>
          <w:vertAlign w:val="subscript"/>
        </w:rPr>
        <w:t>n</w:t>
      </w:r>
      <w:r>
        <w:t xml:space="preserve"> допускается увеличивать </w:t>
      </w:r>
      <w:r>
        <w:rPr>
          <w:i/>
        </w:rPr>
        <w:t>d</w:t>
      </w:r>
      <w:r>
        <w:rPr>
          <w:vertAlign w:val="subscript"/>
        </w:rPr>
        <w:t>I</w:t>
      </w:r>
      <w:r>
        <w:t xml:space="preserve"> на </w:t>
      </w:r>
      <w:r>
        <w:rPr>
          <w:i/>
        </w:rPr>
        <w:t>h</w:t>
      </w:r>
      <w:r>
        <w:rPr>
          <w:i/>
          <w:vertAlign w:val="subscript"/>
        </w:rPr>
        <w:t>n</w:t>
      </w:r>
      <w:r>
        <w:t>.</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 xml:space="preserve">1 </w:t>
      </w:r>
      <w:hyperlink w:anchor="P851">
        <w:r>
          <w:rPr>
            <w:color w:val="0000FF"/>
          </w:rPr>
          <w:t>Формулу (5.7)</w:t>
        </w:r>
      </w:hyperlink>
      <w:r>
        <w:t xml:space="preserve"> допускается применять при любой форме фундаментов в плане. Если подошва фундамента имеет форму круга или правильного многоугольника площадью </w:t>
      </w:r>
      <w:r>
        <w:rPr>
          <w:i/>
        </w:rPr>
        <w:t>A</w:t>
      </w:r>
      <w:r>
        <w:t xml:space="preserve">, значение </w:t>
      </w:r>
      <w:r>
        <w:rPr>
          <w:i/>
        </w:rPr>
        <w:t>b</w:t>
      </w:r>
      <w:r>
        <w:t xml:space="preserve"> принимают равным </w:t>
      </w:r>
      <w:r>
        <w:rPr>
          <w:noProof/>
          <w:position w:val="-8"/>
        </w:rPr>
        <w:drawing>
          <wp:inline distT="0" distB="0" distL="0" distR="0">
            <wp:extent cx="302260" cy="241935"/>
            <wp:effectExtent l="0" t="0" r="0" b="0"/>
            <wp:docPr id="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302260" cy="241935"/>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2 Расчетные значения удельного веса грунтов и материала пола подвала, входящие в </w:t>
      </w:r>
      <w:hyperlink w:anchor="P851">
        <w:r>
          <w:rPr>
            <w:color w:val="0000FF"/>
          </w:rPr>
          <w:t>формулу (5.7)</w:t>
        </w:r>
      </w:hyperlink>
      <w:r>
        <w:t>, допускается принимать равными их нормативным значениям.</w:t>
      </w:r>
    </w:p>
    <w:p w:rsidR="00E35632" w:rsidRDefault="00E35632">
      <w:pPr>
        <w:pStyle w:val="ConsPlusNormal"/>
        <w:spacing w:before="220"/>
        <w:ind w:firstLine="540"/>
        <w:jc w:val="both"/>
      </w:pPr>
      <w:r>
        <w:t>3 Расчетное сопротивление грунта при соответствующем обосновании может быть увеличено, если конструкция фундамента улучшает условия его совместной работы с основанием, например, фундаменты прерывистые, щелевые, с промежуточной подготовкой и др.</w:t>
      </w:r>
    </w:p>
    <w:p w:rsidR="00E35632" w:rsidRDefault="00E35632">
      <w:pPr>
        <w:pStyle w:val="ConsPlusNormal"/>
        <w:spacing w:before="220"/>
        <w:ind w:firstLine="540"/>
        <w:jc w:val="both"/>
      </w:pPr>
      <w:bookmarkStart w:id="51" w:name="P874"/>
      <w:bookmarkEnd w:id="51"/>
      <w:r>
        <w:t xml:space="preserve">4 Для фундаментных плит с угловыми вырезами расчетное сопротивление грунта основания допускается увеличивать, применяя коэффициент </w:t>
      </w:r>
      <w:r>
        <w:rPr>
          <w:i/>
        </w:rPr>
        <w:t>k</w:t>
      </w:r>
      <w:r>
        <w:rPr>
          <w:i/>
          <w:vertAlign w:val="subscript"/>
        </w:rPr>
        <w:t>d</w:t>
      </w:r>
      <w:r>
        <w:t xml:space="preserve"> по </w:t>
      </w:r>
      <w:hyperlink w:anchor="P1126">
        <w:r>
          <w:rPr>
            <w:color w:val="0000FF"/>
          </w:rPr>
          <w:t>таблице 5.6</w:t>
        </w:r>
      </w:hyperlink>
      <w:r>
        <w:t>.</w:t>
      </w:r>
    </w:p>
    <w:p w:rsidR="00E35632" w:rsidRDefault="00E35632">
      <w:pPr>
        <w:pStyle w:val="ConsPlusNormal"/>
        <w:spacing w:before="220"/>
        <w:ind w:firstLine="540"/>
        <w:jc w:val="both"/>
      </w:pPr>
      <w:r>
        <w:t xml:space="preserve">5 Если </w:t>
      </w:r>
      <w:r>
        <w:rPr>
          <w:i/>
        </w:rPr>
        <w:t>d</w:t>
      </w:r>
      <w:r>
        <w:rPr>
          <w:vertAlign w:val="subscript"/>
        </w:rPr>
        <w:t>I</w:t>
      </w:r>
      <w:r>
        <w:t xml:space="preserve"> &gt; </w:t>
      </w:r>
      <w:r>
        <w:rPr>
          <w:i/>
        </w:rPr>
        <w:t>d</w:t>
      </w:r>
      <w:r>
        <w:t xml:space="preserve"> (</w:t>
      </w:r>
      <w:r>
        <w:rPr>
          <w:i/>
        </w:rPr>
        <w:t>d</w:t>
      </w:r>
      <w:r>
        <w:t xml:space="preserve"> - глубина заложения фундамента от уровня планировки), в </w:t>
      </w:r>
      <w:hyperlink w:anchor="P851">
        <w:r>
          <w:rPr>
            <w:color w:val="0000FF"/>
          </w:rPr>
          <w:t>формуле (5.7)</w:t>
        </w:r>
      </w:hyperlink>
      <w:r>
        <w:t xml:space="preserve"> принимают </w:t>
      </w:r>
      <w:r>
        <w:rPr>
          <w:i/>
        </w:rPr>
        <w:t>d</w:t>
      </w:r>
      <w:r>
        <w:rPr>
          <w:vertAlign w:val="subscript"/>
        </w:rPr>
        <w:t>I</w:t>
      </w:r>
      <w:r>
        <w:t xml:space="preserve"> = </w:t>
      </w:r>
      <w:r>
        <w:rPr>
          <w:i/>
        </w:rPr>
        <w:t>d</w:t>
      </w:r>
      <w:r>
        <w:t xml:space="preserve"> и </w:t>
      </w:r>
      <w:r>
        <w:rPr>
          <w:i/>
        </w:rPr>
        <w:t>d</w:t>
      </w:r>
      <w:r>
        <w:rPr>
          <w:i/>
          <w:vertAlign w:val="subscript"/>
        </w:rPr>
        <w:t>b</w:t>
      </w:r>
      <w:r>
        <w:t xml:space="preserve"> = 0.</w:t>
      </w:r>
    </w:p>
    <w:p w:rsidR="00E35632" w:rsidRDefault="00E35632">
      <w:pPr>
        <w:pStyle w:val="ConsPlusNormal"/>
        <w:spacing w:before="220"/>
        <w:ind w:firstLine="540"/>
        <w:jc w:val="both"/>
      </w:pPr>
      <w:r>
        <w:t xml:space="preserve">6 Значения расчетного сопротивления грунтов основания </w:t>
      </w:r>
      <w:r>
        <w:rPr>
          <w:i/>
        </w:rPr>
        <w:t>R</w:t>
      </w:r>
      <w:r>
        <w:rPr>
          <w:vertAlign w:val="subscript"/>
        </w:rPr>
        <w:t>0</w:t>
      </w:r>
      <w:r>
        <w:t xml:space="preserve">, приведенные в </w:t>
      </w:r>
      <w:hyperlink w:anchor="P6156">
        <w:r>
          <w:rPr>
            <w:color w:val="0000FF"/>
          </w:rPr>
          <w:t>таблицах Б.1</w:t>
        </w:r>
      </w:hyperlink>
      <w:r>
        <w:t xml:space="preserve"> - </w:t>
      </w:r>
      <w:hyperlink w:anchor="P6486">
        <w:r>
          <w:rPr>
            <w:color w:val="0000FF"/>
          </w:rPr>
          <w:t>Б.10</w:t>
        </w:r>
      </w:hyperlink>
      <w:r>
        <w:t xml:space="preserve"> приложения Б, указаны для предварительного определения размеров фундамента, их использование вместо расчетного сопротивления </w:t>
      </w:r>
      <w:r>
        <w:rPr>
          <w:i/>
        </w:rPr>
        <w:t>R</w:t>
      </w:r>
      <w:r>
        <w:t xml:space="preserve">, полученного по </w:t>
      </w:r>
      <w:hyperlink w:anchor="P851">
        <w:r>
          <w:rPr>
            <w:color w:val="0000FF"/>
          </w:rPr>
          <w:t>формуле (5.7)</w:t>
        </w:r>
      </w:hyperlink>
      <w:r>
        <w:t xml:space="preserve">, не допускается, за исключением случаев, оговоренных в </w:t>
      </w:r>
      <w:hyperlink w:anchor="P2321">
        <w:r>
          <w:rPr>
            <w:color w:val="0000FF"/>
          </w:rPr>
          <w:t>разделе 6</w:t>
        </w:r>
      </w:hyperlink>
      <w:r>
        <w:t>.</w:t>
      </w:r>
    </w:p>
    <w:p w:rsidR="00E35632" w:rsidRDefault="00E35632">
      <w:pPr>
        <w:pStyle w:val="ConsPlusNormal"/>
        <w:jc w:val="both"/>
      </w:pPr>
    </w:p>
    <w:p w:rsidR="00E35632" w:rsidRDefault="00E35632">
      <w:pPr>
        <w:pStyle w:val="ConsPlusNormal"/>
        <w:jc w:val="right"/>
      </w:pPr>
      <w:bookmarkStart w:id="52" w:name="P878"/>
      <w:bookmarkEnd w:id="52"/>
      <w:r>
        <w:t>Таблица 5.4</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660"/>
        <w:gridCol w:w="1601"/>
        <w:gridCol w:w="1978"/>
        <w:gridCol w:w="1821"/>
      </w:tblGrid>
      <w:tr w:rsidR="00E35632">
        <w:tc>
          <w:tcPr>
            <w:tcW w:w="3660" w:type="dxa"/>
            <w:vMerge w:val="restart"/>
            <w:vAlign w:val="center"/>
          </w:tcPr>
          <w:p w:rsidR="00E35632" w:rsidRDefault="00E35632">
            <w:pPr>
              <w:pStyle w:val="ConsPlusNormal"/>
              <w:jc w:val="center"/>
            </w:pPr>
            <w:r>
              <w:lastRenderedPageBreak/>
              <w:t>Грунты</w:t>
            </w:r>
          </w:p>
        </w:tc>
        <w:tc>
          <w:tcPr>
            <w:tcW w:w="1601" w:type="dxa"/>
            <w:vMerge w:val="restart"/>
            <w:vAlign w:val="center"/>
          </w:tcPr>
          <w:p w:rsidR="00E35632" w:rsidRDefault="00E35632">
            <w:pPr>
              <w:pStyle w:val="ConsPlusNormal"/>
              <w:jc w:val="center"/>
            </w:pPr>
            <w:r>
              <w:t>Коэффициент </w:t>
            </w:r>
            <w:r>
              <w:rPr>
                <w:noProof/>
                <w:position w:val="-8"/>
              </w:rPr>
              <w:drawing>
                <wp:inline distT="0" distB="0" distL="0" distR="0">
                  <wp:extent cx="226060" cy="251460"/>
                  <wp:effectExtent l="0" t="0" r="0" b="0"/>
                  <wp:docPr id="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226060" cy="251460"/>
                          </a:xfrm>
                          <a:prstGeom prst="rect">
                            <a:avLst/>
                          </a:prstGeom>
                          <a:noFill/>
                          <a:ln>
                            <a:noFill/>
                          </a:ln>
                        </pic:spPr>
                      </pic:pic>
                    </a:graphicData>
                  </a:graphic>
                </wp:inline>
              </w:drawing>
            </w:r>
          </w:p>
        </w:tc>
        <w:tc>
          <w:tcPr>
            <w:tcW w:w="3799" w:type="dxa"/>
            <w:gridSpan w:val="2"/>
            <w:vAlign w:val="center"/>
          </w:tcPr>
          <w:p w:rsidR="00E35632" w:rsidRDefault="00E35632">
            <w:pPr>
              <w:pStyle w:val="ConsPlusNormal"/>
              <w:jc w:val="center"/>
            </w:pPr>
            <w:r>
              <w:t xml:space="preserve">Коэффициент </w:t>
            </w:r>
            <w:r>
              <w:rPr>
                <w:noProof/>
                <w:position w:val="-8"/>
              </w:rPr>
              <w:drawing>
                <wp:inline distT="0" distB="0" distL="0" distR="0">
                  <wp:extent cx="241935" cy="251460"/>
                  <wp:effectExtent l="0" t="0" r="0" b="0"/>
                  <wp:docPr id="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для сооружений с жесткой конструктивной схемой при отношении длины сооружения или его отсека к высоте </w:t>
            </w:r>
            <w:r>
              <w:rPr>
                <w:i/>
              </w:rPr>
              <w:t>L/H</w:t>
            </w:r>
            <w:r>
              <w:t>, равном</w:t>
            </w:r>
          </w:p>
        </w:tc>
      </w:tr>
      <w:tr w:rsidR="00E35632">
        <w:tc>
          <w:tcPr>
            <w:tcW w:w="3660" w:type="dxa"/>
            <w:vMerge/>
          </w:tcPr>
          <w:p w:rsidR="00E35632" w:rsidRDefault="00E35632">
            <w:pPr>
              <w:pStyle w:val="ConsPlusNormal"/>
            </w:pPr>
          </w:p>
        </w:tc>
        <w:tc>
          <w:tcPr>
            <w:tcW w:w="1601" w:type="dxa"/>
            <w:vMerge/>
          </w:tcPr>
          <w:p w:rsidR="00E35632" w:rsidRDefault="00E35632">
            <w:pPr>
              <w:pStyle w:val="ConsPlusNormal"/>
            </w:pPr>
          </w:p>
        </w:tc>
        <w:tc>
          <w:tcPr>
            <w:tcW w:w="1978" w:type="dxa"/>
            <w:vAlign w:val="center"/>
          </w:tcPr>
          <w:p w:rsidR="00E35632" w:rsidRDefault="00E35632">
            <w:pPr>
              <w:pStyle w:val="ConsPlusNormal"/>
              <w:jc w:val="center"/>
            </w:pPr>
            <w:r>
              <w:t>4 и более</w:t>
            </w:r>
          </w:p>
        </w:tc>
        <w:tc>
          <w:tcPr>
            <w:tcW w:w="1821" w:type="dxa"/>
            <w:vAlign w:val="center"/>
          </w:tcPr>
          <w:p w:rsidR="00E35632" w:rsidRDefault="00E35632">
            <w:pPr>
              <w:pStyle w:val="ConsPlusNormal"/>
              <w:jc w:val="center"/>
            </w:pPr>
            <w:r>
              <w:t>1,5 и менее</w:t>
            </w:r>
          </w:p>
        </w:tc>
      </w:tr>
      <w:tr w:rsidR="00E35632">
        <w:tc>
          <w:tcPr>
            <w:tcW w:w="3660" w:type="dxa"/>
          </w:tcPr>
          <w:p w:rsidR="00E35632" w:rsidRDefault="00E35632">
            <w:pPr>
              <w:pStyle w:val="ConsPlusNormal"/>
            </w:pPr>
            <w:r>
              <w:t>Крупнообломочные с песчаным заполнителем и пески, кроме мелких и пылеватых</w:t>
            </w:r>
          </w:p>
        </w:tc>
        <w:tc>
          <w:tcPr>
            <w:tcW w:w="1601" w:type="dxa"/>
          </w:tcPr>
          <w:p w:rsidR="00E35632" w:rsidRDefault="00E35632">
            <w:pPr>
              <w:pStyle w:val="ConsPlusNormal"/>
              <w:jc w:val="center"/>
            </w:pPr>
            <w:r>
              <w:t>1,4</w:t>
            </w:r>
          </w:p>
        </w:tc>
        <w:tc>
          <w:tcPr>
            <w:tcW w:w="1978" w:type="dxa"/>
          </w:tcPr>
          <w:p w:rsidR="00E35632" w:rsidRDefault="00E35632">
            <w:pPr>
              <w:pStyle w:val="ConsPlusNormal"/>
              <w:jc w:val="center"/>
            </w:pPr>
            <w:r>
              <w:t>1,2</w:t>
            </w:r>
          </w:p>
        </w:tc>
        <w:tc>
          <w:tcPr>
            <w:tcW w:w="1821" w:type="dxa"/>
          </w:tcPr>
          <w:p w:rsidR="00E35632" w:rsidRDefault="00E35632">
            <w:pPr>
              <w:pStyle w:val="ConsPlusNormal"/>
              <w:jc w:val="center"/>
            </w:pPr>
            <w:r>
              <w:t>1,4</w:t>
            </w:r>
          </w:p>
        </w:tc>
      </w:tr>
      <w:tr w:rsidR="00E35632">
        <w:tc>
          <w:tcPr>
            <w:tcW w:w="3660" w:type="dxa"/>
          </w:tcPr>
          <w:p w:rsidR="00E35632" w:rsidRDefault="00E35632">
            <w:pPr>
              <w:pStyle w:val="ConsPlusNormal"/>
            </w:pPr>
            <w:r>
              <w:t>Пески мелкие</w:t>
            </w:r>
          </w:p>
        </w:tc>
        <w:tc>
          <w:tcPr>
            <w:tcW w:w="1601" w:type="dxa"/>
          </w:tcPr>
          <w:p w:rsidR="00E35632" w:rsidRDefault="00E35632">
            <w:pPr>
              <w:pStyle w:val="ConsPlusNormal"/>
              <w:jc w:val="center"/>
            </w:pPr>
            <w:r>
              <w:t>1,3</w:t>
            </w:r>
          </w:p>
        </w:tc>
        <w:tc>
          <w:tcPr>
            <w:tcW w:w="1978" w:type="dxa"/>
          </w:tcPr>
          <w:p w:rsidR="00E35632" w:rsidRDefault="00E35632">
            <w:pPr>
              <w:pStyle w:val="ConsPlusNormal"/>
              <w:jc w:val="center"/>
            </w:pPr>
            <w:r>
              <w:t>1,1</w:t>
            </w:r>
          </w:p>
        </w:tc>
        <w:tc>
          <w:tcPr>
            <w:tcW w:w="1821" w:type="dxa"/>
          </w:tcPr>
          <w:p w:rsidR="00E35632" w:rsidRDefault="00E35632">
            <w:pPr>
              <w:pStyle w:val="ConsPlusNormal"/>
              <w:jc w:val="center"/>
            </w:pPr>
            <w:r>
              <w:t>1,3</w:t>
            </w:r>
          </w:p>
        </w:tc>
      </w:tr>
      <w:tr w:rsidR="00E35632">
        <w:tc>
          <w:tcPr>
            <w:tcW w:w="3660" w:type="dxa"/>
          </w:tcPr>
          <w:p w:rsidR="00E35632" w:rsidRDefault="00E35632">
            <w:pPr>
              <w:pStyle w:val="ConsPlusNormal"/>
            </w:pPr>
            <w:r>
              <w:t>Пески пылеватые: маловлажные и влажные, насыщенные водой</w:t>
            </w:r>
          </w:p>
        </w:tc>
        <w:tc>
          <w:tcPr>
            <w:tcW w:w="1601" w:type="dxa"/>
          </w:tcPr>
          <w:p w:rsidR="00E35632" w:rsidRDefault="00E35632">
            <w:pPr>
              <w:pStyle w:val="ConsPlusNormal"/>
              <w:jc w:val="center"/>
            </w:pPr>
            <w:r>
              <w:t>1,25</w:t>
            </w:r>
          </w:p>
          <w:p w:rsidR="00E35632" w:rsidRDefault="00E35632">
            <w:pPr>
              <w:pStyle w:val="ConsPlusNormal"/>
              <w:jc w:val="center"/>
            </w:pPr>
            <w:r>
              <w:t>1,1</w:t>
            </w:r>
          </w:p>
        </w:tc>
        <w:tc>
          <w:tcPr>
            <w:tcW w:w="1978" w:type="dxa"/>
          </w:tcPr>
          <w:p w:rsidR="00E35632" w:rsidRDefault="00E35632">
            <w:pPr>
              <w:pStyle w:val="ConsPlusNormal"/>
              <w:jc w:val="center"/>
            </w:pPr>
            <w:r>
              <w:t>1,0</w:t>
            </w:r>
          </w:p>
          <w:p w:rsidR="00E35632" w:rsidRDefault="00E35632">
            <w:pPr>
              <w:pStyle w:val="ConsPlusNormal"/>
              <w:jc w:val="center"/>
            </w:pPr>
            <w:r>
              <w:t>1,0</w:t>
            </w:r>
          </w:p>
        </w:tc>
        <w:tc>
          <w:tcPr>
            <w:tcW w:w="1821" w:type="dxa"/>
          </w:tcPr>
          <w:p w:rsidR="00E35632" w:rsidRDefault="00E35632">
            <w:pPr>
              <w:pStyle w:val="ConsPlusNormal"/>
              <w:jc w:val="center"/>
            </w:pPr>
            <w:r>
              <w:t>1,2</w:t>
            </w:r>
          </w:p>
          <w:p w:rsidR="00E35632" w:rsidRDefault="00E35632">
            <w:pPr>
              <w:pStyle w:val="ConsPlusNormal"/>
              <w:jc w:val="center"/>
            </w:pPr>
            <w:r>
              <w:t>1,2</w:t>
            </w:r>
          </w:p>
        </w:tc>
      </w:tr>
      <w:tr w:rsidR="00E35632">
        <w:tc>
          <w:tcPr>
            <w:tcW w:w="3660" w:type="dxa"/>
          </w:tcPr>
          <w:p w:rsidR="00E35632" w:rsidRDefault="00E35632">
            <w:pPr>
              <w:pStyle w:val="ConsPlusNormal"/>
            </w:pPr>
            <w:r>
              <w:t xml:space="preserve">Глинистые, а также крупнообломочные с глинистым заполнителем с показателем текучести грунта или заполнителя </w:t>
            </w:r>
            <w:r>
              <w:rPr>
                <w:i/>
              </w:rPr>
              <w:t>I</w:t>
            </w:r>
            <w:r>
              <w:rPr>
                <w:i/>
                <w:vertAlign w:val="subscript"/>
              </w:rPr>
              <w:t>L</w:t>
            </w:r>
            <w:r>
              <w:t xml:space="preserve"> &lt;= 0,25</w:t>
            </w:r>
          </w:p>
        </w:tc>
        <w:tc>
          <w:tcPr>
            <w:tcW w:w="1601" w:type="dxa"/>
          </w:tcPr>
          <w:p w:rsidR="00E35632" w:rsidRDefault="00E35632">
            <w:pPr>
              <w:pStyle w:val="ConsPlusNormal"/>
              <w:jc w:val="center"/>
            </w:pPr>
            <w:r>
              <w:t>1,25</w:t>
            </w:r>
          </w:p>
        </w:tc>
        <w:tc>
          <w:tcPr>
            <w:tcW w:w="1978" w:type="dxa"/>
          </w:tcPr>
          <w:p w:rsidR="00E35632" w:rsidRDefault="00E35632">
            <w:pPr>
              <w:pStyle w:val="ConsPlusNormal"/>
              <w:jc w:val="center"/>
            </w:pPr>
            <w:r>
              <w:t>1,0</w:t>
            </w:r>
          </w:p>
        </w:tc>
        <w:tc>
          <w:tcPr>
            <w:tcW w:w="1821" w:type="dxa"/>
          </w:tcPr>
          <w:p w:rsidR="00E35632" w:rsidRDefault="00E35632">
            <w:pPr>
              <w:pStyle w:val="ConsPlusNormal"/>
              <w:jc w:val="center"/>
            </w:pPr>
            <w:r>
              <w:t>1,1</w:t>
            </w:r>
          </w:p>
        </w:tc>
      </w:tr>
      <w:tr w:rsidR="00E35632">
        <w:tc>
          <w:tcPr>
            <w:tcW w:w="3660" w:type="dxa"/>
          </w:tcPr>
          <w:p w:rsidR="00E35632" w:rsidRDefault="00E35632">
            <w:pPr>
              <w:pStyle w:val="ConsPlusNormal"/>
            </w:pPr>
            <w:r>
              <w:t xml:space="preserve">То же, при 0,25 &lt; </w:t>
            </w:r>
            <w:r>
              <w:rPr>
                <w:i/>
              </w:rPr>
              <w:t>I</w:t>
            </w:r>
            <w:r>
              <w:rPr>
                <w:i/>
                <w:vertAlign w:val="subscript"/>
              </w:rPr>
              <w:t>L</w:t>
            </w:r>
            <w:r>
              <w:t xml:space="preserve"> &lt;= 0,5</w:t>
            </w:r>
          </w:p>
        </w:tc>
        <w:tc>
          <w:tcPr>
            <w:tcW w:w="1601" w:type="dxa"/>
          </w:tcPr>
          <w:p w:rsidR="00E35632" w:rsidRDefault="00E35632">
            <w:pPr>
              <w:pStyle w:val="ConsPlusNormal"/>
              <w:jc w:val="center"/>
            </w:pPr>
            <w:r>
              <w:t>1,2</w:t>
            </w:r>
          </w:p>
        </w:tc>
        <w:tc>
          <w:tcPr>
            <w:tcW w:w="1978" w:type="dxa"/>
          </w:tcPr>
          <w:p w:rsidR="00E35632" w:rsidRDefault="00E35632">
            <w:pPr>
              <w:pStyle w:val="ConsPlusNormal"/>
              <w:jc w:val="center"/>
            </w:pPr>
            <w:r>
              <w:t>1,0</w:t>
            </w:r>
          </w:p>
        </w:tc>
        <w:tc>
          <w:tcPr>
            <w:tcW w:w="1821" w:type="dxa"/>
          </w:tcPr>
          <w:p w:rsidR="00E35632" w:rsidRDefault="00E35632">
            <w:pPr>
              <w:pStyle w:val="ConsPlusNormal"/>
              <w:jc w:val="center"/>
            </w:pPr>
            <w:r>
              <w:t>1,1</w:t>
            </w:r>
          </w:p>
        </w:tc>
      </w:tr>
      <w:tr w:rsidR="00E35632">
        <w:tc>
          <w:tcPr>
            <w:tcW w:w="3660" w:type="dxa"/>
          </w:tcPr>
          <w:p w:rsidR="00E35632" w:rsidRDefault="00E35632">
            <w:pPr>
              <w:pStyle w:val="ConsPlusNormal"/>
            </w:pPr>
            <w:r>
              <w:t xml:space="preserve">То же, при </w:t>
            </w:r>
            <w:r>
              <w:rPr>
                <w:i/>
              </w:rPr>
              <w:t>I</w:t>
            </w:r>
            <w:r>
              <w:rPr>
                <w:i/>
                <w:vertAlign w:val="subscript"/>
              </w:rPr>
              <w:t>L</w:t>
            </w:r>
            <w:r>
              <w:t xml:space="preserve"> &gt; 0,5</w:t>
            </w:r>
          </w:p>
        </w:tc>
        <w:tc>
          <w:tcPr>
            <w:tcW w:w="1601" w:type="dxa"/>
          </w:tcPr>
          <w:p w:rsidR="00E35632" w:rsidRDefault="00E35632">
            <w:pPr>
              <w:pStyle w:val="ConsPlusNormal"/>
              <w:jc w:val="center"/>
            </w:pPr>
            <w:r>
              <w:t>1,1</w:t>
            </w:r>
          </w:p>
        </w:tc>
        <w:tc>
          <w:tcPr>
            <w:tcW w:w="1978" w:type="dxa"/>
          </w:tcPr>
          <w:p w:rsidR="00E35632" w:rsidRDefault="00E35632">
            <w:pPr>
              <w:pStyle w:val="ConsPlusNormal"/>
              <w:jc w:val="center"/>
            </w:pPr>
            <w:r>
              <w:t>1,0</w:t>
            </w:r>
          </w:p>
        </w:tc>
        <w:tc>
          <w:tcPr>
            <w:tcW w:w="1821" w:type="dxa"/>
          </w:tcPr>
          <w:p w:rsidR="00E35632" w:rsidRDefault="00E35632">
            <w:pPr>
              <w:pStyle w:val="ConsPlusNormal"/>
              <w:jc w:val="center"/>
            </w:pPr>
            <w:r>
              <w:t>1,0</w:t>
            </w:r>
          </w:p>
        </w:tc>
      </w:tr>
      <w:tr w:rsidR="00E35632">
        <w:tc>
          <w:tcPr>
            <w:tcW w:w="9060" w:type="dxa"/>
            <w:gridSpan w:val="4"/>
          </w:tcPr>
          <w:p w:rsidR="00E35632" w:rsidRDefault="00E35632">
            <w:pPr>
              <w:pStyle w:val="ConsPlusNormal"/>
              <w:ind w:firstLine="283"/>
              <w:jc w:val="both"/>
            </w:pPr>
            <w:r>
              <w:t>Примечания</w:t>
            </w:r>
          </w:p>
          <w:p w:rsidR="00E35632" w:rsidRDefault="00E35632">
            <w:pPr>
              <w:pStyle w:val="ConsPlusNormal"/>
              <w:ind w:firstLine="283"/>
              <w:jc w:val="both"/>
            </w:pPr>
            <w:r>
              <w:t xml:space="preserve">1 К сооружениям с жесткой конструктивной схемой относят сооружения, конструкции которых специально приспособлены к восприятию усилий от деформации оснований, в том числе за счет мероприятий, указанных в </w:t>
            </w:r>
            <w:hyperlink w:anchor="P2257">
              <w:r>
                <w:rPr>
                  <w:color w:val="0000FF"/>
                </w:rPr>
                <w:t>5.9</w:t>
              </w:r>
            </w:hyperlink>
            <w:r>
              <w:t>.</w:t>
            </w:r>
          </w:p>
          <w:p w:rsidR="00E35632" w:rsidRDefault="00E35632">
            <w:pPr>
              <w:pStyle w:val="ConsPlusNormal"/>
              <w:ind w:firstLine="283"/>
              <w:jc w:val="both"/>
            </w:pPr>
            <w:r>
              <w:t xml:space="preserve">2 Для зданий с гибкой конструктивной схемой значение коэффициента </w:t>
            </w:r>
            <w:r>
              <w:rPr>
                <w:noProof/>
                <w:position w:val="-8"/>
              </w:rPr>
              <w:drawing>
                <wp:inline distT="0" distB="0" distL="0" distR="0">
                  <wp:extent cx="241935" cy="251460"/>
                  <wp:effectExtent l="0" t="0" r="0" b="0"/>
                  <wp:docPr id="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принимают равным единице.</w:t>
            </w:r>
          </w:p>
          <w:p w:rsidR="00E35632" w:rsidRDefault="00E35632">
            <w:pPr>
              <w:pStyle w:val="ConsPlusNormal"/>
              <w:ind w:firstLine="283"/>
              <w:jc w:val="both"/>
            </w:pPr>
            <w:r>
              <w:t xml:space="preserve">3 При промежуточных значениях </w:t>
            </w:r>
            <w:r>
              <w:rPr>
                <w:i/>
              </w:rPr>
              <w:t>L/H</w:t>
            </w:r>
            <w:r>
              <w:t xml:space="preserve"> коэффициент </w:t>
            </w:r>
            <w:r>
              <w:rPr>
                <w:noProof/>
                <w:position w:val="-8"/>
              </w:rPr>
              <w:drawing>
                <wp:inline distT="0" distB="0" distL="0" distR="0">
                  <wp:extent cx="241935" cy="251460"/>
                  <wp:effectExtent l="0" t="0" r="0" b="0"/>
                  <wp:docPr id="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определяют интерполяцией.</w:t>
            </w:r>
          </w:p>
          <w:p w:rsidR="00E35632" w:rsidRDefault="00E35632">
            <w:pPr>
              <w:pStyle w:val="ConsPlusNormal"/>
              <w:ind w:firstLine="283"/>
              <w:jc w:val="both"/>
            </w:pPr>
            <w:r>
              <w:t xml:space="preserve">4 Для рыхлых песков </w:t>
            </w:r>
            <w:r>
              <w:rPr>
                <w:noProof/>
                <w:position w:val="-8"/>
              </w:rPr>
              <w:drawing>
                <wp:inline distT="0" distB="0" distL="0" distR="0">
                  <wp:extent cx="226060" cy="251460"/>
                  <wp:effectExtent l="0" t="0" r="0" b="0"/>
                  <wp:docPr id="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226060" cy="251460"/>
                          </a:xfrm>
                          <a:prstGeom prst="rect">
                            <a:avLst/>
                          </a:prstGeom>
                          <a:noFill/>
                          <a:ln>
                            <a:noFill/>
                          </a:ln>
                        </pic:spPr>
                      </pic:pic>
                    </a:graphicData>
                  </a:graphic>
                </wp:inline>
              </w:drawing>
            </w:r>
            <w:r>
              <w:t xml:space="preserve"> и </w:t>
            </w:r>
            <w:r>
              <w:rPr>
                <w:noProof/>
                <w:position w:val="-8"/>
              </w:rPr>
              <w:drawing>
                <wp:inline distT="0" distB="0" distL="0" distR="0">
                  <wp:extent cx="241935" cy="251460"/>
                  <wp:effectExtent l="0" t="0" r="0" b="0"/>
                  <wp:docPr id="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принимают равными единице.</w:t>
            </w:r>
          </w:p>
        </w:tc>
      </w:tr>
    </w:tbl>
    <w:p w:rsidR="00E35632" w:rsidRDefault="00E35632">
      <w:pPr>
        <w:pStyle w:val="ConsPlusNormal"/>
        <w:jc w:val="both"/>
      </w:pPr>
    </w:p>
    <w:p w:rsidR="00E35632" w:rsidRDefault="00E35632">
      <w:pPr>
        <w:pStyle w:val="ConsPlusNormal"/>
        <w:jc w:val="right"/>
      </w:pPr>
      <w:bookmarkStart w:id="53" w:name="P918"/>
      <w:bookmarkEnd w:id="53"/>
      <w:r>
        <w:t>Таблица 5.5</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380"/>
        <w:gridCol w:w="1560"/>
        <w:gridCol w:w="1560"/>
        <w:gridCol w:w="1560"/>
      </w:tblGrid>
      <w:tr w:rsidR="00E35632">
        <w:tc>
          <w:tcPr>
            <w:tcW w:w="4380" w:type="dxa"/>
            <w:vMerge w:val="restart"/>
            <w:vAlign w:val="center"/>
          </w:tcPr>
          <w:p w:rsidR="00E35632" w:rsidRDefault="00E35632">
            <w:pPr>
              <w:pStyle w:val="ConsPlusNormal"/>
              <w:jc w:val="center"/>
            </w:pPr>
            <w:r>
              <w:t xml:space="preserve">Угол внутреннего трения </w:t>
            </w:r>
            <w:r>
              <w:rPr>
                <w:noProof/>
                <w:position w:val="-8"/>
              </w:rPr>
              <w:drawing>
                <wp:inline distT="0" distB="0" distL="0" distR="0">
                  <wp:extent cx="209550" cy="251460"/>
                  <wp:effectExtent l="0" t="0" r="0" b="0"/>
                  <wp:docPr id="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град</w:t>
            </w:r>
          </w:p>
        </w:tc>
        <w:tc>
          <w:tcPr>
            <w:tcW w:w="4680" w:type="dxa"/>
            <w:gridSpan w:val="3"/>
            <w:vAlign w:val="center"/>
          </w:tcPr>
          <w:p w:rsidR="00E35632" w:rsidRDefault="00E35632">
            <w:pPr>
              <w:pStyle w:val="ConsPlusNormal"/>
              <w:jc w:val="center"/>
            </w:pPr>
            <w:r>
              <w:t>Коэффициенты</w:t>
            </w:r>
          </w:p>
        </w:tc>
      </w:tr>
      <w:tr w:rsidR="00E35632">
        <w:tc>
          <w:tcPr>
            <w:tcW w:w="4380" w:type="dxa"/>
            <w:vMerge/>
          </w:tcPr>
          <w:p w:rsidR="00E35632" w:rsidRDefault="00E35632">
            <w:pPr>
              <w:pStyle w:val="ConsPlusNormal"/>
            </w:pPr>
          </w:p>
        </w:tc>
        <w:tc>
          <w:tcPr>
            <w:tcW w:w="1560" w:type="dxa"/>
            <w:vAlign w:val="center"/>
          </w:tcPr>
          <w:p w:rsidR="00E35632" w:rsidRDefault="00E35632">
            <w:pPr>
              <w:pStyle w:val="ConsPlusNormal"/>
              <w:jc w:val="center"/>
            </w:pPr>
            <w:r>
              <w:rPr>
                <w:noProof/>
                <w:position w:val="-10"/>
              </w:rPr>
              <w:drawing>
                <wp:inline distT="0" distB="0" distL="0" distR="0">
                  <wp:extent cx="267970" cy="267970"/>
                  <wp:effectExtent l="0" t="0" r="0" b="0"/>
                  <wp:docPr id="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p>
        </w:tc>
        <w:tc>
          <w:tcPr>
            <w:tcW w:w="1560" w:type="dxa"/>
            <w:vAlign w:val="center"/>
          </w:tcPr>
          <w:p w:rsidR="00E35632" w:rsidRDefault="00E35632">
            <w:pPr>
              <w:pStyle w:val="ConsPlusNormal"/>
              <w:jc w:val="center"/>
            </w:pPr>
            <w:r>
              <w:rPr>
                <w:i/>
              </w:rPr>
              <w:t>M</w:t>
            </w:r>
            <w:r>
              <w:rPr>
                <w:i/>
                <w:vertAlign w:val="subscript"/>
              </w:rPr>
              <w:t>q</w:t>
            </w:r>
          </w:p>
        </w:tc>
        <w:tc>
          <w:tcPr>
            <w:tcW w:w="1560" w:type="dxa"/>
            <w:vAlign w:val="center"/>
          </w:tcPr>
          <w:p w:rsidR="00E35632" w:rsidRDefault="00E35632">
            <w:pPr>
              <w:pStyle w:val="ConsPlusNormal"/>
              <w:jc w:val="center"/>
            </w:pPr>
            <w:r>
              <w:rPr>
                <w:i/>
              </w:rPr>
              <w:t>M</w:t>
            </w:r>
            <w:r>
              <w:rPr>
                <w:i/>
                <w:vertAlign w:val="subscript"/>
              </w:rPr>
              <w:t>c</w:t>
            </w:r>
          </w:p>
        </w:tc>
      </w:tr>
      <w:tr w:rsidR="00E35632">
        <w:tc>
          <w:tcPr>
            <w:tcW w:w="4380" w:type="dxa"/>
          </w:tcPr>
          <w:p w:rsidR="00E35632" w:rsidRDefault="00E35632">
            <w:pPr>
              <w:pStyle w:val="ConsPlusNormal"/>
              <w:jc w:val="center"/>
            </w:pPr>
            <w:r>
              <w:t>0</w:t>
            </w:r>
          </w:p>
        </w:tc>
        <w:tc>
          <w:tcPr>
            <w:tcW w:w="1560" w:type="dxa"/>
          </w:tcPr>
          <w:p w:rsidR="00E35632" w:rsidRDefault="00E35632">
            <w:pPr>
              <w:pStyle w:val="ConsPlusNormal"/>
              <w:jc w:val="center"/>
            </w:pPr>
            <w:r>
              <w:t>0</w:t>
            </w:r>
          </w:p>
        </w:tc>
        <w:tc>
          <w:tcPr>
            <w:tcW w:w="1560" w:type="dxa"/>
          </w:tcPr>
          <w:p w:rsidR="00E35632" w:rsidRDefault="00E35632">
            <w:pPr>
              <w:pStyle w:val="ConsPlusNormal"/>
              <w:jc w:val="center"/>
            </w:pPr>
            <w:r>
              <w:t>1,00</w:t>
            </w:r>
          </w:p>
        </w:tc>
        <w:tc>
          <w:tcPr>
            <w:tcW w:w="1560" w:type="dxa"/>
          </w:tcPr>
          <w:p w:rsidR="00E35632" w:rsidRDefault="00E35632">
            <w:pPr>
              <w:pStyle w:val="ConsPlusNormal"/>
              <w:jc w:val="center"/>
            </w:pPr>
            <w:r>
              <w:t>3,14</w:t>
            </w:r>
          </w:p>
        </w:tc>
      </w:tr>
      <w:tr w:rsidR="00E35632">
        <w:tc>
          <w:tcPr>
            <w:tcW w:w="4380" w:type="dxa"/>
          </w:tcPr>
          <w:p w:rsidR="00E35632" w:rsidRDefault="00E35632">
            <w:pPr>
              <w:pStyle w:val="ConsPlusNormal"/>
              <w:jc w:val="center"/>
            </w:pPr>
            <w:r>
              <w:t>1</w:t>
            </w:r>
          </w:p>
        </w:tc>
        <w:tc>
          <w:tcPr>
            <w:tcW w:w="1560" w:type="dxa"/>
          </w:tcPr>
          <w:p w:rsidR="00E35632" w:rsidRDefault="00E35632">
            <w:pPr>
              <w:pStyle w:val="ConsPlusNormal"/>
              <w:jc w:val="center"/>
            </w:pPr>
            <w:r>
              <w:t>0,01</w:t>
            </w:r>
          </w:p>
        </w:tc>
        <w:tc>
          <w:tcPr>
            <w:tcW w:w="1560" w:type="dxa"/>
          </w:tcPr>
          <w:p w:rsidR="00E35632" w:rsidRDefault="00E35632">
            <w:pPr>
              <w:pStyle w:val="ConsPlusNormal"/>
              <w:jc w:val="center"/>
            </w:pPr>
            <w:r>
              <w:t>1,06</w:t>
            </w:r>
          </w:p>
        </w:tc>
        <w:tc>
          <w:tcPr>
            <w:tcW w:w="1560" w:type="dxa"/>
          </w:tcPr>
          <w:p w:rsidR="00E35632" w:rsidRDefault="00E35632">
            <w:pPr>
              <w:pStyle w:val="ConsPlusNormal"/>
              <w:jc w:val="center"/>
            </w:pPr>
            <w:r>
              <w:t>3,23</w:t>
            </w:r>
          </w:p>
        </w:tc>
      </w:tr>
      <w:tr w:rsidR="00E35632">
        <w:tc>
          <w:tcPr>
            <w:tcW w:w="4380" w:type="dxa"/>
          </w:tcPr>
          <w:p w:rsidR="00E35632" w:rsidRDefault="00E35632">
            <w:pPr>
              <w:pStyle w:val="ConsPlusNormal"/>
              <w:jc w:val="center"/>
            </w:pPr>
            <w:r>
              <w:t>2</w:t>
            </w:r>
          </w:p>
        </w:tc>
        <w:tc>
          <w:tcPr>
            <w:tcW w:w="1560" w:type="dxa"/>
          </w:tcPr>
          <w:p w:rsidR="00E35632" w:rsidRDefault="00E35632">
            <w:pPr>
              <w:pStyle w:val="ConsPlusNormal"/>
              <w:jc w:val="center"/>
            </w:pPr>
            <w:r>
              <w:t>0,03</w:t>
            </w:r>
          </w:p>
        </w:tc>
        <w:tc>
          <w:tcPr>
            <w:tcW w:w="1560" w:type="dxa"/>
          </w:tcPr>
          <w:p w:rsidR="00E35632" w:rsidRDefault="00E35632">
            <w:pPr>
              <w:pStyle w:val="ConsPlusNormal"/>
              <w:jc w:val="center"/>
            </w:pPr>
            <w:r>
              <w:t>1,12</w:t>
            </w:r>
          </w:p>
        </w:tc>
        <w:tc>
          <w:tcPr>
            <w:tcW w:w="1560" w:type="dxa"/>
          </w:tcPr>
          <w:p w:rsidR="00E35632" w:rsidRDefault="00E35632">
            <w:pPr>
              <w:pStyle w:val="ConsPlusNormal"/>
              <w:jc w:val="center"/>
            </w:pPr>
            <w:r>
              <w:t>3,32</w:t>
            </w:r>
          </w:p>
        </w:tc>
      </w:tr>
      <w:tr w:rsidR="00E35632">
        <w:tc>
          <w:tcPr>
            <w:tcW w:w="4380" w:type="dxa"/>
          </w:tcPr>
          <w:p w:rsidR="00E35632" w:rsidRDefault="00E35632">
            <w:pPr>
              <w:pStyle w:val="ConsPlusNormal"/>
              <w:jc w:val="center"/>
            </w:pPr>
            <w:r>
              <w:t>3</w:t>
            </w:r>
          </w:p>
        </w:tc>
        <w:tc>
          <w:tcPr>
            <w:tcW w:w="1560" w:type="dxa"/>
          </w:tcPr>
          <w:p w:rsidR="00E35632" w:rsidRDefault="00E35632">
            <w:pPr>
              <w:pStyle w:val="ConsPlusNormal"/>
              <w:jc w:val="center"/>
            </w:pPr>
            <w:r>
              <w:t>0,04</w:t>
            </w:r>
          </w:p>
        </w:tc>
        <w:tc>
          <w:tcPr>
            <w:tcW w:w="1560" w:type="dxa"/>
          </w:tcPr>
          <w:p w:rsidR="00E35632" w:rsidRDefault="00E35632">
            <w:pPr>
              <w:pStyle w:val="ConsPlusNormal"/>
              <w:jc w:val="center"/>
            </w:pPr>
            <w:r>
              <w:t>1,18</w:t>
            </w:r>
          </w:p>
        </w:tc>
        <w:tc>
          <w:tcPr>
            <w:tcW w:w="1560" w:type="dxa"/>
          </w:tcPr>
          <w:p w:rsidR="00E35632" w:rsidRDefault="00E35632">
            <w:pPr>
              <w:pStyle w:val="ConsPlusNormal"/>
              <w:jc w:val="center"/>
            </w:pPr>
            <w:r>
              <w:t>3,41</w:t>
            </w:r>
          </w:p>
        </w:tc>
      </w:tr>
      <w:tr w:rsidR="00E35632">
        <w:tc>
          <w:tcPr>
            <w:tcW w:w="4380" w:type="dxa"/>
          </w:tcPr>
          <w:p w:rsidR="00E35632" w:rsidRDefault="00E35632">
            <w:pPr>
              <w:pStyle w:val="ConsPlusNormal"/>
              <w:jc w:val="center"/>
            </w:pPr>
            <w:r>
              <w:t>4</w:t>
            </w:r>
          </w:p>
        </w:tc>
        <w:tc>
          <w:tcPr>
            <w:tcW w:w="1560" w:type="dxa"/>
          </w:tcPr>
          <w:p w:rsidR="00E35632" w:rsidRDefault="00E35632">
            <w:pPr>
              <w:pStyle w:val="ConsPlusNormal"/>
              <w:jc w:val="center"/>
            </w:pPr>
            <w:r>
              <w:t>0,06</w:t>
            </w:r>
          </w:p>
        </w:tc>
        <w:tc>
          <w:tcPr>
            <w:tcW w:w="1560" w:type="dxa"/>
          </w:tcPr>
          <w:p w:rsidR="00E35632" w:rsidRDefault="00E35632">
            <w:pPr>
              <w:pStyle w:val="ConsPlusNormal"/>
              <w:jc w:val="center"/>
            </w:pPr>
            <w:r>
              <w:t>1,25</w:t>
            </w:r>
          </w:p>
        </w:tc>
        <w:tc>
          <w:tcPr>
            <w:tcW w:w="1560" w:type="dxa"/>
          </w:tcPr>
          <w:p w:rsidR="00E35632" w:rsidRDefault="00E35632">
            <w:pPr>
              <w:pStyle w:val="ConsPlusNormal"/>
              <w:jc w:val="center"/>
            </w:pPr>
            <w:r>
              <w:t>3,51</w:t>
            </w:r>
          </w:p>
        </w:tc>
      </w:tr>
      <w:tr w:rsidR="00E35632">
        <w:tc>
          <w:tcPr>
            <w:tcW w:w="4380" w:type="dxa"/>
          </w:tcPr>
          <w:p w:rsidR="00E35632" w:rsidRDefault="00E35632">
            <w:pPr>
              <w:pStyle w:val="ConsPlusNormal"/>
              <w:jc w:val="center"/>
            </w:pPr>
            <w:r>
              <w:t>5</w:t>
            </w:r>
          </w:p>
        </w:tc>
        <w:tc>
          <w:tcPr>
            <w:tcW w:w="1560" w:type="dxa"/>
          </w:tcPr>
          <w:p w:rsidR="00E35632" w:rsidRDefault="00E35632">
            <w:pPr>
              <w:pStyle w:val="ConsPlusNormal"/>
              <w:jc w:val="center"/>
            </w:pPr>
            <w:r>
              <w:t>0,08</w:t>
            </w:r>
          </w:p>
        </w:tc>
        <w:tc>
          <w:tcPr>
            <w:tcW w:w="1560" w:type="dxa"/>
          </w:tcPr>
          <w:p w:rsidR="00E35632" w:rsidRDefault="00E35632">
            <w:pPr>
              <w:pStyle w:val="ConsPlusNormal"/>
              <w:jc w:val="center"/>
            </w:pPr>
            <w:r>
              <w:t>1,32</w:t>
            </w:r>
          </w:p>
        </w:tc>
        <w:tc>
          <w:tcPr>
            <w:tcW w:w="1560" w:type="dxa"/>
          </w:tcPr>
          <w:p w:rsidR="00E35632" w:rsidRDefault="00E35632">
            <w:pPr>
              <w:pStyle w:val="ConsPlusNormal"/>
              <w:jc w:val="center"/>
            </w:pPr>
            <w:r>
              <w:t>3,61</w:t>
            </w:r>
          </w:p>
        </w:tc>
      </w:tr>
      <w:tr w:rsidR="00E35632">
        <w:tc>
          <w:tcPr>
            <w:tcW w:w="4380" w:type="dxa"/>
          </w:tcPr>
          <w:p w:rsidR="00E35632" w:rsidRDefault="00E35632">
            <w:pPr>
              <w:pStyle w:val="ConsPlusNormal"/>
              <w:jc w:val="center"/>
            </w:pPr>
            <w:r>
              <w:lastRenderedPageBreak/>
              <w:t>6</w:t>
            </w:r>
          </w:p>
        </w:tc>
        <w:tc>
          <w:tcPr>
            <w:tcW w:w="1560" w:type="dxa"/>
          </w:tcPr>
          <w:p w:rsidR="00E35632" w:rsidRDefault="00E35632">
            <w:pPr>
              <w:pStyle w:val="ConsPlusNormal"/>
              <w:jc w:val="center"/>
            </w:pPr>
            <w:r>
              <w:t>0,10</w:t>
            </w:r>
          </w:p>
        </w:tc>
        <w:tc>
          <w:tcPr>
            <w:tcW w:w="1560" w:type="dxa"/>
          </w:tcPr>
          <w:p w:rsidR="00E35632" w:rsidRDefault="00E35632">
            <w:pPr>
              <w:pStyle w:val="ConsPlusNormal"/>
              <w:jc w:val="center"/>
            </w:pPr>
            <w:r>
              <w:t>1,39</w:t>
            </w:r>
          </w:p>
        </w:tc>
        <w:tc>
          <w:tcPr>
            <w:tcW w:w="1560" w:type="dxa"/>
          </w:tcPr>
          <w:p w:rsidR="00E35632" w:rsidRDefault="00E35632">
            <w:pPr>
              <w:pStyle w:val="ConsPlusNormal"/>
              <w:jc w:val="center"/>
            </w:pPr>
            <w:r>
              <w:t>3,71</w:t>
            </w:r>
          </w:p>
        </w:tc>
      </w:tr>
      <w:tr w:rsidR="00E35632">
        <w:tc>
          <w:tcPr>
            <w:tcW w:w="4380" w:type="dxa"/>
          </w:tcPr>
          <w:p w:rsidR="00E35632" w:rsidRDefault="00E35632">
            <w:pPr>
              <w:pStyle w:val="ConsPlusNormal"/>
              <w:jc w:val="center"/>
            </w:pPr>
            <w:r>
              <w:t>7</w:t>
            </w:r>
          </w:p>
        </w:tc>
        <w:tc>
          <w:tcPr>
            <w:tcW w:w="1560" w:type="dxa"/>
          </w:tcPr>
          <w:p w:rsidR="00E35632" w:rsidRDefault="00E35632">
            <w:pPr>
              <w:pStyle w:val="ConsPlusNormal"/>
              <w:jc w:val="center"/>
            </w:pPr>
            <w:r>
              <w:t>0,12</w:t>
            </w:r>
          </w:p>
        </w:tc>
        <w:tc>
          <w:tcPr>
            <w:tcW w:w="1560" w:type="dxa"/>
          </w:tcPr>
          <w:p w:rsidR="00E35632" w:rsidRDefault="00E35632">
            <w:pPr>
              <w:pStyle w:val="ConsPlusNormal"/>
              <w:jc w:val="center"/>
            </w:pPr>
            <w:r>
              <w:t>1,47</w:t>
            </w:r>
          </w:p>
        </w:tc>
        <w:tc>
          <w:tcPr>
            <w:tcW w:w="1560" w:type="dxa"/>
          </w:tcPr>
          <w:p w:rsidR="00E35632" w:rsidRDefault="00E35632">
            <w:pPr>
              <w:pStyle w:val="ConsPlusNormal"/>
              <w:jc w:val="center"/>
            </w:pPr>
            <w:r>
              <w:t>3,82</w:t>
            </w:r>
          </w:p>
        </w:tc>
      </w:tr>
      <w:tr w:rsidR="00E35632">
        <w:tc>
          <w:tcPr>
            <w:tcW w:w="4380" w:type="dxa"/>
          </w:tcPr>
          <w:p w:rsidR="00E35632" w:rsidRDefault="00E35632">
            <w:pPr>
              <w:pStyle w:val="ConsPlusNormal"/>
              <w:jc w:val="center"/>
            </w:pPr>
            <w:r>
              <w:t>8</w:t>
            </w:r>
          </w:p>
        </w:tc>
        <w:tc>
          <w:tcPr>
            <w:tcW w:w="1560" w:type="dxa"/>
          </w:tcPr>
          <w:p w:rsidR="00E35632" w:rsidRDefault="00E35632">
            <w:pPr>
              <w:pStyle w:val="ConsPlusNormal"/>
              <w:jc w:val="center"/>
            </w:pPr>
            <w:r>
              <w:t>0,14</w:t>
            </w:r>
          </w:p>
        </w:tc>
        <w:tc>
          <w:tcPr>
            <w:tcW w:w="1560" w:type="dxa"/>
          </w:tcPr>
          <w:p w:rsidR="00E35632" w:rsidRDefault="00E35632">
            <w:pPr>
              <w:pStyle w:val="ConsPlusNormal"/>
              <w:jc w:val="center"/>
            </w:pPr>
            <w:r>
              <w:t>1,55</w:t>
            </w:r>
          </w:p>
        </w:tc>
        <w:tc>
          <w:tcPr>
            <w:tcW w:w="1560" w:type="dxa"/>
            <w:vAlign w:val="center"/>
          </w:tcPr>
          <w:p w:rsidR="00E35632" w:rsidRDefault="00E35632">
            <w:pPr>
              <w:pStyle w:val="ConsPlusNormal"/>
              <w:jc w:val="center"/>
            </w:pPr>
            <w:r>
              <w:t>3,93</w:t>
            </w:r>
          </w:p>
        </w:tc>
      </w:tr>
      <w:tr w:rsidR="00E35632">
        <w:tc>
          <w:tcPr>
            <w:tcW w:w="4380" w:type="dxa"/>
          </w:tcPr>
          <w:p w:rsidR="00E35632" w:rsidRDefault="00E35632">
            <w:pPr>
              <w:pStyle w:val="ConsPlusNormal"/>
              <w:jc w:val="center"/>
            </w:pPr>
            <w:r>
              <w:t>9</w:t>
            </w:r>
          </w:p>
        </w:tc>
        <w:tc>
          <w:tcPr>
            <w:tcW w:w="1560" w:type="dxa"/>
          </w:tcPr>
          <w:p w:rsidR="00E35632" w:rsidRDefault="00E35632">
            <w:pPr>
              <w:pStyle w:val="ConsPlusNormal"/>
              <w:jc w:val="center"/>
            </w:pPr>
            <w:r>
              <w:t>0,16</w:t>
            </w:r>
          </w:p>
        </w:tc>
        <w:tc>
          <w:tcPr>
            <w:tcW w:w="1560" w:type="dxa"/>
          </w:tcPr>
          <w:p w:rsidR="00E35632" w:rsidRDefault="00E35632">
            <w:pPr>
              <w:pStyle w:val="ConsPlusNormal"/>
              <w:jc w:val="center"/>
            </w:pPr>
            <w:r>
              <w:t>1,64</w:t>
            </w:r>
          </w:p>
        </w:tc>
        <w:tc>
          <w:tcPr>
            <w:tcW w:w="1560" w:type="dxa"/>
          </w:tcPr>
          <w:p w:rsidR="00E35632" w:rsidRDefault="00E35632">
            <w:pPr>
              <w:pStyle w:val="ConsPlusNormal"/>
              <w:jc w:val="center"/>
            </w:pPr>
            <w:r>
              <w:t>4,05</w:t>
            </w:r>
          </w:p>
        </w:tc>
      </w:tr>
      <w:tr w:rsidR="00E35632">
        <w:tc>
          <w:tcPr>
            <w:tcW w:w="4380" w:type="dxa"/>
          </w:tcPr>
          <w:p w:rsidR="00E35632" w:rsidRDefault="00E35632">
            <w:pPr>
              <w:pStyle w:val="ConsPlusNormal"/>
              <w:jc w:val="center"/>
            </w:pPr>
            <w:r>
              <w:t>10</w:t>
            </w:r>
          </w:p>
        </w:tc>
        <w:tc>
          <w:tcPr>
            <w:tcW w:w="1560" w:type="dxa"/>
          </w:tcPr>
          <w:p w:rsidR="00E35632" w:rsidRDefault="00E35632">
            <w:pPr>
              <w:pStyle w:val="ConsPlusNormal"/>
              <w:jc w:val="center"/>
            </w:pPr>
            <w:r>
              <w:t>0,18</w:t>
            </w:r>
          </w:p>
        </w:tc>
        <w:tc>
          <w:tcPr>
            <w:tcW w:w="1560" w:type="dxa"/>
          </w:tcPr>
          <w:p w:rsidR="00E35632" w:rsidRDefault="00E35632">
            <w:pPr>
              <w:pStyle w:val="ConsPlusNormal"/>
              <w:jc w:val="center"/>
            </w:pPr>
            <w:r>
              <w:t>1,73</w:t>
            </w:r>
          </w:p>
        </w:tc>
        <w:tc>
          <w:tcPr>
            <w:tcW w:w="1560" w:type="dxa"/>
          </w:tcPr>
          <w:p w:rsidR="00E35632" w:rsidRDefault="00E35632">
            <w:pPr>
              <w:pStyle w:val="ConsPlusNormal"/>
              <w:jc w:val="center"/>
            </w:pPr>
            <w:r>
              <w:t>4,17</w:t>
            </w:r>
          </w:p>
        </w:tc>
      </w:tr>
      <w:tr w:rsidR="00E35632">
        <w:tc>
          <w:tcPr>
            <w:tcW w:w="4380" w:type="dxa"/>
          </w:tcPr>
          <w:p w:rsidR="00E35632" w:rsidRDefault="00E35632">
            <w:pPr>
              <w:pStyle w:val="ConsPlusNormal"/>
              <w:jc w:val="center"/>
            </w:pPr>
            <w:r>
              <w:t>11</w:t>
            </w:r>
          </w:p>
        </w:tc>
        <w:tc>
          <w:tcPr>
            <w:tcW w:w="1560" w:type="dxa"/>
          </w:tcPr>
          <w:p w:rsidR="00E35632" w:rsidRDefault="00E35632">
            <w:pPr>
              <w:pStyle w:val="ConsPlusNormal"/>
              <w:jc w:val="center"/>
            </w:pPr>
            <w:r>
              <w:t>0,21</w:t>
            </w:r>
          </w:p>
        </w:tc>
        <w:tc>
          <w:tcPr>
            <w:tcW w:w="1560" w:type="dxa"/>
          </w:tcPr>
          <w:p w:rsidR="00E35632" w:rsidRDefault="00E35632">
            <w:pPr>
              <w:pStyle w:val="ConsPlusNormal"/>
              <w:jc w:val="center"/>
            </w:pPr>
            <w:r>
              <w:t>1,83</w:t>
            </w:r>
          </w:p>
        </w:tc>
        <w:tc>
          <w:tcPr>
            <w:tcW w:w="1560" w:type="dxa"/>
          </w:tcPr>
          <w:p w:rsidR="00E35632" w:rsidRDefault="00E35632">
            <w:pPr>
              <w:pStyle w:val="ConsPlusNormal"/>
              <w:jc w:val="center"/>
            </w:pPr>
            <w:r>
              <w:t>4,29</w:t>
            </w:r>
          </w:p>
        </w:tc>
      </w:tr>
      <w:tr w:rsidR="00E35632">
        <w:tc>
          <w:tcPr>
            <w:tcW w:w="4380" w:type="dxa"/>
          </w:tcPr>
          <w:p w:rsidR="00E35632" w:rsidRDefault="00E35632">
            <w:pPr>
              <w:pStyle w:val="ConsPlusNormal"/>
              <w:jc w:val="center"/>
            </w:pPr>
            <w:r>
              <w:t>12</w:t>
            </w:r>
          </w:p>
        </w:tc>
        <w:tc>
          <w:tcPr>
            <w:tcW w:w="1560" w:type="dxa"/>
          </w:tcPr>
          <w:p w:rsidR="00E35632" w:rsidRDefault="00E35632">
            <w:pPr>
              <w:pStyle w:val="ConsPlusNormal"/>
              <w:jc w:val="center"/>
            </w:pPr>
            <w:r>
              <w:t>0,23</w:t>
            </w:r>
          </w:p>
        </w:tc>
        <w:tc>
          <w:tcPr>
            <w:tcW w:w="1560" w:type="dxa"/>
          </w:tcPr>
          <w:p w:rsidR="00E35632" w:rsidRDefault="00E35632">
            <w:pPr>
              <w:pStyle w:val="ConsPlusNormal"/>
              <w:jc w:val="center"/>
            </w:pPr>
            <w:r>
              <w:t>1,94</w:t>
            </w:r>
          </w:p>
        </w:tc>
        <w:tc>
          <w:tcPr>
            <w:tcW w:w="1560" w:type="dxa"/>
          </w:tcPr>
          <w:p w:rsidR="00E35632" w:rsidRDefault="00E35632">
            <w:pPr>
              <w:pStyle w:val="ConsPlusNormal"/>
              <w:jc w:val="center"/>
            </w:pPr>
            <w:r>
              <w:t>4,42</w:t>
            </w:r>
          </w:p>
        </w:tc>
      </w:tr>
      <w:tr w:rsidR="00E35632">
        <w:tc>
          <w:tcPr>
            <w:tcW w:w="4380" w:type="dxa"/>
          </w:tcPr>
          <w:p w:rsidR="00E35632" w:rsidRDefault="00E35632">
            <w:pPr>
              <w:pStyle w:val="ConsPlusNormal"/>
              <w:jc w:val="center"/>
            </w:pPr>
            <w:r>
              <w:t>13</w:t>
            </w:r>
          </w:p>
        </w:tc>
        <w:tc>
          <w:tcPr>
            <w:tcW w:w="1560" w:type="dxa"/>
          </w:tcPr>
          <w:p w:rsidR="00E35632" w:rsidRDefault="00E35632">
            <w:pPr>
              <w:pStyle w:val="ConsPlusNormal"/>
              <w:jc w:val="center"/>
            </w:pPr>
            <w:r>
              <w:t>0,26</w:t>
            </w:r>
          </w:p>
        </w:tc>
        <w:tc>
          <w:tcPr>
            <w:tcW w:w="1560" w:type="dxa"/>
          </w:tcPr>
          <w:p w:rsidR="00E35632" w:rsidRDefault="00E35632">
            <w:pPr>
              <w:pStyle w:val="ConsPlusNormal"/>
              <w:jc w:val="center"/>
            </w:pPr>
            <w:r>
              <w:t>2,05</w:t>
            </w:r>
          </w:p>
        </w:tc>
        <w:tc>
          <w:tcPr>
            <w:tcW w:w="1560" w:type="dxa"/>
          </w:tcPr>
          <w:p w:rsidR="00E35632" w:rsidRDefault="00E35632">
            <w:pPr>
              <w:pStyle w:val="ConsPlusNormal"/>
              <w:jc w:val="center"/>
            </w:pPr>
            <w:r>
              <w:t>4,55</w:t>
            </w:r>
          </w:p>
        </w:tc>
      </w:tr>
      <w:tr w:rsidR="00E35632">
        <w:tc>
          <w:tcPr>
            <w:tcW w:w="4380" w:type="dxa"/>
          </w:tcPr>
          <w:p w:rsidR="00E35632" w:rsidRDefault="00E35632">
            <w:pPr>
              <w:pStyle w:val="ConsPlusNormal"/>
              <w:jc w:val="center"/>
            </w:pPr>
            <w:r>
              <w:t>14</w:t>
            </w:r>
          </w:p>
        </w:tc>
        <w:tc>
          <w:tcPr>
            <w:tcW w:w="1560" w:type="dxa"/>
          </w:tcPr>
          <w:p w:rsidR="00E35632" w:rsidRDefault="00E35632">
            <w:pPr>
              <w:pStyle w:val="ConsPlusNormal"/>
              <w:jc w:val="center"/>
            </w:pPr>
            <w:r>
              <w:t>0,29</w:t>
            </w:r>
          </w:p>
        </w:tc>
        <w:tc>
          <w:tcPr>
            <w:tcW w:w="1560" w:type="dxa"/>
          </w:tcPr>
          <w:p w:rsidR="00E35632" w:rsidRDefault="00E35632">
            <w:pPr>
              <w:pStyle w:val="ConsPlusNormal"/>
              <w:jc w:val="center"/>
            </w:pPr>
            <w:r>
              <w:t>2,17</w:t>
            </w:r>
          </w:p>
        </w:tc>
        <w:tc>
          <w:tcPr>
            <w:tcW w:w="1560" w:type="dxa"/>
          </w:tcPr>
          <w:p w:rsidR="00E35632" w:rsidRDefault="00E35632">
            <w:pPr>
              <w:pStyle w:val="ConsPlusNormal"/>
              <w:jc w:val="center"/>
            </w:pPr>
            <w:r>
              <w:t>4,69</w:t>
            </w:r>
          </w:p>
        </w:tc>
      </w:tr>
      <w:tr w:rsidR="00E35632">
        <w:tc>
          <w:tcPr>
            <w:tcW w:w="4380" w:type="dxa"/>
          </w:tcPr>
          <w:p w:rsidR="00E35632" w:rsidRDefault="00E35632">
            <w:pPr>
              <w:pStyle w:val="ConsPlusNormal"/>
              <w:jc w:val="center"/>
            </w:pPr>
            <w:r>
              <w:t>15</w:t>
            </w:r>
          </w:p>
        </w:tc>
        <w:tc>
          <w:tcPr>
            <w:tcW w:w="1560" w:type="dxa"/>
          </w:tcPr>
          <w:p w:rsidR="00E35632" w:rsidRDefault="00E35632">
            <w:pPr>
              <w:pStyle w:val="ConsPlusNormal"/>
              <w:jc w:val="center"/>
            </w:pPr>
            <w:r>
              <w:t>0,32</w:t>
            </w:r>
          </w:p>
        </w:tc>
        <w:tc>
          <w:tcPr>
            <w:tcW w:w="1560" w:type="dxa"/>
          </w:tcPr>
          <w:p w:rsidR="00E35632" w:rsidRDefault="00E35632">
            <w:pPr>
              <w:pStyle w:val="ConsPlusNormal"/>
              <w:jc w:val="center"/>
            </w:pPr>
            <w:r>
              <w:t>2,30</w:t>
            </w:r>
          </w:p>
        </w:tc>
        <w:tc>
          <w:tcPr>
            <w:tcW w:w="1560" w:type="dxa"/>
          </w:tcPr>
          <w:p w:rsidR="00E35632" w:rsidRDefault="00E35632">
            <w:pPr>
              <w:pStyle w:val="ConsPlusNormal"/>
              <w:jc w:val="center"/>
            </w:pPr>
            <w:r>
              <w:t>4,84</w:t>
            </w:r>
          </w:p>
        </w:tc>
      </w:tr>
      <w:tr w:rsidR="00E35632">
        <w:tc>
          <w:tcPr>
            <w:tcW w:w="4380" w:type="dxa"/>
          </w:tcPr>
          <w:p w:rsidR="00E35632" w:rsidRDefault="00E35632">
            <w:pPr>
              <w:pStyle w:val="ConsPlusNormal"/>
              <w:jc w:val="center"/>
            </w:pPr>
            <w:r>
              <w:t>16</w:t>
            </w:r>
          </w:p>
        </w:tc>
        <w:tc>
          <w:tcPr>
            <w:tcW w:w="1560" w:type="dxa"/>
          </w:tcPr>
          <w:p w:rsidR="00E35632" w:rsidRDefault="00E35632">
            <w:pPr>
              <w:pStyle w:val="ConsPlusNormal"/>
              <w:jc w:val="center"/>
            </w:pPr>
            <w:r>
              <w:t>0,36</w:t>
            </w:r>
          </w:p>
        </w:tc>
        <w:tc>
          <w:tcPr>
            <w:tcW w:w="1560" w:type="dxa"/>
          </w:tcPr>
          <w:p w:rsidR="00E35632" w:rsidRDefault="00E35632">
            <w:pPr>
              <w:pStyle w:val="ConsPlusNormal"/>
              <w:jc w:val="center"/>
            </w:pPr>
            <w:r>
              <w:t>2,43</w:t>
            </w:r>
          </w:p>
        </w:tc>
        <w:tc>
          <w:tcPr>
            <w:tcW w:w="1560" w:type="dxa"/>
          </w:tcPr>
          <w:p w:rsidR="00E35632" w:rsidRDefault="00E35632">
            <w:pPr>
              <w:pStyle w:val="ConsPlusNormal"/>
              <w:jc w:val="center"/>
            </w:pPr>
            <w:r>
              <w:t>4,99</w:t>
            </w:r>
          </w:p>
        </w:tc>
      </w:tr>
      <w:tr w:rsidR="00E35632">
        <w:tc>
          <w:tcPr>
            <w:tcW w:w="4380" w:type="dxa"/>
          </w:tcPr>
          <w:p w:rsidR="00E35632" w:rsidRDefault="00E35632">
            <w:pPr>
              <w:pStyle w:val="ConsPlusNormal"/>
              <w:jc w:val="center"/>
            </w:pPr>
            <w:r>
              <w:t>17</w:t>
            </w:r>
          </w:p>
        </w:tc>
        <w:tc>
          <w:tcPr>
            <w:tcW w:w="1560" w:type="dxa"/>
          </w:tcPr>
          <w:p w:rsidR="00E35632" w:rsidRDefault="00E35632">
            <w:pPr>
              <w:pStyle w:val="ConsPlusNormal"/>
              <w:jc w:val="center"/>
            </w:pPr>
            <w:r>
              <w:t>0,39</w:t>
            </w:r>
          </w:p>
        </w:tc>
        <w:tc>
          <w:tcPr>
            <w:tcW w:w="1560" w:type="dxa"/>
          </w:tcPr>
          <w:p w:rsidR="00E35632" w:rsidRDefault="00E35632">
            <w:pPr>
              <w:pStyle w:val="ConsPlusNormal"/>
              <w:jc w:val="center"/>
            </w:pPr>
            <w:r>
              <w:t>2,57</w:t>
            </w:r>
          </w:p>
        </w:tc>
        <w:tc>
          <w:tcPr>
            <w:tcW w:w="1560" w:type="dxa"/>
          </w:tcPr>
          <w:p w:rsidR="00E35632" w:rsidRDefault="00E35632">
            <w:pPr>
              <w:pStyle w:val="ConsPlusNormal"/>
              <w:jc w:val="center"/>
            </w:pPr>
            <w:r>
              <w:t>5,15</w:t>
            </w:r>
          </w:p>
        </w:tc>
      </w:tr>
      <w:tr w:rsidR="00E35632">
        <w:tc>
          <w:tcPr>
            <w:tcW w:w="4380" w:type="dxa"/>
          </w:tcPr>
          <w:p w:rsidR="00E35632" w:rsidRDefault="00E35632">
            <w:pPr>
              <w:pStyle w:val="ConsPlusNormal"/>
              <w:jc w:val="center"/>
            </w:pPr>
            <w:r>
              <w:t>18</w:t>
            </w:r>
          </w:p>
        </w:tc>
        <w:tc>
          <w:tcPr>
            <w:tcW w:w="1560" w:type="dxa"/>
          </w:tcPr>
          <w:p w:rsidR="00E35632" w:rsidRDefault="00E35632">
            <w:pPr>
              <w:pStyle w:val="ConsPlusNormal"/>
              <w:jc w:val="center"/>
            </w:pPr>
            <w:r>
              <w:t>0,43</w:t>
            </w:r>
          </w:p>
        </w:tc>
        <w:tc>
          <w:tcPr>
            <w:tcW w:w="1560" w:type="dxa"/>
          </w:tcPr>
          <w:p w:rsidR="00E35632" w:rsidRDefault="00E35632">
            <w:pPr>
              <w:pStyle w:val="ConsPlusNormal"/>
              <w:jc w:val="center"/>
            </w:pPr>
            <w:r>
              <w:t>2,73</w:t>
            </w:r>
          </w:p>
        </w:tc>
        <w:tc>
          <w:tcPr>
            <w:tcW w:w="1560" w:type="dxa"/>
          </w:tcPr>
          <w:p w:rsidR="00E35632" w:rsidRDefault="00E35632">
            <w:pPr>
              <w:pStyle w:val="ConsPlusNormal"/>
              <w:jc w:val="center"/>
            </w:pPr>
            <w:r>
              <w:t>5,31</w:t>
            </w:r>
          </w:p>
        </w:tc>
      </w:tr>
      <w:tr w:rsidR="00E35632">
        <w:tc>
          <w:tcPr>
            <w:tcW w:w="4380" w:type="dxa"/>
          </w:tcPr>
          <w:p w:rsidR="00E35632" w:rsidRDefault="00E35632">
            <w:pPr>
              <w:pStyle w:val="ConsPlusNormal"/>
              <w:jc w:val="center"/>
            </w:pPr>
            <w:r>
              <w:t>19</w:t>
            </w:r>
          </w:p>
        </w:tc>
        <w:tc>
          <w:tcPr>
            <w:tcW w:w="1560" w:type="dxa"/>
          </w:tcPr>
          <w:p w:rsidR="00E35632" w:rsidRDefault="00E35632">
            <w:pPr>
              <w:pStyle w:val="ConsPlusNormal"/>
              <w:jc w:val="center"/>
            </w:pPr>
            <w:r>
              <w:t>0,47</w:t>
            </w:r>
          </w:p>
        </w:tc>
        <w:tc>
          <w:tcPr>
            <w:tcW w:w="1560" w:type="dxa"/>
          </w:tcPr>
          <w:p w:rsidR="00E35632" w:rsidRDefault="00E35632">
            <w:pPr>
              <w:pStyle w:val="ConsPlusNormal"/>
              <w:jc w:val="center"/>
            </w:pPr>
            <w:r>
              <w:t>2,89</w:t>
            </w:r>
          </w:p>
        </w:tc>
        <w:tc>
          <w:tcPr>
            <w:tcW w:w="1560" w:type="dxa"/>
          </w:tcPr>
          <w:p w:rsidR="00E35632" w:rsidRDefault="00E35632">
            <w:pPr>
              <w:pStyle w:val="ConsPlusNormal"/>
              <w:jc w:val="center"/>
            </w:pPr>
            <w:r>
              <w:t>5,48</w:t>
            </w:r>
          </w:p>
        </w:tc>
      </w:tr>
      <w:tr w:rsidR="00E35632">
        <w:tc>
          <w:tcPr>
            <w:tcW w:w="4380" w:type="dxa"/>
          </w:tcPr>
          <w:p w:rsidR="00E35632" w:rsidRDefault="00E35632">
            <w:pPr>
              <w:pStyle w:val="ConsPlusNormal"/>
              <w:jc w:val="center"/>
            </w:pPr>
            <w:r>
              <w:t>20</w:t>
            </w:r>
          </w:p>
        </w:tc>
        <w:tc>
          <w:tcPr>
            <w:tcW w:w="1560" w:type="dxa"/>
          </w:tcPr>
          <w:p w:rsidR="00E35632" w:rsidRDefault="00E35632">
            <w:pPr>
              <w:pStyle w:val="ConsPlusNormal"/>
              <w:jc w:val="center"/>
            </w:pPr>
            <w:r>
              <w:t>0,51</w:t>
            </w:r>
          </w:p>
        </w:tc>
        <w:tc>
          <w:tcPr>
            <w:tcW w:w="1560" w:type="dxa"/>
          </w:tcPr>
          <w:p w:rsidR="00E35632" w:rsidRDefault="00E35632">
            <w:pPr>
              <w:pStyle w:val="ConsPlusNormal"/>
              <w:jc w:val="center"/>
            </w:pPr>
            <w:r>
              <w:t>3,06</w:t>
            </w:r>
          </w:p>
        </w:tc>
        <w:tc>
          <w:tcPr>
            <w:tcW w:w="1560" w:type="dxa"/>
          </w:tcPr>
          <w:p w:rsidR="00E35632" w:rsidRDefault="00E35632">
            <w:pPr>
              <w:pStyle w:val="ConsPlusNormal"/>
              <w:jc w:val="center"/>
            </w:pPr>
            <w:r>
              <w:t>5,66</w:t>
            </w:r>
          </w:p>
        </w:tc>
      </w:tr>
      <w:tr w:rsidR="00E35632">
        <w:tc>
          <w:tcPr>
            <w:tcW w:w="4380" w:type="dxa"/>
          </w:tcPr>
          <w:p w:rsidR="00E35632" w:rsidRDefault="00E35632">
            <w:pPr>
              <w:pStyle w:val="ConsPlusNormal"/>
              <w:jc w:val="center"/>
            </w:pPr>
            <w:r>
              <w:t>21</w:t>
            </w:r>
          </w:p>
        </w:tc>
        <w:tc>
          <w:tcPr>
            <w:tcW w:w="1560" w:type="dxa"/>
          </w:tcPr>
          <w:p w:rsidR="00E35632" w:rsidRDefault="00E35632">
            <w:pPr>
              <w:pStyle w:val="ConsPlusNormal"/>
              <w:jc w:val="center"/>
            </w:pPr>
            <w:r>
              <w:t>0,56</w:t>
            </w:r>
          </w:p>
        </w:tc>
        <w:tc>
          <w:tcPr>
            <w:tcW w:w="1560" w:type="dxa"/>
          </w:tcPr>
          <w:p w:rsidR="00E35632" w:rsidRDefault="00E35632">
            <w:pPr>
              <w:pStyle w:val="ConsPlusNormal"/>
              <w:jc w:val="center"/>
            </w:pPr>
            <w:r>
              <w:t>3,24</w:t>
            </w:r>
          </w:p>
        </w:tc>
        <w:tc>
          <w:tcPr>
            <w:tcW w:w="1560" w:type="dxa"/>
          </w:tcPr>
          <w:p w:rsidR="00E35632" w:rsidRDefault="00E35632">
            <w:pPr>
              <w:pStyle w:val="ConsPlusNormal"/>
              <w:jc w:val="center"/>
            </w:pPr>
            <w:r>
              <w:t>5,84</w:t>
            </w:r>
          </w:p>
        </w:tc>
      </w:tr>
      <w:tr w:rsidR="00E35632">
        <w:tc>
          <w:tcPr>
            <w:tcW w:w="4380" w:type="dxa"/>
          </w:tcPr>
          <w:p w:rsidR="00E35632" w:rsidRDefault="00E35632">
            <w:pPr>
              <w:pStyle w:val="ConsPlusNormal"/>
              <w:jc w:val="center"/>
            </w:pPr>
            <w:r>
              <w:t>22</w:t>
            </w:r>
          </w:p>
        </w:tc>
        <w:tc>
          <w:tcPr>
            <w:tcW w:w="1560" w:type="dxa"/>
          </w:tcPr>
          <w:p w:rsidR="00E35632" w:rsidRDefault="00E35632">
            <w:pPr>
              <w:pStyle w:val="ConsPlusNormal"/>
              <w:jc w:val="center"/>
            </w:pPr>
            <w:r>
              <w:t>0,61</w:t>
            </w:r>
          </w:p>
        </w:tc>
        <w:tc>
          <w:tcPr>
            <w:tcW w:w="1560" w:type="dxa"/>
          </w:tcPr>
          <w:p w:rsidR="00E35632" w:rsidRDefault="00E35632">
            <w:pPr>
              <w:pStyle w:val="ConsPlusNormal"/>
              <w:jc w:val="center"/>
            </w:pPr>
            <w:r>
              <w:t>3,44</w:t>
            </w:r>
          </w:p>
        </w:tc>
        <w:tc>
          <w:tcPr>
            <w:tcW w:w="1560" w:type="dxa"/>
          </w:tcPr>
          <w:p w:rsidR="00E35632" w:rsidRDefault="00E35632">
            <w:pPr>
              <w:pStyle w:val="ConsPlusNormal"/>
              <w:jc w:val="center"/>
            </w:pPr>
            <w:r>
              <w:t>6,04</w:t>
            </w:r>
          </w:p>
        </w:tc>
      </w:tr>
      <w:tr w:rsidR="00E35632">
        <w:tc>
          <w:tcPr>
            <w:tcW w:w="4380" w:type="dxa"/>
          </w:tcPr>
          <w:p w:rsidR="00E35632" w:rsidRDefault="00E35632">
            <w:pPr>
              <w:pStyle w:val="ConsPlusNormal"/>
              <w:jc w:val="center"/>
            </w:pPr>
            <w:r>
              <w:t>23</w:t>
            </w:r>
          </w:p>
        </w:tc>
        <w:tc>
          <w:tcPr>
            <w:tcW w:w="1560" w:type="dxa"/>
          </w:tcPr>
          <w:p w:rsidR="00E35632" w:rsidRDefault="00E35632">
            <w:pPr>
              <w:pStyle w:val="ConsPlusNormal"/>
              <w:jc w:val="center"/>
            </w:pPr>
            <w:r>
              <w:t>0,66</w:t>
            </w:r>
          </w:p>
        </w:tc>
        <w:tc>
          <w:tcPr>
            <w:tcW w:w="1560" w:type="dxa"/>
          </w:tcPr>
          <w:p w:rsidR="00E35632" w:rsidRDefault="00E35632">
            <w:pPr>
              <w:pStyle w:val="ConsPlusNormal"/>
              <w:jc w:val="center"/>
            </w:pPr>
            <w:r>
              <w:t>3,65</w:t>
            </w:r>
          </w:p>
        </w:tc>
        <w:tc>
          <w:tcPr>
            <w:tcW w:w="1560" w:type="dxa"/>
          </w:tcPr>
          <w:p w:rsidR="00E35632" w:rsidRDefault="00E35632">
            <w:pPr>
              <w:pStyle w:val="ConsPlusNormal"/>
              <w:jc w:val="center"/>
            </w:pPr>
            <w:r>
              <w:t>6,24</w:t>
            </w:r>
          </w:p>
        </w:tc>
      </w:tr>
      <w:tr w:rsidR="00E35632">
        <w:tc>
          <w:tcPr>
            <w:tcW w:w="4380" w:type="dxa"/>
          </w:tcPr>
          <w:p w:rsidR="00E35632" w:rsidRDefault="00E35632">
            <w:pPr>
              <w:pStyle w:val="ConsPlusNormal"/>
              <w:jc w:val="center"/>
            </w:pPr>
            <w:r>
              <w:t>24</w:t>
            </w:r>
          </w:p>
        </w:tc>
        <w:tc>
          <w:tcPr>
            <w:tcW w:w="1560" w:type="dxa"/>
          </w:tcPr>
          <w:p w:rsidR="00E35632" w:rsidRDefault="00E35632">
            <w:pPr>
              <w:pStyle w:val="ConsPlusNormal"/>
              <w:jc w:val="center"/>
            </w:pPr>
            <w:r>
              <w:t>0,72</w:t>
            </w:r>
          </w:p>
        </w:tc>
        <w:tc>
          <w:tcPr>
            <w:tcW w:w="1560" w:type="dxa"/>
          </w:tcPr>
          <w:p w:rsidR="00E35632" w:rsidRDefault="00E35632">
            <w:pPr>
              <w:pStyle w:val="ConsPlusNormal"/>
              <w:jc w:val="center"/>
            </w:pPr>
            <w:r>
              <w:t>3,87</w:t>
            </w:r>
          </w:p>
        </w:tc>
        <w:tc>
          <w:tcPr>
            <w:tcW w:w="1560" w:type="dxa"/>
          </w:tcPr>
          <w:p w:rsidR="00E35632" w:rsidRDefault="00E35632">
            <w:pPr>
              <w:pStyle w:val="ConsPlusNormal"/>
              <w:jc w:val="center"/>
            </w:pPr>
            <w:r>
              <w:t>6,45</w:t>
            </w:r>
          </w:p>
        </w:tc>
      </w:tr>
      <w:tr w:rsidR="00E35632">
        <w:tc>
          <w:tcPr>
            <w:tcW w:w="4380" w:type="dxa"/>
          </w:tcPr>
          <w:p w:rsidR="00E35632" w:rsidRDefault="00E35632">
            <w:pPr>
              <w:pStyle w:val="ConsPlusNormal"/>
              <w:jc w:val="center"/>
            </w:pPr>
            <w:r>
              <w:t>25</w:t>
            </w:r>
          </w:p>
        </w:tc>
        <w:tc>
          <w:tcPr>
            <w:tcW w:w="1560" w:type="dxa"/>
          </w:tcPr>
          <w:p w:rsidR="00E35632" w:rsidRDefault="00E35632">
            <w:pPr>
              <w:pStyle w:val="ConsPlusNormal"/>
              <w:jc w:val="center"/>
            </w:pPr>
            <w:r>
              <w:t>0,78</w:t>
            </w:r>
          </w:p>
        </w:tc>
        <w:tc>
          <w:tcPr>
            <w:tcW w:w="1560" w:type="dxa"/>
          </w:tcPr>
          <w:p w:rsidR="00E35632" w:rsidRDefault="00E35632">
            <w:pPr>
              <w:pStyle w:val="ConsPlusNormal"/>
              <w:jc w:val="center"/>
            </w:pPr>
            <w:r>
              <w:t>4,11</w:t>
            </w:r>
          </w:p>
        </w:tc>
        <w:tc>
          <w:tcPr>
            <w:tcW w:w="1560" w:type="dxa"/>
          </w:tcPr>
          <w:p w:rsidR="00E35632" w:rsidRDefault="00E35632">
            <w:pPr>
              <w:pStyle w:val="ConsPlusNormal"/>
              <w:jc w:val="center"/>
            </w:pPr>
            <w:r>
              <w:t>6,67</w:t>
            </w:r>
          </w:p>
        </w:tc>
      </w:tr>
      <w:tr w:rsidR="00E35632">
        <w:tc>
          <w:tcPr>
            <w:tcW w:w="4380" w:type="dxa"/>
          </w:tcPr>
          <w:p w:rsidR="00E35632" w:rsidRDefault="00E35632">
            <w:pPr>
              <w:pStyle w:val="ConsPlusNormal"/>
              <w:jc w:val="center"/>
            </w:pPr>
            <w:r>
              <w:t>26</w:t>
            </w:r>
          </w:p>
        </w:tc>
        <w:tc>
          <w:tcPr>
            <w:tcW w:w="1560" w:type="dxa"/>
          </w:tcPr>
          <w:p w:rsidR="00E35632" w:rsidRDefault="00E35632">
            <w:pPr>
              <w:pStyle w:val="ConsPlusNormal"/>
              <w:jc w:val="center"/>
            </w:pPr>
            <w:r>
              <w:t>0,84</w:t>
            </w:r>
          </w:p>
        </w:tc>
        <w:tc>
          <w:tcPr>
            <w:tcW w:w="1560" w:type="dxa"/>
          </w:tcPr>
          <w:p w:rsidR="00E35632" w:rsidRDefault="00E35632">
            <w:pPr>
              <w:pStyle w:val="ConsPlusNormal"/>
              <w:jc w:val="center"/>
            </w:pPr>
            <w:r>
              <w:t>4,37</w:t>
            </w:r>
          </w:p>
        </w:tc>
        <w:tc>
          <w:tcPr>
            <w:tcW w:w="1560" w:type="dxa"/>
          </w:tcPr>
          <w:p w:rsidR="00E35632" w:rsidRDefault="00E35632">
            <w:pPr>
              <w:pStyle w:val="ConsPlusNormal"/>
              <w:jc w:val="center"/>
            </w:pPr>
            <w:r>
              <w:t>6,90</w:t>
            </w:r>
          </w:p>
        </w:tc>
      </w:tr>
      <w:tr w:rsidR="00E35632">
        <w:tc>
          <w:tcPr>
            <w:tcW w:w="4380" w:type="dxa"/>
          </w:tcPr>
          <w:p w:rsidR="00E35632" w:rsidRDefault="00E35632">
            <w:pPr>
              <w:pStyle w:val="ConsPlusNormal"/>
              <w:jc w:val="center"/>
            </w:pPr>
            <w:r>
              <w:t>27</w:t>
            </w:r>
          </w:p>
        </w:tc>
        <w:tc>
          <w:tcPr>
            <w:tcW w:w="1560" w:type="dxa"/>
          </w:tcPr>
          <w:p w:rsidR="00E35632" w:rsidRDefault="00E35632">
            <w:pPr>
              <w:pStyle w:val="ConsPlusNormal"/>
              <w:jc w:val="center"/>
            </w:pPr>
            <w:r>
              <w:t>0,91</w:t>
            </w:r>
          </w:p>
        </w:tc>
        <w:tc>
          <w:tcPr>
            <w:tcW w:w="1560" w:type="dxa"/>
          </w:tcPr>
          <w:p w:rsidR="00E35632" w:rsidRDefault="00E35632">
            <w:pPr>
              <w:pStyle w:val="ConsPlusNormal"/>
              <w:jc w:val="center"/>
            </w:pPr>
            <w:r>
              <w:t>4,64</w:t>
            </w:r>
          </w:p>
        </w:tc>
        <w:tc>
          <w:tcPr>
            <w:tcW w:w="1560" w:type="dxa"/>
          </w:tcPr>
          <w:p w:rsidR="00E35632" w:rsidRDefault="00E35632">
            <w:pPr>
              <w:pStyle w:val="ConsPlusNormal"/>
              <w:jc w:val="center"/>
            </w:pPr>
            <w:r>
              <w:t>7,14</w:t>
            </w:r>
          </w:p>
        </w:tc>
      </w:tr>
      <w:tr w:rsidR="00E35632">
        <w:tc>
          <w:tcPr>
            <w:tcW w:w="4380" w:type="dxa"/>
          </w:tcPr>
          <w:p w:rsidR="00E35632" w:rsidRDefault="00E35632">
            <w:pPr>
              <w:pStyle w:val="ConsPlusNormal"/>
              <w:jc w:val="center"/>
            </w:pPr>
            <w:r>
              <w:t>28</w:t>
            </w:r>
          </w:p>
        </w:tc>
        <w:tc>
          <w:tcPr>
            <w:tcW w:w="1560" w:type="dxa"/>
          </w:tcPr>
          <w:p w:rsidR="00E35632" w:rsidRDefault="00E35632">
            <w:pPr>
              <w:pStyle w:val="ConsPlusNormal"/>
              <w:jc w:val="center"/>
            </w:pPr>
            <w:r>
              <w:t>0,98</w:t>
            </w:r>
          </w:p>
        </w:tc>
        <w:tc>
          <w:tcPr>
            <w:tcW w:w="1560" w:type="dxa"/>
          </w:tcPr>
          <w:p w:rsidR="00E35632" w:rsidRDefault="00E35632">
            <w:pPr>
              <w:pStyle w:val="ConsPlusNormal"/>
              <w:jc w:val="center"/>
            </w:pPr>
            <w:r>
              <w:t>4,93</w:t>
            </w:r>
          </w:p>
        </w:tc>
        <w:tc>
          <w:tcPr>
            <w:tcW w:w="1560" w:type="dxa"/>
          </w:tcPr>
          <w:p w:rsidR="00E35632" w:rsidRDefault="00E35632">
            <w:pPr>
              <w:pStyle w:val="ConsPlusNormal"/>
              <w:jc w:val="center"/>
            </w:pPr>
            <w:r>
              <w:t>7,40</w:t>
            </w:r>
          </w:p>
        </w:tc>
      </w:tr>
      <w:tr w:rsidR="00E35632">
        <w:tc>
          <w:tcPr>
            <w:tcW w:w="4380" w:type="dxa"/>
          </w:tcPr>
          <w:p w:rsidR="00E35632" w:rsidRDefault="00E35632">
            <w:pPr>
              <w:pStyle w:val="ConsPlusNormal"/>
              <w:jc w:val="center"/>
            </w:pPr>
            <w:r>
              <w:t>29</w:t>
            </w:r>
          </w:p>
        </w:tc>
        <w:tc>
          <w:tcPr>
            <w:tcW w:w="1560" w:type="dxa"/>
          </w:tcPr>
          <w:p w:rsidR="00E35632" w:rsidRDefault="00E35632">
            <w:pPr>
              <w:pStyle w:val="ConsPlusNormal"/>
              <w:jc w:val="center"/>
            </w:pPr>
            <w:r>
              <w:t>1,06</w:t>
            </w:r>
          </w:p>
        </w:tc>
        <w:tc>
          <w:tcPr>
            <w:tcW w:w="1560" w:type="dxa"/>
          </w:tcPr>
          <w:p w:rsidR="00E35632" w:rsidRDefault="00E35632">
            <w:pPr>
              <w:pStyle w:val="ConsPlusNormal"/>
              <w:jc w:val="center"/>
            </w:pPr>
            <w:r>
              <w:t>5,25</w:t>
            </w:r>
          </w:p>
        </w:tc>
        <w:tc>
          <w:tcPr>
            <w:tcW w:w="1560" w:type="dxa"/>
          </w:tcPr>
          <w:p w:rsidR="00E35632" w:rsidRDefault="00E35632">
            <w:pPr>
              <w:pStyle w:val="ConsPlusNormal"/>
              <w:jc w:val="center"/>
            </w:pPr>
            <w:r>
              <w:t>7,67</w:t>
            </w:r>
          </w:p>
        </w:tc>
      </w:tr>
      <w:tr w:rsidR="00E35632">
        <w:tc>
          <w:tcPr>
            <w:tcW w:w="4380" w:type="dxa"/>
          </w:tcPr>
          <w:p w:rsidR="00E35632" w:rsidRDefault="00E35632">
            <w:pPr>
              <w:pStyle w:val="ConsPlusNormal"/>
              <w:jc w:val="center"/>
            </w:pPr>
            <w:r>
              <w:t>30</w:t>
            </w:r>
          </w:p>
        </w:tc>
        <w:tc>
          <w:tcPr>
            <w:tcW w:w="1560" w:type="dxa"/>
          </w:tcPr>
          <w:p w:rsidR="00E35632" w:rsidRDefault="00E35632">
            <w:pPr>
              <w:pStyle w:val="ConsPlusNormal"/>
              <w:jc w:val="center"/>
            </w:pPr>
            <w:r>
              <w:t>1,15</w:t>
            </w:r>
          </w:p>
        </w:tc>
        <w:tc>
          <w:tcPr>
            <w:tcW w:w="1560" w:type="dxa"/>
          </w:tcPr>
          <w:p w:rsidR="00E35632" w:rsidRDefault="00E35632">
            <w:pPr>
              <w:pStyle w:val="ConsPlusNormal"/>
              <w:jc w:val="center"/>
            </w:pPr>
            <w:r>
              <w:t>5,59</w:t>
            </w:r>
          </w:p>
        </w:tc>
        <w:tc>
          <w:tcPr>
            <w:tcW w:w="1560" w:type="dxa"/>
          </w:tcPr>
          <w:p w:rsidR="00E35632" w:rsidRDefault="00E35632">
            <w:pPr>
              <w:pStyle w:val="ConsPlusNormal"/>
              <w:jc w:val="center"/>
            </w:pPr>
            <w:r>
              <w:t>7,95</w:t>
            </w:r>
          </w:p>
        </w:tc>
      </w:tr>
      <w:tr w:rsidR="00E35632">
        <w:tc>
          <w:tcPr>
            <w:tcW w:w="4380" w:type="dxa"/>
          </w:tcPr>
          <w:p w:rsidR="00E35632" w:rsidRDefault="00E35632">
            <w:pPr>
              <w:pStyle w:val="ConsPlusNormal"/>
              <w:jc w:val="center"/>
            </w:pPr>
            <w:r>
              <w:t>31</w:t>
            </w:r>
          </w:p>
        </w:tc>
        <w:tc>
          <w:tcPr>
            <w:tcW w:w="1560" w:type="dxa"/>
          </w:tcPr>
          <w:p w:rsidR="00E35632" w:rsidRDefault="00E35632">
            <w:pPr>
              <w:pStyle w:val="ConsPlusNormal"/>
              <w:jc w:val="center"/>
            </w:pPr>
            <w:r>
              <w:t>1,24</w:t>
            </w:r>
          </w:p>
        </w:tc>
        <w:tc>
          <w:tcPr>
            <w:tcW w:w="1560" w:type="dxa"/>
          </w:tcPr>
          <w:p w:rsidR="00E35632" w:rsidRDefault="00E35632">
            <w:pPr>
              <w:pStyle w:val="ConsPlusNormal"/>
              <w:jc w:val="center"/>
            </w:pPr>
            <w:r>
              <w:t>5,95</w:t>
            </w:r>
          </w:p>
        </w:tc>
        <w:tc>
          <w:tcPr>
            <w:tcW w:w="1560" w:type="dxa"/>
          </w:tcPr>
          <w:p w:rsidR="00E35632" w:rsidRDefault="00E35632">
            <w:pPr>
              <w:pStyle w:val="ConsPlusNormal"/>
              <w:jc w:val="center"/>
            </w:pPr>
            <w:r>
              <w:t>8,24</w:t>
            </w:r>
          </w:p>
        </w:tc>
      </w:tr>
      <w:tr w:rsidR="00E35632">
        <w:tc>
          <w:tcPr>
            <w:tcW w:w="4380" w:type="dxa"/>
          </w:tcPr>
          <w:p w:rsidR="00E35632" w:rsidRDefault="00E35632">
            <w:pPr>
              <w:pStyle w:val="ConsPlusNormal"/>
              <w:jc w:val="center"/>
            </w:pPr>
            <w:r>
              <w:t>32</w:t>
            </w:r>
          </w:p>
        </w:tc>
        <w:tc>
          <w:tcPr>
            <w:tcW w:w="1560" w:type="dxa"/>
          </w:tcPr>
          <w:p w:rsidR="00E35632" w:rsidRDefault="00E35632">
            <w:pPr>
              <w:pStyle w:val="ConsPlusNormal"/>
              <w:jc w:val="center"/>
            </w:pPr>
            <w:r>
              <w:t>1,34</w:t>
            </w:r>
          </w:p>
        </w:tc>
        <w:tc>
          <w:tcPr>
            <w:tcW w:w="1560" w:type="dxa"/>
          </w:tcPr>
          <w:p w:rsidR="00E35632" w:rsidRDefault="00E35632">
            <w:pPr>
              <w:pStyle w:val="ConsPlusNormal"/>
              <w:jc w:val="center"/>
            </w:pPr>
            <w:r>
              <w:t>6,34</w:t>
            </w:r>
          </w:p>
        </w:tc>
        <w:tc>
          <w:tcPr>
            <w:tcW w:w="1560" w:type="dxa"/>
          </w:tcPr>
          <w:p w:rsidR="00E35632" w:rsidRDefault="00E35632">
            <w:pPr>
              <w:pStyle w:val="ConsPlusNormal"/>
              <w:jc w:val="center"/>
            </w:pPr>
            <w:r>
              <w:t>8,55</w:t>
            </w:r>
          </w:p>
        </w:tc>
      </w:tr>
      <w:tr w:rsidR="00E35632">
        <w:tc>
          <w:tcPr>
            <w:tcW w:w="4380" w:type="dxa"/>
          </w:tcPr>
          <w:p w:rsidR="00E35632" w:rsidRDefault="00E35632">
            <w:pPr>
              <w:pStyle w:val="ConsPlusNormal"/>
              <w:jc w:val="center"/>
            </w:pPr>
            <w:r>
              <w:t>33</w:t>
            </w:r>
          </w:p>
        </w:tc>
        <w:tc>
          <w:tcPr>
            <w:tcW w:w="1560" w:type="dxa"/>
          </w:tcPr>
          <w:p w:rsidR="00E35632" w:rsidRDefault="00E35632">
            <w:pPr>
              <w:pStyle w:val="ConsPlusNormal"/>
              <w:jc w:val="center"/>
            </w:pPr>
            <w:r>
              <w:t>1,44</w:t>
            </w:r>
          </w:p>
        </w:tc>
        <w:tc>
          <w:tcPr>
            <w:tcW w:w="1560" w:type="dxa"/>
          </w:tcPr>
          <w:p w:rsidR="00E35632" w:rsidRDefault="00E35632">
            <w:pPr>
              <w:pStyle w:val="ConsPlusNormal"/>
              <w:jc w:val="center"/>
            </w:pPr>
            <w:r>
              <w:t>6,76</w:t>
            </w:r>
          </w:p>
        </w:tc>
        <w:tc>
          <w:tcPr>
            <w:tcW w:w="1560" w:type="dxa"/>
          </w:tcPr>
          <w:p w:rsidR="00E35632" w:rsidRDefault="00E35632">
            <w:pPr>
              <w:pStyle w:val="ConsPlusNormal"/>
              <w:jc w:val="center"/>
            </w:pPr>
            <w:r>
              <w:t>8,88</w:t>
            </w:r>
          </w:p>
        </w:tc>
      </w:tr>
      <w:tr w:rsidR="00E35632">
        <w:tc>
          <w:tcPr>
            <w:tcW w:w="4380" w:type="dxa"/>
          </w:tcPr>
          <w:p w:rsidR="00E35632" w:rsidRDefault="00E35632">
            <w:pPr>
              <w:pStyle w:val="ConsPlusNormal"/>
              <w:jc w:val="center"/>
            </w:pPr>
            <w:r>
              <w:t>34</w:t>
            </w:r>
          </w:p>
        </w:tc>
        <w:tc>
          <w:tcPr>
            <w:tcW w:w="1560" w:type="dxa"/>
          </w:tcPr>
          <w:p w:rsidR="00E35632" w:rsidRDefault="00E35632">
            <w:pPr>
              <w:pStyle w:val="ConsPlusNormal"/>
              <w:jc w:val="center"/>
            </w:pPr>
            <w:r>
              <w:t>1,55</w:t>
            </w:r>
          </w:p>
        </w:tc>
        <w:tc>
          <w:tcPr>
            <w:tcW w:w="1560" w:type="dxa"/>
          </w:tcPr>
          <w:p w:rsidR="00E35632" w:rsidRDefault="00E35632">
            <w:pPr>
              <w:pStyle w:val="ConsPlusNormal"/>
              <w:jc w:val="center"/>
            </w:pPr>
            <w:r>
              <w:t>7,22</w:t>
            </w:r>
          </w:p>
        </w:tc>
        <w:tc>
          <w:tcPr>
            <w:tcW w:w="1560" w:type="dxa"/>
          </w:tcPr>
          <w:p w:rsidR="00E35632" w:rsidRDefault="00E35632">
            <w:pPr>
              <w:pStyle w:val="ConsPlusNormal"/>
              <w:jc w:val="center"/>
            </w:pPr>
            <w:r>
              <w:t>9,22</w:t>
            </w:r>
          </w:p>
        </w:tc>
      </w:tr>
      <w:tr w:rsidR="00E35632">
        <w:tc>
          <w:tcPr>
            <w:tcW w:w="4380" w:type="dxa"/>
          </w:tcPr>
          <w:p w:rsidR="00E35632" w:rsidRDefault="00E35632">
            <w:pPr>
              <w:pStyle w:val="ConsPlusNormal"/>
              <w:jc w:val="center"/>
            </w:pPr>
            <w:r>
              <w:t>35</w:t>
            </w:r>
          </w:p>
        </w:tc>
        <w:tc>
          <w:tcPr>
            <w:tcW w:w="1560" w:type="dxa"/>
          </w:tcPr>
          <w:p w:rsidR="00E35632" w:rsidRDefault="00E35632">
            <w:pPr>
              <w:pStyle w:val="ConsPlusNormal"/>
              <w:jc w:val="center"/>
            </w:pPr>
            <w:r>
              <w:t>1,68</w:t>
            </w:r>
          </w:p>
        </w:tc>
        <w:tc>
          <w:tcPr>
            <w:tcW w:w="1560" w:type="dxa"/>
          </w:tcPr>
          <w:p w:rsidR="00E35632" w:rsidRDefault="00E35632">
            <w:pPr>
              <w:pStyle w:val="ConsPlusNormal"/>
              <w:jc w:val="center"/>
            </w:pPr>
            <w:r>
              <w:t>7,71</w:t>
            </w:r>
          </w:p>
        </w:tc>
        <w:tc>
          <w:tcPr>
            <w:tcW w:w="1560" w:type="dxa"/>
          </w:tcPr>
          <w:p w:rsidR="00E35632" w:rsidRDefault="00E35632">
            <w:pPr>
              <w:pStyle w:val="ConsPlusNormal"/>
              <w:jc w:val="center"/>
            </w:pPr>
            <w:r>
              <w:t>9,58</w:t>
            </w:r>
          </w:p>
        </w:tc>
      </w:tr>
      <w:tr w:rsidR="00E35632">
        <w:tc>
          <w:tcPr>
            <w:tcW w:w="4380" w:type="dxa"/>
          </w:tcPr>
          <w:p w:rsidR="00E35632" w:rsidRDefault="00E35632">
            <w:pPr>
              <w:pStyle w:val="ConsPlusNormal"/>
              <w:jc w:val="center"/>
            </w:pPr>
            <w:r>
              <w:lastRenderedPageBreak/>
              <w:t>36</w:t>
            </w:r>
          </w:p>
        </w:tc>
        <w:tc>
          <w:tcPr>
            <w:tcW w:w="1560" w:type="dxa"/>
          </w:tcPr>
          <w:p w:rsidR="00E35632" w:rsidRDefault="00E35632">
            <w:pPr>
              <w:pStyle w:val="ConsPlusNormal"/>
              <w:jc w:val="center"/>
            </w:pPr>
            <w:r>
              <w:t>1,81</w:t>
            </w:r>
          </w:p>
        </w:tc>
        <w:tc>
          <w:tcPr>
            <w:tcW w:w="1560" w:type="dxa"/>
          </w:tcPr>
          <w:p w:rsidR="00E35632" w:rsidRDefault="00E35632">
            <w:pPr>
              <w:pStyle w:val="ConsPlusNormal"/>
              <w:jc w:val="center"/>
            </w:pPr>
            <w:r>
              <w:t>8,24</w:t>
            </w:r>
          </w:p>
        </w:tc>
        <w:tc>
          <w:tcPr>
            <w:tcW w:w="1560" w:type="dxa"/>
          </w:tcPr>
          <w:p w:rsidR="00E35632" w:rsidRDefault="00E35632">
            <w:pPr>
              <w:pStyle w:val="ConsPlusNormal"/>
              <w:jc w:val="center"/>
            </w:pPr>
            <w:r>
              <w:t>9,97</w:t>
            </w:r>
          </w:p>
        </w:tc>
      </w:tr>
      <w:tr w:rsidR="00E35632">
        <w:tc>
          <w:tcPr>
            <w:tcW w:w="4380" w:type="dxa"/>
          </w:tcPr>
          <w:p w:rsidR="00E35632" w:rsidRDefault="00E35632">
            <w:pPr>
              <w:pStyle w:val="ConsPlusNormal"/>
              <w:jc w:val="center"/>
            </w:pPr>
            <w:r>
              <w:t>37</w:t>
            </w:r>
          </w:p>
        </w:tc>
        <w:tc>
          <w:tcPr>
            <w:tcW w:w="1560" w:type="dxa"/>
          </w:tcPr>
          <w:p w:rsidR="00E35632" w:rsidRDefault="00E35632">
            <w:pPr>
              <w:pStyle w:val="ConsPlusNormal"/>
              <w:jc w:val="center"/>
            </w:pPr>
            <w:r>
              <w:t>1,95</w:t>
            </w:r>
          </w:p>
        </w:tc>
        <w:tc>
          <w:tcPr>
            <w:tcW w:w="1560" w:type="dxa"/>
          </w:tcPr>
          <w:p w:rsidR="00E35632" w:rsidRDefault="00E35632">
            <w:pPr>
              <w:pStyle w:val="ConsPlusNormal"/>
              <w:jc w:val="center"/>
            </w:pPr>
            <w:r>
              <w:t>8,81</w:t>
            </w:r>
          </w:p>
        </w:tc>
        <w:tc>
          <w:tcPr>
            <w:tcW w:w="1560" w:type="dxa"/>
          </w:tcPr>
          <w:p w:rsidR="00E35632" w:rsidRDefault="00E35632">
            <w:pPr>
              <w:pStyle w:val="ConsPlusNormal"/>
              <w:jc w:val="center"/>
            </w:pPr>
            <w:r>
              <w:t>10,37</w:t>
            </w:r>
          </w:p>
        </w:tc>
      </w:tr>
      <w:tr w:rsidR="00E35632">
        <w:tc>
          <w:tcPr>
            <w:tcW w:w="4380" w:type="dxa"/>
          </w:tcPr>
          <w:p w:rsidR="00E35632" w:rsidRDefault="00E35632">
            <w:pPr>
              <w:pStyle w:val="ConsPlusNormal"/>
              <w:jc w:val="center"/>
            </w:pPr>
            <w:r>
              <w:t>38</w:t>
            </w:r>
          </w:p>
        </w:tc>
        <w:tc>
          <w:tcPr>
            <w:tcW w:w="1560" w:type="dxa"/>
          </w:tcPr>
          <w:p w:rsidR="00E35632" w:rsidRDefault="00E35632">
            <w:pPr>
              <w:pStyle w:val="ConsPlusNormal"/>
              <w:jc w:val="center"/>
            </w:pPr>
            <w:r>
              <w:t>2,11</w:t>
            </w:r>
          </w:p>
        </w:tc>
        <w:tc>
          <w:tcPr>
            <w:tcW w:w="1560" w:type="dxa"/>
          </w:tcPr>
          <w:p w:rsidR="00E35632" w:rsidRDefault="00E35632">
            <w:pPr>
              <w:pStyle w:val="ConsPlusNormal"/>
              <w:jc w:val="center"/>
            </w:pPr>
            <w:r>
              <w:t>9,44</w:t>
            </w:r>
          </w:p>
        </w:tc>
        <w:tc>
          <w:tcPr>
            <w:tcW w:w="1560" w:type="dxa"/>
          </w:tcPr>
          <w:p w:rsidR="00E35632" w:rsidRDefault="00E35632">
            <w:pPr>
              <w:pStyle w:val="ConsPlusNormal"/>
              <w:jc w:val="center"/>
            </w:pPr>
            <w:r>
              <w:t>10,80</w:t>
            </w:r>
          </w:p>
        </w:tc>
      </w:tr>
      <w:tr w:rsidR="00E35632">
        <w:tc>
          <w:tcPr>
            <w:tcW w:w="4380" w:type="dxa"/>
          </w:tcPr>
          <w:p w:rsidR="00E35632" w:rsidRDefault="00E35632">
            <w:pPr>
              <w:pStyle w:val="ConsPlusNormal"/>
              <w:jc w:val="center"/>
            </w:pPr>
            <w:r>
              <w:t>39</w:t>
            </w:r>
          </w:p>
        </w:tc>
        <w:tc>
          <w:tcPr>
            <w:tcW w:w="1560" w:type="dxa"/>
          </w:tcPr>
          <w:p w:rsidR="00E35632" w:rsidRDefault="00E35632">
            <w:pPr>
              <w:pStyle w:val="ConsPlusNormal"/>
              <w:jc w:val="center"/>
            </w:pPr>
            <w:r>
              <w:t>2,28</w:t>
            </w:r>
          </w:p>
        </w:tc>
        <w:tc>
          <w:tcPr>
            <w:tcW w:w="1560" w:type="dxa"/>
          </w:tcPr>
          <w:p w:rsidR="00E35632" w:rsidRDefault="00E35632">
            <w:pPr>
              <w:pStyle w:val="ConsPlusNormal"/>
              <w:jc w:val="center"/>
            </w:pPr>
            <w:r>
              <w:t>10,11</w:t>
            </w:r>
          </w:p>
        </w:tc>
        <w:tc>
          <w:tcPr>
            <w:tcW w:w="1560" w:type="dxa"/>
          </w:tcPr>
          <w:p w:rsidR="00E35632" w:rsidRDefault="00E35632">
            <w:pPr>
              <w:pStyle w:val="ConsPlusNormal"/>
              <w:jc w:val="center"/>
            </w:pPr>
            <w:r>
              <w:t>11,25</w:t>
            </w:r>
          </w:p>
        </w:tc>
      </w:tr>
      <w:tr w:rsidR="00E35632">
        <w:tc>
          <w:tcPr>
            <w:tcW w:w="4380" w:type="dxa"/>
          </w:tcPr>
          <w:p w:rsidR="00E35632" w:rsidRDefault="00E35632">
            <w:pPr>
              <w:pStyle w:val="ConsPlusNormal"/>
              <w:jc w:val="center"/>
            </w:pPr>
            <w:r>
              <w:t>40</w:t>
            </w:r>
          </w:p>
        </w:tc>
        <w:tc>
          <w:tcPr>
            <w:tcW w:w="1560" w:type="dxa"/>
          </w:tcPr>
          <w:p w:rsidR="00E35632" w:rsidRDefault="00E35632">
            <w:pPr>
              <w:pStyle w:val="ConsPlusNormal"/>
              <w:jc w:val="center"/>
            </w:pPr>
            <w:r>
              <w:t>2,46</w:t>
            </w:r>
          </w:p>
        </w:tc>
        <w:tc>
          <w:tcPr>
            <w:tcW w:w="1560" w:type="dxa"/>
          </w:tcPr>
          <w:p w:rsidR="00E35632" w:rsidRDefault="00E35632">
            <w:pPr>
              <w:pStyle w:val="ConsPlusNormal"/>
              <w:jc w:val="center"/>
            </w:pPr>
            <w:r>
              <w:t>10,85</w:t>
            </w:r>
          </w:p>
        </w:tc>
        <w:tc>
          <w:tcPr>
            <w:tcW w:w="1560" w:type="dxa"/>
          </w:tcPr>
          <w:p w:rsidR="00E35632" w:rsidRDefault="00E35632">
            <w:pPr>
              <w:pStyle w:val="ConsPlusNormal"/>
              <w:jc w:val="center"/>
            </w:pPr>
            <w:r>
              <w:t>11,73</w:t>
            </w:r>
          </w:p>
        </w:tc>
      </w:tr>
      <w:tr w:rsidR="00E35632">
        <w:tc>
          <w:tcPr>
            <w:tcW w:w="4380" w:type="dxa"/>
          </w:tcPr>
          <w:p w:rsidR="00E35632" w:rsidRDefault="00E35632">
            <w:pPr>
              <w:pStyle w:val="ConsPlusNormal"/>
              <w:jc w:val="center"/>
            </w:pPr>
            <w:r>
              <w:t>41</w:t>
            </w:r>
          </w:p>
        </w:tc>
        <w:tc>
          <w:tcPr>
            <w:tcW w:w="1560" w:type="dxa"/>
          </w:tcPr>
          <w:p w:rsidR="00E35632" w:rsidRDefault="00E35632">
            <w:pPr>
              <w:pStyle w:val="ConsPlusNormal"/>
              <w:jc w:val="center"/>
            </w:pPr>
            <w:r>
              <w:t>2,66</w:t>
            </w:r>
          </w:p>
        </w:tc>
        <w:tc>
          <w:tcPr>
            <w:tcW w:w="1560" w:type="dxa"/>
          </w:tcPr>
          <w:p w:rsidR="00E35632" w:rsidRDefault="00E35632">
            <w:pPr>
              <w:pStyle w:val="ConsPlusNormal"/>
              <w:jc w:val="center"/>
            </w:pPr>
            <w:r>
              <w:t>11,64</w:t>
            </w:r>
          </w:p>
        </w:tc>
        <w:tc>
          <w:tcPr>
            <w:tcW w:w="1560" w:type="dxa"/>
          </w:tcPr>
          <w:p w:rsidR="00E35632" w:rsidRDefault="00E35632">
            <w:pPr>
              <w:pStyle w:val="ConsPlusNormal"/>
              <w:jc w:val="center"/>
            </w:pPr>
            <w:r>
              <w:t>12,24</w:t>
            </w:r>
          </w:p>
        </w:tc>
      </w:tr>
      <w:tr w:rsidR="00E35632">
        <w:tc>
          <w:tcPr>
            <w:tcW w:w="4380" w:type="dxa"/>
          </w:tcPr>
          <w:p w:rsidR="00E35632" w:rsidRDefault="00E35632">
            <w:pPr>
              <w:pStyle w:val="ConsPlusNormal"/>
              <w:jc w:val="center"/>
            </w:pPr>
            <w:r>
              <w:t>42</w:t>
            </w:r>
          </w:p>
        </w:tc>
        <w:tc>
          <w:tcPr>
            <w:tcW w:w="1560" w:type="dxa"/>
          </w:tcPr>
          <w:p w:rsidR="00E35632" w:rsidRDefault="00E35632">
            <w:pPr>
              <w:pStyle w:val="ConsPlusNormal"/>
              <w:jc w:val="center"/>
            </w:pPr>
            <w:r>
              <w:t>2,88</w:t>
            </w:r>
          </w:p>
        </w:tc>
        <w:tc>
          <w:tcPr>
            <w:tcW w:w="1560" w:type="dxa"/>
          </w:tcPr>
          <w:p w:rsidR="00E35632" w:rsidRDefault="00E35632">
            <w:pPr>
              <w:pStyle w:val="ConsPlusNormal"/>
              <w:jc w:val="center"/>
            </w:pPr>
            <w:r>
              <w:t>12,51</w:t>
            </w:r>
          </w:p>
        </w:tc>
        <w:tc>
          <w:tcPr>
            <w:tcW w:w="1560" w:type="dxa"/>
          </w:tcPr>
          <w:p w:rsidR="00E35632" w:rsidRDefault="00E35632">
            <w:pPr>
              <w:pStyle w:val="ConsPlusNormal"/>
              <w:jc w:val="center"/>
            </w:pPr>
            <w:r>
              <w:t>12,79</w:t>
            </w:r>
          </w:p>
        </w:tc>
      </w:tr>
      <w:tr w:rsidR="00E35632">
        <w:tc>
          <w:tcPr>
            <w:tcW w:w="4380" w:type="dxa"/>
          </w:tcPr>
          <w:p w:rsidR="00E35632" w:rsidRDefault="00E35632">
            <w:pPr>
              <w:pStyle w:val="ConsPlusNormal"/>
              <w:jc w:val="center"/>
            </w:pPr>
            <w:r>
              <w:t>43</w:t>
            </w:r>
          </w:p>
        </w:tc>
        <w:tc>
          <w:tcPr>
            <w:tcW w:w="1560" w:type="dxa"/>
          </w:tcPr>
          <w:p w:rsidR="00E35632" w:rsidRDefault="00E35632">
            <w:pPr>
              <w:pStyle w:val="ConsPlusNormal"/>
              <w:jc w:val="center"/>
            </w:pPr>
            <w:r>
              <w:t>3,12</w:t>
            </w:r>
          </w:p>
        </w:tc>
        <w:tc>
          <w:tcPr>
            <w:tcW w:w="1560" w:type="dxa"/>
          </w:tcPr>
          <w:p w:rsidR="00E35632" w:rsidRDefault="00E35632">
            <w:pPr>
              <w:pStyle w:val="ConsPlusNormal"/>
              <w:jc w:val="center"/>
            </w:pPr>
            <w:r>
              <w:t>13,46</w:t>
            </w:r>
          </w:p>
        </w:tc>
        <w:tc>
          <w:tcPr>
            <w:tcW w:w="1560" w:type="dxa"/>
          </w:tcPr>
          <w:p w:rsidR="00E35632" w:rsidRDefault="00E35632">
            <w:pPr>
              <w:pStyle w:val="ConsPlusNormal"/>
              <w:jc w:val="center"/>
            </w:pPr>
            <w:r>
              <w:t>13,37</w:t>
            </w:r>
          </w:p>
        </w:tc>
      </w:tr>
      <w:tr w:rsidR="00E35632">
        <w:tc>
          <w:tcPr>
            <w:tcW w:w="4380" w:type="dxa"/>
          </w:tcPr>
          <w:p w:rsidR="00E35632" w:rsidRDefault="00E35632">
            <w:pPr>
              <w:pStyle w:val="ConsPlusNormal"/>
              <w:jc w:val="center"/>
            </w:pPr>
            <w:r>
              <w:t>44</w:t>
            </w:r>
          </w:p>
        </w:tc>
        <w:tc>
          <w:tcPr>
            <w:tcW w:w="1560" w:type="dxa"/>
          </w:tcPr>
          <w:p w:rsidR="00E35632" w:rsidRDefault="00E35632">
            <w:pPr>
              <w:pStyle w:val="ConsPlusNormal"/>
              <w:jc w:val="center"/>
            </w:pPr>
            <w:r>
              <w:t>3,38</w:t>
            </w:r>
          </w:p>
        </w:tc>
        <w:tc>
          <w:tcPr>
            <w:tcW w:w="1560" w:type="dxa"/>
          </w:tcPr>
          <w:p w:rsidR="00E35632" w:rsidRDefault="00E35632">
            <w:pPr>
              <w:pStyle w:val="ConsPlusNormal"/>
              <w:jc w:val="center"/>
            </w:pPr>
            <w:r>
              <w:t>14,50</w:t>
            </w:r>
          </w:p>
        </w:tc>
        <w:tc>
          <w:tcPr>
            <w:tcW w:w="1560" w:type="dxa"/>
          </w:tcPr>
          <w:p w:rsidR="00E35632" w:rsidRDefault="00E35632">
            <w:pPr>
              <w:pStyle w:val="ConsPlusNormal"/>
              <w:jc w:val="center"/>
            </w:pPr>
            <w:r>
              <w:t>13,98</w:t>
            </w:r>
          </w:p>
        </w:tc>
      </w:tr>
      <w:tr w:rsidR="00E35632">
        <w:tc>
          <w:tcPr>
            <w:tcW w:w="4380" w:type="dxa"/>
          </w:tcPr>
          <w:p w:rsidR="00E35632" w:rsidRDefault="00E35632">
            <w:pPr>
              <w:pStyle w:val="ConsPlusNormal"/>
              <w:jc w:val="center"/>
            </w:pPr>
            <w:r>
              <w:t>45</w:t>
            </w:r>
          </w:p>
        </w:tc>
        <w:tc>
          <w:tcPr>
            <w:tcW w:w="1560" w:type="dxa"/>
          </w:tcPr>
          <w:p w:rsidR="00E35632" w:rsidRDefault="00E35632">
            <w:pPr>
              <w:pStyle w:val="ConsPlusNormal"/>
              <w:jc w:val="center"/>
            </w:pPr>
            <w:r>
              <w:t>3,66</w:t>
            </w:r>
          </w:p>
        </w:tc>
        <w:tc>
          <w:tcPr>
            <w:tcW w:w="1560" w:type="dxa"/>
          </w:tcPr>
          <w:p w:rsidR="00E35632" w:rsidRDefault="00E35632">
            <w:pPr>
              <w:pStyle w:val="ConsPlusNormal"/>
              <w:jc w:val="center"/>
            </w:pPr>
            <w:r>
              <w:t>15,64</w:t>
            </w:r>
          </w:p>
        </w:tc>
        <w:tc>
          <w:tcPr>
            <w:tcW w:w="1560" w:type="dxa"/>
          </w:tcPr>
          <w:p w:rsidR="00E35632" w:rsidRDefault="00E35632">
            <w:pPr>
              <w:pStyle w:val="ConsPlusNormal"/>
              <w:jc w:val="center"/>
            </w:pPr>
            <w:r>
              <w:t>14,64</w:t>
            </w:r>
          </w:p>
        </w:tc>
      </w:tr>
    </w:tbl>
    <w:p w:rsidR="00E35632" w:rsidRDefault="00E35632">
      <w:pPr>
        <w:pStyle w:val="ConsPlusNormal"/>
        <w:jc w:val="both"/>
      </w:pPr>
    </w:p>
    <w:p w:rsidR="00E35632" w:rsidRDefault="00E35632">
      <w:pPr>
        <w:pStyle w:val="ConsPlusNormal"/>
        <w:ind w:firstLine="540"/>
        <w:jc w:val="both"/>
      </w:pPr>
      <w:r>
        <w:t xml:space="preserve">5.6.8 Определение расчетного сопротивления оснований </w:t>
      </w:r>
      <w:r>
        <w:rPr>
          <w:i/>
        </w:rPr>
        <w:t>R</w:t>
      </w:r>
      <w:r>
        <w:t xml:space="preserve">, сложенных рыхлыми песками, следует выполнять на основе специальных исследований. Значение </w:t>
      </w:r>
      <w:r>
        <w:rPr>
          <w:i/>
        </w:rPr>
        <w:t>R</w:t>
      </w:r>
      <w:r>
        <w:t xml:space="preserve">, найденное для рыхлых песков по </w:t>
      </w:r>
      <w:hyperlink w:anchor="P851">
        <w:r>
          <w:rPr>
            <w:color w:val="0000FF"/>
          </w:rPr>
          <w:t>формуле (5.7)</w:t>
        </w:r>
      </w:hyperlink>
      <w:r>
        <w:t xml:space="preserve"> при </w:t>
      </w:r>
      <w:r>
        <w:rPr>
          <w:noProof/>
          <w:position w:val="-8"/>
        </w:rPr>
        <w:drawing>
          <wp:inline distT="0" distB="0" distL="0" distR="0">
            <wp:extent cx="461010" cy="251460"/>
            <wp:effectExtent l="0" t="0" r="0" b="0"/>
            <wp:docPr id="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461010" cy="251460"/>
                    </a:xfrm>
                    <a:prstGeom prst="rect">
                      <a:avLst/>
                    </a:prstGeom>
                    <a:noFill/>
                    <a:ln>
                      <a:noFill/>
                    </a:ln>
                  </pic:spPr>
                </pic:pic>
              </a:graphicData>
            </a:graphic>
          </wp:inline>
        </w:drawing>
      </w:r>
      <w:r>
        <w:t xml:space="preserve"> и </w:t>
      </w:r>
      <w:r>
        <w:rPr>
          <w:noProof/>
          <w:position w:val="-8"/>
        </w:rPr>
        <w:drawing>
          <wp:inline distT="0" distB="0" distL="0" distR="0">
            <wp:extent cx="479425" cy="251460"/>
            <wp:effectExtent l="0" t="0" r="0" b="0"/>
            <wp:docPr id="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79425" cy="251460"/>
                    </a:xfrm>
                    <a:prstGeom prst="rect">
                      <a:avLst/>
                    </a:prstGeom>
                    <a:noFill/>
                    <a:ln>
                      <a:noFill/>
                    </a:ln>
                  </pic:spPr>
                </pic:pic>
              </a:graphicData>
            </a:graphic>
          </wp:inline>
        </w:drawing>
      </w:r>
      <w:r>
        <w:t xml:space="preserve"> или по требованиям </w:t>
      </w:r>
      <w:hyperlink w:anchor="P1118">
        <w:r>
          <w:rPr>
            <w:color w:val="0000FF"/>
          </w:rPr>
          <w:t>5.6.12</w:t>
        </w:r>
      </w:hyperlink>
      <w:r>
        <w:t>, следует уточнять по результатам испытаний штампа (не менее трех). Размеры и форма штампа должны быть близкими к форме и размерам проектируемого фундамента, но не менее 0,5 м</w:t>
      </w:r>
      <w:r>
        <w:rPr>
          <w:vertAlign w:val="superscript"/>
        </w:rPr>
        <w:t>2</w:t>
      </w:r>
      <w:r>
        <w:t>.</w:t>
      </w:r>
    </w:p>
    <w:p w:rsidR="00E35632" w:rsidRDefault="00E35632">
      <w:pPr>
        <w:pStyle w:val="ConsPlusNormal"/>
        <w:spacing w:before="220"/>
        <w:ind w:firstLine="540"/>
        <w:jc w:val="both"/>
      </w:pPr>
      <w:r>
        <w:t xml:space="preserve">5.6.9 Значение </w:t>
      </w:r>
      <w:r>
        <w:rPr>
          <w:i/>
        </w:rPr>
        <w:t>R</w:t>
      </w:r>
      <w:r>
        <w:t xml:space="preserve"> вычисляют на глубине заложения фундамента, определяемой от уровня планировки срезкой или подсыпкой; в последнем случае в проекте должно быть оговорено требование об устройстве насыпи до приложения полной нагрузки на фундаменты.</w:t>
      </w:r>
    </w:p>
    <w:p w:rsidR="00E35632" w:rsidRDefault="00E35632">
      <w:pPr>
        <w:pStyle w:val="ConsPlusNormal"/>
        <w:spacing w:before="220"/>
        <w:ind w:firstLine="540"/>
        <w:jc w:val="both"/>
      </w:pPr>
      <w:r>
        <w:t>Допускается принимать глубину заложения фундамента от пола подвала менее 0,5 м, если удовлетворяется расчет по несущей способности.</w:t>
      </w:r>
    </w:p>
    <w:p w:rsidR="00E35632" w:rsidRDefault="00E35632">
      <w:pPr>
        <w:pStyle w:val="ConsPlusNormal"/>
        <w:spacing w:before="220"/>
        <w:ind w:firstLine="540"/>
        <w:jc w:val="both"/>
      </w:pPr>
      <w:bookmarkStart w:id="54" w:name="P1113"/>
      <w:bookmarkEnd w:id="54"/>
      <w:r>
        <w:t xml:space="preserve">5.6.10 Расчетные значения </w:t>
      </w:r>
      <w:r>
        <w:rPr>
          <w:noProof/>
          <w:position w:val="-8"/>
        </w:rPr>
        <w:drawing>
          <wp:inline distT="0" distB="0" distL="0" distR="0">
            <wp:extent cx="209550" cy="251460"/>
            <wp:effectExtent l="0" t="0" r="0" b="0"/>
            <wp:docPr id="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w:t>
      </w:r>
      <w:r>
        <w:rPr>
          <w:i/>
        </w:rPr>
        <w:t>c</w:t>
      </w:r>
      <w:r>
        <w:rPr>
          <w:vertAlign w:val="subscript"/>
        </w:rPr>
        <w:t>II</w:t>
      </w:r>
      <w:r>
        <w:t xml:space="preserve"> и </w:t>
      </w:r>
      <w:r>
        <w:rPr>
          <w:noProof/>
          <w:position w:val="-8"/>
        </w:rPr>
        <w:drawing>
          <wp:inline distT="0" distB="0" distL="0" distR="0">
            <wp:extent cx="182880" cy="250825"/>
            <wp:effectExtent l="0" t="0" r="0" b="0"/>
            <wp:docPr id="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 xml:space="preserve"> определяют при доверительной вероятности </w:t>
      </w:r>
      <w:r>
        <w:rPr>
          <w:noProof/>
          <w:position w:val="-1"/>
        </w:rPr>
        <w:drawing>
          <wp:inline distT="0" distB="0" distL="0" distR="0">
            <wp:extent cx="167640" cy="160020"/>
            <wp:effectExtent l="0" t="0" r="0" b="0"/>
            <wp:docPr id="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167640" cy="160020"/>
                    </a:xfrm>
                    <a:prstGeom prst="rect">
                      <a:avLst/>
                    </a:prstGeom>
                    <a:noFill/>
                    <a:ln>
                      <a:noFill/>
                    </a:ln>
                  </pic:spPr>
                </pic:pic>
              </a:graphicData>
            </a:graphic>
          </wp:inline>
        </w:drawing>
      </w:r>
      <w:r>
        <w:t xml:space="preserve">, принимаемой для расчетов по предельному состоянию II равной 0,85. Указанные характеристики находят для слоя грунта толщиной </w:t>
      </w:r>
      <w:r>
        <w:rPr>
          <w:i/>
        </w:rPr>
        <w:t>z</w:t>
      </w:r>
      <w:r>
        <w:t xml:space="preserve"> ниже подошвы фундамента: </w:t>
      </w:r>
      <w:r>
        <w:rPr>
          <w:i/>
        </w:rPr>
        <w:t>z</w:t>
      </w:r>
      <w:r>
        <w:t xml:space="preserve"> = </w:t>
      </w:r>
      <w:r>
        <w:rPr>
          <w:i/>
        </w:rPr>
        <w:t>b</w:t>
      </w:r>
      <w:r>
        <w:t xml:space="preserve">/2 при </w:t>
      </w:r>
      <w:r>
        <w:rPr>
          <w:i/>
        </w:rPr>
        <w:t>b</w:t>
      </w:r>
      <w:r>
        <w:t xml:space="preserve"> &lt; 10 м и </w:t>
      </w:r>
      <w:r>
        <w:rPr>
          <w:i/>
        </w:rPr>
        <w:t>z</w:t>
      </w:r>
      <w:r>
        <w:t xml:space="preserve"> = </w:t>
      </w:r>
      <w:r>
        <w:rPr>
          <w:i/>
        </w:rPr>
        <w:t>z</w:t>
      </w:r>
      <w:r>
        <w:rPr>
          <w:vertAlign w:val="subscript"/>
        </w:rPr>
        <w:t>1</w:t>
      </w:r>
      <w:r>
        <w:t xml:space="preserve"> + 0,1</w:t>
      </w:r>
      <w:r>
        <w:rPr>
          <w:i/>
        </w:rPr>
        <w:t>b</w:t>
      </w:r>
      <w:r>
        <w:t xml:space="preserve"> при </w:t>
      </w:r>
      <w:r>
        <w:rPr>
          <w:i/>
        </w:rPr>
        <w:t>b</w:t>
      </w:r>
      <w:r>
        <w:t xml:space="preserve"> &gt;= 10 м (здесь </w:t>
      </w:r>
      <w:r>
        <w:rPr>
          <w:i/>
        </w:rPr>
        <w:t>z</w:t>
      </w:r>
      <w:r>
        <w:rPr>
          <w:vertAlign w:val="subscript"/>
        </w:rPr>
        <w:t>1</w:t>
      </w:r>
      <w:r>
        <w:t xml:space="preserve"> = 4 м).</w:t>
      </w:r>
    </w:p>
    <w:p w:rsidR="00E35632" w:rsidRDefault="00E35632">
      <w:pPr>
        <w:pStyle w:val="ConsPlusNormal"/>
        <w:spacing w:before="220"/>
        <w:ind w:firstLine="540"/>
        <w:jc w:val="both"/>
      </w:pPr>
      <w:r>
        <w:t>Если толща грунтов, расположенных ниже подошвы фундаментов или выше ее, неоднородна по глубине, то принимают средневзвешенные значения ее характеристик.</w:t>
      </w:r>
    </w:p>
    <w:p w:rsidR="00E35632" w:rsidRDefault="00E35632">
      <w:pPr>
        <w:pStyle w:val="ConsPlusNormal"/>
        <w:spacing w:before="220"/>
        <w:ind w:firstLine="540"/>
        <w:jc w:val="both"/>
      </w:pPr>
      <w:r>
        <w:t xml:space="preserve">5.6.11 При назначении коэффициента условий работы </w:t>
      </w:r>
      <w:r>
        <w:rPr>
          <w:noProof/>
          <w:position w:val="-8"/>
        </w:rPr>
        <w:drawing>
          <wp:inline distT="0" distB="0" distL="0" distR="0">
            <wp:extent cx="241935" cy="251460"/>
            <wp:effectExtent l="0" t="0" r="0" b="0"/>
            <wp:docPr id="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в </w:t>
      </w:r>
      <w:hyperlink w:anchor="P851">
        <w:r>
          <w:rPr>
            <w:color w:val="0000FF"/>
          </w:rPr>
          <w:t>формуле (5.7)</w:t>
        </w:r>
      </w:hyperlink>
      <w:r>
        <w:t xml:space="preserve"> следует иметь в виду, что к числу зданий и сооружений с жесткой конструктивной схемой относятся:</w:t>
      </w:r>
    </w:p>
    <w:p w:rsidR="00E35632" w:rsidRDefault="00E35632">
      <w:pPr>
        <w:pStyle w:val="ConsPlusNormal"/>
        <w:spacing w:before="220"/>
        <w:ind w:firstLine="540"/>
        <w:jc w:val="both"/>
      </w:pPr>
      <w:r>
        <w:t>- здания панельные, блочные и кирпичные, в которых междуэтажные перекрытия опираются по всему контуру на поперечные и продольные стены или только на поперечные несущие стены при малом их шаге;</w:t>
      </w:r>
    </w:p>
    <w:p w:rsidR="00E35632" w:rsidRDefault="00E35632">
      <w:pPr>
        <w:pStyle w:val="ConsPlusNormal"/>
        <w:spacing w:before="220"/>
        <w:ind w:firstLine="540"/>
        <w:jc w:val="both"/>
      </w:pPr>
      <w:r>
        <w:t>- сооружения типа башен, силосных корпусов, дымовых труб, домен и др.</w:t>
      </w:r>
    </w:p>
    <w:p w:rsidR="00E35632" w:rsidRDefault="00E35632">
      <w:pPr>
        <w:pStyle w:val="ConsPlusNormal"/>
        <w:spacing w:before="220"/>
        <w:ind w:firstLine="540"/>
        <w:jc w:val="both"/>
      </w:pPr>
      <w:bookmarkStart w:id="55" w:name="P1118"/>
      <w:bookmarkEnd w:id="55"/>
      <w:r>
        <w:t xml:space="preserve">5.6.12 Предварительные размеры фундаментов назначают по конструктивным соображениям или исходя из значений расчетного сопротивления грунтов основания </w:t>
      </w:r>
      <w:r>
        <w:rPr>
          <w:i/>
        </w:rPr>
        <w:t>R</w:t>
      </w:r>
      <w:r>
        <w:rPr>
          <w:vertAlign w:val="subscript"/>
        </w:rPr>
        <w:t>0</w:t>
      </w:r>
      <w:r>
        <w:t xml:space="preserve"> в соответствии с </w:t>
      </w:r>
      <w:hyperlink w:anchor="P6156">
        <w:r>
          <w:rPr>
            <w:color w:val="0000FF"/>
          </w:rPr>
          <w:t>таблицами Б.1</w:t>
        </w:r>
      </w:hyperlink>
      <w:r>
        <w:t xml:space="preserve"> - </w:t>
      </w:r>
      <w:hyperlink w:anchor="P6211">
        <w:r>
          <w:rPr>
            <w:color w:val="0000FF"/>
          </w:rPr>
          <w:t>Б.3</w:t>
        </w:r>
      </w:hyperlink>
      <w:r>
        <w:t xml:space="preserve"> приложения Б. Значения </w:t>
      </w:r>
      <w:r>
        <w:rPr>
          <w:i/>
        </w:rPr>
        <w:t>R</w:t>
      </w:r>
      <w:r>
        <w:rPr>
          <w:vertAlign w:val="subscript"/>
        </w:rPr>
        <w:t>0</w:t>
      </w:r>
      <w:r>
        <w:t xml:space="preserve"> допускается также использовать для окончательного назначения размеров фундаментов сооружений геотехнической категории 1, если основание сложено горизонтальными (уклон не более 0,1), выдержанными по толщине слоями </w:t>
      </w:r>
      <w:r>
        <w:lastRenderedPageBreak/>
        <w:t>грунта, сжимаемость которых не изменяется в пределах глубины, равной двойной ширине наибольшего фундамента, считая от его подошвы.</w:t>
      </w:r>
    </w:p>
    <w:p w:rsidR="00E35632" w:rsidRDefault="00E35632">
      <w:pPr>
        <w:pStyle w:val="ConsPlusNormal"/>
        <w:spacing w:before="220"/>
        <w:ind w:firstLine="540"/>
        <w:jc w:val="both"/>
      </w:pPr>
      <w:r>
        <w:t xml:space="preserve">5.6.13 Расчетное сопротивление </w:t>
      </w:r>
      <w:r>
        <w:rPr>
          <w:i/>
        </w:rPr>
        <w:t>R</w:t>
      </w:r>
      <w:r>
        <w:t xml:space="preserve"> основания, сложенного крупнообломочными грунтами, вычисляют по </w:t>
      </w:r>
      <w:hyperlink w:anchor="P851">
        <w:r>
          <w:rPr>
            <w:color w:val="0000FF"/>
          </w:rPr>
          <w:t>формуле (5.7)</w:t>
        </w:r>
      </w:hyperlink>
      <w:r>
        <w:t xml:space="preserve"> на основе результатов непосредственных определений прочностных характеристик грунтов.</w:t>
      </w:r>
    </w:p>
    <w:p w:rsidR="00E35632" w:rsidRDefault="00E35632">
      <w:pPr>
        <w:pStyle w:val="ConsPlusNormal"/>
        <w:spacing w:before="220"/>
        <w:ind w:firstLine="540"/>
        <w:jc w:val="both"/>
      </w:pPr>
      <w:r>
        <w:t xml:space="preserve">Если содержание заполнителя превышает 40%, значение </w:t>
      </w:r>
      <w:r>
        <w:rPr>
          <w:i/>
        </w:rPr>
        <w:t>R</w:t>
      </w:r>
      <w:r>
        <w:t xml:space="preserve"> для крупнообломочных грунтов допускается определять по характеристикам заполнителя.</w:t>
      </w:r>
    </w:p>
    <w:p w:rsidR="00E35632" w:rsidRDefault="00E35632">
      <w:pPr>
        <w:pStyle w:val="ConsPlusNormal"/>
        <w:spacing w:before="220"/>
        <w:ind w:firstLine="540"/>
        <w:jc w:val="both"/>
      </w:pPr>
      <w:bookmarkStart w:id="56" w:name="P1121"/>
      <w:bookmarkEnd w:id="56"/>
      <w:r>
        <w:t xml:space="preserve">5.6.14 Расчетное сопротивление грунтов основания </w:t>
      </w:r>
      <w:r>
        <w:rPr>
          <w:i/>
        </w:rPr>
        <w:t>R</w:t>
      </w:r>
      <w:r>
        <w:t xml:space="preserve"> в случае их уплотнения или устройства грунтовых подушек следует определять исходя из задаваемых проектом расчетных значений физико-механических характеристик уплотненных грунтов.</w:t>
      </w:r>
    </w:p>
    <w:p w:rsidR="00E35632" w:rsidRDefault="00E35632">
      <w:pPr>
        <w:pStyle w:val="ConsPlusNormal"/>
        <w:spacing w:before="220"/>
        <w:ind w:firstLine="540"/>
        <w:jc w:val="both"/>
      </w:pPr>
      <w:r>
        <w:t>5.6.15 Для ленточных фундаментов, когда ширина типовых сборных железобетонных плит совпадает с шириной, полученной по расчету, могут быть применены плиты с угловыми вырезами.</w:t>
      </w:r>
    </w:p>
    <w:p w:rsidR="00E35632" w:rsidRDefault="00E35632">
      <w:pPr>
        <w:pStyle w:val="ConsPlusNormal"/>
        <w:spacing w:before="220"/>
        <w:ind w:firstLine="540"/>
        <w:jc w:val="both"/>
      </w:pPr>
      <w:r>
        <w:t>5.6.16 Ленточные фундаменты допускается проектировать с прерывистой укладкой плит (прерывистые фундаменты).</w:t>
      </w:r>
    </w:p>
    <w:p w:rsidR="00E35632" w:rsidRDefault="00E35632">
      <w:pPr>
        <w:pStyle w:val="ConsPlusNormal"/>
        <w:spacing w:before="220"/>
        <w:ind w:firstLine="540"/>
        <w:jc w:val="both"/>
      </w:pPr>
      <w:r>
        <w:t xml:space="preserve">Расчетное сопротивление грунтов основания </w:t>
      </w:r>
      <w:r>
        <w:rPr>
          <w:i/>
        </w:rPr>
        <w:t>R</w:t>
      </w:r>
      <w:r>
        <w:t xml:space="preserve"> для прерывистых фундаментов определяют как для ленточных фундаментов по </w:t>
      </w:r>
      <w:hyperlink w:anchor="P849">
        <w:r>
          <w:rPr>
            <w:color w:val="0000FF"/>
          </w:rPr>
          <w:t>5.6.7</w:t>
        </w:r>
      </w:hyperlink>
      <w:r>
        <w:t xml:space="preserve"> - </w:t>
      </w:r>
      <w:hyperlink w:anchor="P1113">
        <w:r>
          <w:rPr>
            <w:color w:val="0000FF"/>
          </w:rPr>
          <w:t>5.6.10</w:t>
        </w:r>
      </w:hyperlink>
      <w:r>
        <w:t xml:space="preserve"> с повышением значения </w:t>
      </w:r>
      <w:r>
        <w:rPr>
          <w:i/>
        </w:rPr>
        <w:t>R</w:t>
      </w:r>
      <w:r>
        <w:t xml:space="preserve"> коэффициентом </w:t>
      </w:r>
      <w:r>
        <w:rPr>
          <w:i/>
        </w:rPr>
        <w:t>k</w:t>
      </w:r>
      <w:r>
        <w:rPr>
          <w:i/>
          <w:vertAlign w:val="subscript"/>
        </w:rPr>
        <w:t>d</w:t>
      </w:r>
      <w:r>
        <w:t>, принимаемым по таблице 5.6.</w:t>
      </w:r>
    </w:p>
    <w:p w:rsidR="00E35632" w:rsidRDefault="00E35632">
      <w:pPr>
        <w:pStyle w:val="ConsPlusNormal"/>
        <w:jc w:val="both"/>
      </w:pPr>
    </w:p>
    <w:p w:rsidR="00E35632" w:rsidRDefault="00E35632">
      <w:pPr>
        <w:pStyle w:val="ConsPlusNormal"/>
        <w:jc w:val="right"/>
      </w:pPr>
      <w:bookmarkStart w:id="57" w:name="P1126"/>
      <w:bookmarkEnd w:id="57"/>
      <w:r>
        <w:t>Таблица 5.6</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940"/>
        <w:gridCol w:w="2018"/>
        <w:gridCol w:w="2018"/>
        <w:gridCol w:w="2040"/>
      </w:tblGrid>
      <w:tr w:rsidR="00E35632">
        <w:tc>
          <w:tcPr>
            <w:tcW w:w="2940" w:type="dxa"/>
            <w:vMerge w:val="restart"/>
            <w:vAlign w:val="center"/>
          </w:tcPr>
          <w:p w:rsidR="00E35632" w:rsidRDefault="00E35632">
            <w:pPr>
              <w:pStyle w:val="ConsPlusNormal"/>
              <w:jc w:val="center"/>
            </w:pPr>
            <w:r>
              <w:t>Вид фундаментных плит</w:t>
            </w:r>
          </w:p>
        </w:tc>
        <w:tc>
          <w:tcPr>
            <w:tcW w:w="6076" w:type="dxa"/>
            <w:gridSpan w:val="3"/>
            <w:vAlign w:val="center"/>
          </w:tcPr>
          <w:p w:rsidR="00E35632" w:rsidRDefault="00E35632">
            <w:pPr>
              <w:pStyle w:val="ConsPlusNormal"/>
              <w:jc w:val="center"/>
            </w:pPr>
            <w:r>
              <w:t xml:space="preserve">Коэффициент </w:t>
            </w:r>
            <w:r>
              <w:rPr>
                <w:i/>
              </w:rPr>
              <w:t>k</w:t>
            </w:r>
            <w:r>
              <w:rPr>
                <w:i/>
                <w:vertAlign w:val="subscript"/>
              </w:rPr>
              <w:t>d</w:t>
            </w:r>
            <w:r>
              <w:t xml:space="preserve"> для грунтов</w:t>
            </w:r>
          </w:p>
        </w:tc>
      </w:tr>
      <w:tr w:rsidR="00E35632">
        <w:tc>
          <w:tcPr>
            <w:tcW w:w="2940" w:type="dxa"/>
            <w:vMerge/>
          </w:tcPr>
          <w:p w:rsidR="00E35632" w:rsidRDefault="00E35632">
            <w:pPr>
              <w:pStyle w:val="ConsPlusNormal"/>
            </w:pPr>
          </w:p>
        </w:tc>
        <w:tc>
          <w:tcPr>
            <w:tcW w:w="6076" w:type="dxa"/>
            <w:gridSpan w:val="3"/>
            <w:vAlign w:val="center"/>
          </w:tcPr>
          <w:p w:rsidR="00E35632" w:rsidRDefault="00E35632">
            <w:pPr>
              <w:pStyle w:val="ConsPlusNormal"/>
              <w:jc w:val="center"/>
            </w:pPr>
            <w:r>
              <w:t xml:space="preserve">пески (кроме рыхлых) при коэффициенте пористости </w:t>
            </w:r>
            <w:r>
              <w:rPr>
                <w:i/>
              </w:rPr>
              <w:t>e</w:t>
            </w:r>
          </w:p>
        </w:tc>
      </w:tr>
      <w:tr w:rsidR="00E35632">
        <w:tc>
          <w:tcPr>
            <w:tcW w:w="2940" w:type="dxa"/>
            <w:vMerge/>
          </w:tcPr>
          <w:p w:rsidR="00E35632" w:rsidRDefault="00E35632">
            <w:pPr>
              <w:pStyle w:val="ConsPlusNormal"/>
            </w:pPr>
          </w:p>
        </w:tc>
        <w:tc>
          <w:tcPr>
            <w:tcW w:w="2018" w:type="dxa"/>
            <w:vAlign w:val="center"/>
          </w:tcPr>
          <w:p w:rsidR="00E35632" w:rsidRDefault="00E35632">
            <w:pPr>
              <w:pStyle w:val="ConsPlusNormal"/>
              <w:jc w:val="center"/>
            </w:pPr>
            <w:r>
              <w:rPr>
                <w:i/>
              </w:rPr>
              <w:t>e</w:t>
            </w:r>
            <w:r>
              <w:t xml:space="preserve"> &lt;= 0,5</w:t>
            </w:r>
          </w:p>
        </w:tc>
        <w:tc>
          <w:tcPr>
            <w:tcW w:w="2018" w:type="dxa"/>
            <w:vAlign w:val="center"/>
          </w:tcPr>
          <w:p w:rsidR="00E35632" w:rsidRDefault="00E35632">
            <w:pPr>
              <w:pStyle w:val="ConsPlusNormal"/>
              <w:jc w:val="center"/>
            </w:pPr>
            <w:r>
              <w:rPr>
                <w:i/>
              </w:rPr>
              <w:t>e</w:t>
            </w:r>
            <w:r>
              <w:t xml:space="preserve"> = 0,6</w:t>
            </w:r>
          </w:p>
        </w:tc>
        <w:tc>
          <w:tcPr>
            <w:tcW w:w="2040" w:type="dxa"/>
            <w:vAlign w:val="center"/>
          </w:tcPr>
          <w:p w:rsidR="00E35632" w:rsidRDefault="00E35632">
            <w:pPr>
              <w:pStyle w:val="ConsPlusNormal"/>
              <w:jc w:val="center"/>
            </w:pPr>
            <w:r>
              <w:rPr>
                <w:i/>
              </w:rPr>
              <w:t>e</w:t>
            </w:r>
            <w:r>
              <w:t xml:space="preserve"> &gt;= 0,7</w:t>
            </w:r>
          </w:p>
        </w:tc>
      </w:tr>
      <w:tr w:rsidR="00E35632">
        <w:tc>
          <w:tcPr>
            <w:tcW w:w="2940" w:type="dxa"/>
            <w:vMerge/>
          </w:tcPr>
          <w:p w:rsidR="00E35632" w:rsidRDefault="00E35632">
            <w:pPr>
              <w:pStyle w:val="ConsPlusNormal"/>
            </w:pPr>
          </w:p>
        </w:tc>
        <w:tc>
          <w:tcPr>
            <w:tcW w:w="6076" w:type="dxa"/>
            <w:gridSpan w:val="3"/>
            <w:vAlign w:val="center"/>
          </w:tcPr>
          <w:p w:rsidR="00E35632" w:rsidRDefault="00E35632">
            <w:pPr>
              <w:pStyle w:val="ConsPlusNormal"/>
              <w:jc w:val="center"/>
            </w:pPr>
            <w:r>
              <w:t xml:space="preserve">глинистые при показателе текучести </w:t>
            </w:r>
            <w:r>
              <w:rPr>
                <w:i/>
              </w:rPr>
              <w:t>I</w:t>
            </w:r>
            <w:r>
              <w:rPr>
                <w:i/>
                <w:vertAlign w:val="subscript"/>
              </w:rPr>
              <w:t>L</w:t>
            </w:r>
          </w:p>
        </w:tc>
      </w:tr>
      <w:tr w:rsidR="00E35632">
        <w:tc>
          <w:tcPr>
            <w:tcW w:w="2940" w:type="dxa"/>
            <w:vMerge/>
          </w:tcPr>
          <w:p w:rsidR="00E35632" w:rsidRDefault="00E35632">
            <w:pPr>
              <w:pStyle w:val="ConsPlusNormal"/>
            </w:pPr>
          </w:p>
        </w:tc>
        <w:tc>
          <w:tcPr>
            <w:tcW w:w="2018" w:type="dxa"/>
            <w:vAlign w:val="center"/>
          </w:tcPr>
          <w:p w:rsidR="00E35632" w:rsidRDefault="00E35632">
            <w:pPr>
              <w:pStyle w:val="ConsPlusNormal"/>
              <w:jc w:val="center"/>
            </w:pPr>
            <w:r>
              <w:rPr>
                <w:i/>
              </w:rPr>
              <w:t>I</w:t>
            </w:r>
            <w:r>
              <w:rPr>
                <w:i/>
                <w:vertAlign w:val="subscript"/>
              </w:rPr>
              <w:t>L</w:t>
            </w:r>
            <w:r>
              <w:t xml:space="preserve"> &lt;= 0</w:t>
            </w:r>
          </w:p>
        </w:tc>
        <w:tc>
          <w:tcPr>
            <w:tcW w:w="2018" w:type="dxa"/>
            <w:vAlign w:val="center"/>
          </w:tcPr>
          <w:p w:rsidR="00E35632" w:rsidRDefault="00E35632">
            <w:pPr>
              <w:pStyle w:val="ConsPlusNormal"/>
              <w:jc w:val="center"/>
            </w:pPr>
            <w:r>
              <w:rPr>
                <w:i/>
              </w:rPr>
              <w:t>I</w:t>
            </w:r>
            <w:r>
              <w:rPr>
                <w:i/>
                <w:vertAlign w:val="subscript"/>
              </w:rPr>
              <w:t>L</w:t>
            </w:r>
            <w:r>
              <w:t xml:space="preserve"> = 0,25</w:t>
            </w:r>
          </w:p>
        </w:tc>
        <w:tc>
          <w:tcPr>
            <w:tcW w:w="2040" w:type="dxa"/>
            <w:vAlign w:val="center"/>
          </w:tcPr>
          <w:p w:rsidR="00E35632" w:rsidRDefault="00E35632">
            <w:pPr>
              <w:pStyle w:val="ConsPlusNormal"/>
              <w:jc w:val="center"/>
            </w:pPr>
            <w:r>
              <w:rPr>
                <w:i/>
              </w:rPr>
              <w:t>I</w:t>
            </w:r>
            <w:r>
              <w:rPr>
                <w:i/>
                <w:vertAlign w:val="subscript"/>
              </w:rPr>
              <w:t>L</w:t>
            </w:r>
            <w:r>
              <w:t xml:space="preserve"> &gt;= 0,5</w:t>
            </w:r>
          </w:p>
        </w:tc>
      </w:tr>
      <w:tr w:rsidR="00E35632">
        <w:tc>
          <w:tcPr>
            <w:tcW w:w="2940" w:type="dxa"/>
          </w:tcPr>
          <w:p w:rsidR="00E35632" w:rsidRDefault="00E35632">
            <w:pPr>
              <w:pStyle w:val="ConsPlusNormal"/>
            </w:pPr>
            <w:r>
              <w:t>Прямоугольные</w:t>
            </w:r>
          </w:p>
        </w:tc>
        <w:tc>
          <w:tcPr>
            <w:tcW w:w="2018" w:type="dxa"/>
          </w:tcPr>
          <w:p w:rsidR="00E35632" w:rsidRDefault="00E35632">
            <w:pPr>
              <w:pStyle w:val="ConsPlusNormal"/>
              <w:jc w:val="center"/>
            </w:pPr>
            <w:r>
              <w:t>1,3</w:t>
            </w:r>
          </w:p>
        </w:tc>
        <w:tc>
          <w:tcPr>
            <w:tcW w:w="2018" w:type="dxa"/>
          </w:tcPr>
          <w:p w:rsidR="00E35632" w:rsidRDefault="00E35632">
            <w:pPr>
              <w:pStyle w:val="ConsPlusNormal"/>
              <w:jc w:val="center"/>
            </w:pPr>
            <w:r>
              <w:t>1,15</w:t>
            </w:r>
          </w:p>
        </w:tc>
        <w:tc>
          <w:tcPr>
            <w:tcW w:w="2040" w:type="dxa"/>
          </w:tcPr>
          <w:p w:rsidR="00E35632" w:rsidRDefault="00E35632">
            <w:pPr>
              <w:pStyle w:val="ConsPlusNormal"/>
              <w:jc w:val="center"/>
            </w:pPr>
            <w:r>
              <w:t>1,0</w:t>
            </w:r>
          </w:p>
        </w:tc>
      </w:tr>
      <w:tr w:rsidR="00E35632">
        <w:tc>
          <w:tcPr>
            <w:tcW w:w="2940" w:type="dxa"/>
          </w:tcPr>
          <w:p w:rsidR="00E35632" w:rsidRDefault="00E35632">
            <w:pPr>
              <w:pStyle w:val="ConsPlusNormal"/>
            </w:pPr>
            <w:r>
              <w:t>С угловыми вырезами</w:t>
            </w:r>
          </w:p>
        </w:tc>
        <w:tc>
          <w:tcPr>
            <w:tcW w:w="2018" w:type="dxa"/>
          </w:tcPr>
          <w:p w:rsidR="00E35632" w:rsidRDefault="00E35632">
            <w:pPr>
              <w:pStyle w:val="ConsPlusNormal"/>
              <w:jc w:val="center"/>
            </w:pPr>
            <w:r>
              <w:t>1,3</w:t>
            </w:r>
          </w:p>
        </w:tc>
        <w:tc>
          <w:tcPr>
            <w:tcW w:w="2018" w:type="dxa"/>
          </w:tcPr>
          <w:p w:rsidR="00E35632" w:rsidRDefault="00E35632">
            <w:pPr>
              <w:pStyle w:val="ConsPlusNormal"/>
              <w:jc w:val="center"/>
            </w:pPr>
            <w:r>
              <w:t>1,15</w:t>
            </w:r>
          </w:p>
        </w:tc>
        <w:tc>
          <w:tcPr>
            <w:tcW w:w="2040" w:type="dxa"/>
          </w:tcPr>
          <w:p w:rsidR="00E35632" w:rsidRDefault="00E35632">
            <w:pPr>
              <w:pStyle w:val="ConsPlusNormal"/>
              <w:jc w:val="center"/>
            </w:pPr>
            <w:r>
              <w:t>1,15</w:t>
            </w:r>
          </w:p>
        </w:tc>
      </w:tr>
      <w:tr w:rsidR="00E35632">
        <w:tc>
          <w:tcPr>
            <w:tcW w:w="9016" w:type="dxa"/>
            <w:gridSpan w:val="4"/>
          </w:tcPr>
          <w:p w:rsidR="00E35632" w:rsidRDefault="00E35632">
            <w:pPr>
              <w:pStyle w:val="ConsPlusNormal"/>
              <w:ind w:firstLine="283"/>
              <w:jc w:val="both"/>
            </w:pPr>
            <w:r>
              <w:t>Примечания</w:t>
            </w:r>
          </w:p>
          <w:p w:rsidR="00E35632" w:rsidRDefault="00E35632">
            <w:pPr>
              <w:pStyle w:val="ConsPlusNormal"/>
              <w:ind w:firstLine="283"/>
              <w:jc w:val="both"/>
            </w:pPr>
            <w:r>
              <w:t xml:space="preserve">1 При промежуточных значениях </w:t>
            </w:r>
            <w:r>
              <w:rPr>
                <w:i/>
              </w:rPr>
              <w:t>e</w:t>
            </w:r>
            <w:r>
              <w:t xml:space="preserve"> и </w:t>
            </w:r>
            <w:r>
              <w:rPr>
                <w:i/>
              </w:rPr>
              <w:t>I</w:t>
            </w:r>
            <w:r>
              <w:rPr>
                <w:i/>
                <w:vertAlign w:val="subscript"/>
              </w:rPr>
              <w:t>L</w:t>
            </w:r>
            <w:r>
              <w:t xml:space="preserve"> коэффициент </w:t>
            </w:r>
            <w:r>
              <w:rPr>
                <w:i/>
              </w:rPr>
              <w:t>k</w:t>
            </w:r>
            <w:r>
              <w:rPr>
                <w:i/>
                <w:vertAlign w:val="subscript"/>
              </w:rPr>
              <w:t>d</w:t>
            </w:r>
            <w:r>
              <w:t xml:space="preserve"> определяют интерполяцией.</w:t>
            </w:r>
          </w:p>
          <w:p w:rsidR="00E35632" w:rsidRDefault="00E35632">
            <w:pPr>
              <w:pStyle w:val="ConsPlusNormal"/>
              <w:ind w:firstLine="283"/>
              <w:jc w:val="both"/>
            </w:pPr>
            <w:r>
              <w:t xml:space="preserve">2 Для плит с угловыми вырезами коэффициент </w:t>
            </w:r>
            <w:r>
              <w:rPr>
                <w:i/>
              </w:rPr>
              <w:t>k</w:t>
            </w:r>
            <w:r>
              <w:rPr>
                <w:i/>
                <w:vertAlign w:val="subscript"/>
              </w:rPr>
              <w:t>d</w:t>
            </w:r>
            <w:r>
              <w:t xml:space="preserve"> учитывает повышение </w:t>
            </w:r>
            <w:r>
              <w:rPr>
                <w:i/>
              </w:rPr>
              <w:t>R</w:t>
            </w:r>
            <w:r>
              <w:t xml:space="preserve"> в соответствии с </w:t>
            </w:r>
            <w:hyperlink w:anchor="P874">
              <w:r>
                <w:rPr>
                  <w:color w:val="0000FF"/>
                </w:rPr>
                <w:t>примечанием 4 к 5.6.7</w:t>
              </w:r>
            </w:hyperlink>
            <w:r>
              <w:t>.</w:t>
            </w:r>
          </w:p>
        </w:tc>
      </w:tr>
    </w:tbl>
    <w:p w:rsidR="00E35632" w:rsidRDefault="00E35632">
      <w:pPr>
        <w:pStyle w:val="ConsPlusNormal"/>
        <w:jc w:val="both"/>
      </w:pPr>
    </w:p>
    <w:p w:rsidR="00E35632" w:rsidRDefault="00E35632">
      <w:pPr>
        <w:pStyle w:val="ConsPlusNormal"/>
        <w:ind w:firstLine="540"/>
        <w:jc w:val="both"/>
      </w:pPr>
      <w:r>
        <w:t>5.6.17 Прерывистые фундаменты с повышением расчетного сопротивления основания не рекомендуются:</w:t>
      </w:r>
    </w:p>
    <w:p w:rsidR="00E35632" w:rsidRDefault="00E35632">
      <w:pPr>
        <w:pStyle w:val="ConsPlusNormal"/>
        <w:spacing w:before="220"/>
        <w:ind w:firstLine="540"/>
        <w:jc w:val="both"/>
      </w:pPr>
      <w:r>
        <w:t>- в грунтовых условиях типа I по просадочности при отсутствии поверхностного уплотнения грунта в пределах деформируемой зоны;</w:t>
      </w:r>
    </w:p>
    <w:p w:rsidR="00E35632" w:rsidRDefault="00E35632">
      <w:pPr>
        <w:pStyle w:val="ConsPlusNormal"/>
        <w:spacing w:before="220"/>
        <w:ind w:firstLine="540"/>
        <w:jc w:val="both"/>
      </w:pPr>
      <w:r>
        <w:t>- при сейсмичности 7 баллов и более.</w:t>
      </w:r>
    </w:p>
    <w:p w:rsidR="00E35632" w:rsidRDefault="00E35632">
      <w:pPr>
        <w:pStyle w:val="ConsPlusNormal"/>
        <w:spacing w:before="220"/>
        <w:ind w:firstLine="540"/>
        <w:jc w:val="both"/>
      </w:pPr>
      <w:r>
        <w:t>5.6.18 При устройстве прерывистых фундаментов также могут применяться плиты с угловыми вырезами за исключением следующих случаев:</w:t>
      </w:r>
    </w:p>
    <w:p w:rsidR="00E35632" w:rsidRDefault="00E35632">
      <w:pPr>
        <w:pStyle w:val="ConsPlusNormal"/>
        <w:spacing w:before="220"/>
        <w:ind w:firstLine="540"/>
        <w:jc w:val="both"/>
      </w:pPr>
      <w:r>
        <w:lastRenderedPageBreak/>
        <w:t>- при залегании под подошвой фундаментов рыхлых песков;</w:t>
      </w:r>
    </w:p>
    <w:p w:rsidR="00E35632" w:rsidRDefault="00E35632">
      <w:pPr>
        <w:pStyle w:val="ConsPlusNormal"/>
        <w:spacing w:before="220"/>
        <w:ind w:firstLine="540"/>
        <w:jc w:val="both"/>
      </w:pPr>
      <w:r>
        <w:t>- сейсмичности района 7 баллов и более (в этом случае можно применять плиты с угловыми вырезами, укладывая их в виде непрерывной ленты);</w:t>
      </w:r>
    </w:p>
    <w:p w:rsidR="00E35632" w:rsidRDefault="00E35632">
      <w:pPr>
        <w:pStyle w:val="ConsPlusNormal"/>
        <w:spacing w:before="220"/>
        <w:ind w:firstLine="540"/>
        <w:jc w:val="both"/>
      </w:pPr>
      <w:r>
        <w:t>- неравномерном напластовании грунтов в пределах сооружения;</w:t>
      </w:r>
    </w:p>
    <w:p w:rsidR="00E35632" w:rsidRDefault="00E35632">
      <w:pPr>
        <w:pStyle w:val="ConsPlusNormal"/>
        <w:spacing w:before="220"/>
        <w:ind w:firstLine="540"/>
        <w:jc w:val="both"/>
      </w:pPr>
      <w:r>
        <w:t xml:space="preserve">- залегании ниже подошвы фундаментов глинистых грунтов с показателем текучести </w:t>
      </w:r>
      <w:r>
        <w:rPr>
          <w:i/>
        </w:rPr>
        <w:t>I</w:t>
      </w:r>
      <w:r>
        <w:rPr>
          <w:i/>
          <w:vertAlign w:val="subscript"/>
        </w:rPr>
        <w:t>L</w:t>
      </w:r>
      <w:r>
        <w:t xml:space="preserve"> &gt; 0,5.</w:t>
      </w:r>
    </w:p>
    <w:p w:rsidR="00E35632" w:rsidRDefault="00E35632">
      <w:pPr>
        <w:pStyle w:val="ConsPlusNormal"/>
        <w:spacing w:before="220"/>
        <w:ind w:firstLine="540"/>
        <w:jc w:val="both"/>
      </w:pPr>
      <w:r>
        <w:t xml:space="preserve">5.6.19 При совпадении ширины типовой сборной железобетонной плиты с шириной фундамента, полученной по расчету, плиты прямоугольной формы и с угловыми вырезами укладывают в виде непрерывной ленты. В этом случае расчетное сопротивление грунта основания </w:t>
      </w:r>
      <w:r>
        <w:rPr>
          <w:i/>
        </w:rPr>
        <w:t>R</w:t>
      </w:r>
      <w:r>
        <w:t xml:space="preserve">, вычисленное по </w:t>
      </w:r>
      <w:hyperlink w:anchor="P851">
        <w:r>
          <w:rPr>
            <w:color w:val="0000FF"/>
          </w:rPr>
          <w:t>формуле (5.7)</w:t>
        </w:r>
      </w:hyperlink>
      <w:r>
        <w:t xml:space="preserve">, может быть повышено в соответствии с рекомендациями </w:t>
      </w:r>
      <w:hyperlink w:anchor="P1213">
        <w:r>
          <w:rPr>
            <w:color w:val="0000FF"/>
          </w:rPr>
          <w:t>5.6.24</w:t>
        </w:r>
      </w:hyperlink>
      <w:r>
        <w:t>.</w:t>
      </w:r>
    </w:p>
    <w:p w:rsidR="00E35632" w:rsidRDefault="00E35632">
      <w:pPr>
        <w:pStyle w:val="ConsPlusNormal"/>
        <w:spacing w:before="220"/>
        <w:ind w:firstLine="540"/>
        <w:jc w:val="both"/>
      </w:pPr>
      <w:r>
        <w:t xml:space="preserve">При несовпадении ширины фундамента, полученной по расчету, с шириной типовой сборной плиты, проектируют прерывистые фундаменты. Для прерывистых фундаментов, проектируемых с повышением расчетного сопротивления основания, вычисленного по </w:t>
      </w:r>
      <w:hyperlink w:anchor="P851">
        <w:r>
          <w:rPr>
            <w:color w:val="0000FF"/>
          </w:rPr>
          <w:t>формуле (5.7)</w:t>
        </w:r>
      </w:hyperlink>
      <w:r>
        <w:t xml:space="preserve">, коэффициент повышения не должен быть больше значений, приведенных в таблице 5.7, а для плит прямоугольной формы, кроме того, не должен быть больше коэффициента </w:t>
      </w:r>
      <w:r>
        <w:rPr>
          <w:i/>
        </w:rPr>
        <w:t>k</w:t>
      </w:r>
      <w:r>
        <w:rPr>
          <w:i/>
          <w:vertAlign w:val="subscript"/>
        </w:rPr>
        <w:t>d</w:t>
      </w:r>
      <w:r>
        <w:t xml:space="preserve">, приведенного в </w:t>
      </w:r>
      <w:hyperlink w:anchor="P1126">
        <w:r>
          <w:rPr>
            <w:color w:val="0000FF"/>
          </w:rPr>
          <w:t>таблице 5.6</w:t>
        </w:r>
      </w:hyperlink>
      <w:r>
        <w:t>.</w:t>
      </w:r>
    </w:p>
    <w:p w:rsidR="00E35632" w:rsidRDefault="00E35632">
      <w:pPr>
        <w:pStyle w:val="ConsPlusNormal"/>
        <w:jc w:val="both"/>
      </w:pPr>
    </w:p>
    <w:p w:rsidR="00E35632" w:rsidRDefault="00E35632">
      <w:pPr>
        <w:pStyle w:val="ConsPlusNormal"/>
        <w:jc w:val="right"/>
      </w:pPr>
      <w:r>
        <w:t>Таблица 5.7</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940"/>
        <w:gridCol w:w="3940"/>
        <w:gridCol w:w="1178"/>
      </w:tblGrid>
      <w:tr w:rsidR="00E35632">
        <w:tc>
          <w:tcPr>
            <w:tcW w:w="3940" w:type="dxa"/>
            <w:tcBorders>
              <w:top w:val="single" w:sz="4" w:space="0" w:color="auto"/>
              <w:bottom w:val="single" w:sz="4" w:space="0" w:color="auto"/>
            </w:tcBorders>
            <w:vAlign w:val="center"/>
          </w:tcPr>
          <w:p w:rsidR="00E35632" w:rsidRDefault="00E35632">
            <w:pPr>
              <w:pStyle w:val="ConsPlusNormal"/>
              <w:jc w:val="center"/>
            </w:pPr>
            <w:r>
              <w:t xml:space="preserve">Расчетная ширина ленточного фундамента </w:t>
            </w:r>
            <w:r>
              <w:rPr>
                <w:i/>
              </w:rPr>
              <w:t>b</w:t>
            </w:r>
            <w:r>
              <w:t>, м</w:t>
            </w:r>
          </w:p>
        </w:tc>
        <w:tc>
          <w:tcPr>
            <w:tcW w:w="3940" w:type="dxa"/>
            <w:tcBorders>
              <w:top w:val="single" w:sz="4" w:space="0" w:color="auto"/>
              <w:bottom w:val="single" w:sz="4" w:space="0" w:color="auto"/>
            </w:tcBorders>
            <w:vAlign w:val="center"/>
          </w:tcPr>
          <w:p w:rsidR="00E35632" w:rsidRDefault="00E35632">
            <w:pPr>
              <w:pStyle w:val="ConsPlusNormal"/>
              <w:jc w:val="center"/>
            </w:pPr>
            <w:r>
              <w:t xml:space="preserve">Ширина прерывистого фундамента </w:t>
            </w:r>
            <w:r>
              <w:rPr>
                <w:i/>
              </w:rPr>
              <w:t>b</w:t>
            </w:r>
            <w:r>
              <w:rPr>
                <w:i/>
                <w:vertAlign w:val="subscript"/>
              </w:rPr>
              <w:t>b</w:t>
            </w:r>
            <w:r>
              <w:t>, м</w:t>
            </w:r>
          </w:p>
        </w:tc>
        <w:tc>
          <w:tcPr>
            <w:tcW w:w="1178" w:type="dxa"/>
            <w:tcBorders>
              <w:top w:val="single" w:sz="4" w:space="0" w:color="auto"/>
              <w:bottom w:val="single" w:sz="4" w:space="0" w:color="auto"/>
            </w:tcBorders>
            <w:vAlign w:val="center"/>
          </w:tcPr>
          <w:p w:rsidR="00E35632" w:rsidRDefault="00E35632">
            <w:pPr>
              <w:pStyle w:val="ConsPlusNormal"/>
              <w:jc w:val="center"/>
            </w:pPr>
            <w:r>
              <w:rPr>
                <w:i/>
              </w:rPr>
              <w:t>k'</w:t>
            </w:r>
            <w:r>
              <w:rPr>
                <w:i/>
                <w:vertAlign w:val="subscript"/>
              </w:rPr>
              <w:t>d</w:t>
            </w:r>
          </w:p>
        </w:tc>
      </w:tr>
      <w:tr w:rsidR="00E35632">
        <w:tblPrEx>
          <w:tblBorders>
            <w:insideH w:val="none" w:sz="0" w:space="0" w:color="auto"/>
          </w:tblBorders>
        </w:tblPrEx>
        <w:tc>
          <w:tcPr>
            <w:tcW w:w="3940" w:type="dxa"/>
            <w:tcBorders>
              <w:top w:val="single" w:sz="4" w:space="0" w:color="auto"/>
              <w:bottom w:val="nil"/>
            </w:tcBorders>
          </w:tcPr>
          <w:p w:rsidR="00E35632" w:rsidRDefault="00E35632">
            <w:pPr>
              <w:pStyle w:val="ConsPlusNormal"/>
              <w:jc w:val="center"/>
            </w:pPr>
            <w:r>
              <w:t>1,3</w:t>
            </w:r>
          </w:p>
        </w:tc>
        <w:tc>
          <w:tcPr>
            <w:tcW w:w="3940" w:type="dxa"/>
            <w:tcBorders>
              <w:top w:val="single" w:sz="4" w:space="0" w:color="auto"/>
              <w:bottom w:val="nil"/>
            </w:tcBorders>
          </w:tcPr>
          <w:p w:rsidR="00E35632" w:rsidRDefault="00E35632">
            <w:pPr>
              <w:pStyle w:val="ConsPlusNormal"/>
              <w:jc w:val="center"/>
            </w:pPr>
            <w:r>
              <w:t>1,4</w:t>
            </w:r>
          </w:p>
        </w:tc>
        <w:tc>
          <w:tcPr>
            <w:tcW w:w="1178" w:type="dxa"/>
            <w:tcBorders>
              <w:top w:val="single" w:sz="4" w:space="0" w:color="auto"/>
              <w:bottom w:val="nil"/>
            </w:tcBorders>
          </w:tcPr>
          <w:p w:rsidR="00E35632" w:rsidRDefault="00E35632">
            <w:pPr>
              <w:pStyle w:val="ConsPlusNormal"/>
              <w:jc w:val="center"/>
            </w:pPr>
            <w:r>
              <w:t>1,07</w:t>
            </w:r>
          </w:p>
        </w:tc>
      </w:tr>
      <w:tr w:rsidR="00E35632">
        <w:tblPrEx>
          <w:tblBorders>
            <w:insideH w:val="none" w:sz="0" w:space="0" w:color="auto"/>
          </w:tblBorders>
        </w:tblPrEx>
        <w:tc>
          <w:tcPr>
            <w:tcW w:w="3940" w:type="dxa"/>
            <w:tcBorders>
              <w:top w:val="nil"/>
              <w:bottom w:val="nil"/>
            </w:tcBorders>
          </w:tcPr>
          <w:p w:rsidR="00E35632" w:rsidRDefault="00E35632">
            <w:pPr>
              <w:pStyle w:val="ConsPlusNormal"/>
              <w:jc w:val="center"/>
            </w:pPr>
            <w:r>
              <w:t>1,5</w:t>
            </w:r>
          </w:p>
        </w:tc>
        <w:tc>
          <w:tcPr>
            <w:tcW w:w="3940" w:type="dxa"/>
            <w:tcBorders>
              <w:top w:val="nil"/>
              <w:bottom w:val="nil"/>
            </w:tcBorders>
          </w:tcPr>
          <w:p w:rsidR="00E35632" w:rsidRDefault="00E35632">
            <w:pPr>
              <w:pStyle w:val="ConsPlusNormal"/>
              <w:jc w:val="center"/>
            </w:pPr>
            <w:r>
              <w:t>1,6</w:t>
            </w:r>
          </w:p>
        </w:tc>
        <w:tc>
          <w:tcPr>
            <w:tcW w:w="1178" w:type="dxa"/>
            <w:tcBorders>
              <w:top w:val="nil"/>
              <w:bottom w:val="nil"/>
            </w:tcBorders>
          </w:tcPr>
          <w:p w:rsidR="00E35632" w:rsidRDefault="00E35632">
            <w:pPr>
              <w:pStyle w:val="ConsPlusNormal"/>
              <w:jc w:val="center"/>
            </w:pPr>
            <w:r>
              <w:t>1,11</w:t>
            </w:r>
          </w:p>
        </w:tc>
      </w:tr>
      <w:tr w:rsidR="00E35632">
        <w:tblPrEx>
          <w:tblBorders>
            <w:insideH w:val="none" w:sz="0" w:space="0" w:color="auto"/>
          </w:tblBorders>
        </w:tblPrEx>
        <w:tc>
          <w:tcPr>
            <w:tcW w:w="3940" w:type="dxa"/>
            <w:tcBorders>
              <w:top w:val="nil"/>
              <w:bottom w:val="nil"/>
            </w:tcBorders>
          </w:tcPr>
          <w:p w:rsidR="00E35632" w:rsidRDefault="00E35632">
            <w:pPr>
              <w:pStyle w:val="ConsPlusNormal"/>
              <w:jc w:val="center"/>
            </w:pPr>
            <w:r>
              <w:t>1,7</w:t>
            </w:r>
          </w:p>
        </w:tc>
        <w:tc>
          <w:tcPr>
            <w:tcW w:w="3940" w:type="dxa"/>
            <w:tcBorders>
              <w:top w:val="nil"/>
              <w:bottom w:val="nil"/>
            </w:tcBorders>
          </w:tcPr>
          <w:p w:rsidR="00E35632" w:rsidRDefault="00E35632">
            <w:pPr>
              <w:pStyle w:val="ConsPlusNormal"/>
              <w:jc w:val="center"/>
            </w:pPr>
            <w:r>
              <w:t>2</w:t>
            </w:r>
          </w:p>
        </w:tc>
        <w:tc>
          <w:tcPr>
            <w:tcW w:w="1178" w:type="dxa"/>
            <w:tcBorders>
              <w:top w:val="nil"/>
              <w:bottom w:val="nil"/>
            </w:tcBorders>
          </w:tcPr>
          <w:p w:rsidR="00E35632" w:rsidRDefault="00E35632">
            <w:pPr>
              <w:pStyle w:val="ConsPlusNormal"/>
              <w:jc w:val="center"/>
            </w:pPr>
            <w:r>
              <w:t>1,18</w:t>
            </w:r>
          </w:p>
        </w:tc>
      </w:tr>
      <w:tr w:rsidR="00E35632">
        <w:tblPrEx>
          <w:tblBorders>
            <w:insideH w:val="none" w:sz="0" w:space="0" w:color="auto"/>
          </w:tblBorders>
        </w:tblPrEx>
        <w:tc>
          <w:tcPr>
            <w:tcW w:w="3940" w:type="dxa"/>
            <w:tcBorders>
              <w:top w:val="nil"/>
              <w:bottom w:val="nil"/>
            </w:tcBorders>
          </w:tcPr>
          <w:p w:rsidR="00E35632" w:rsidRDefault="00E35632">
            <w:pPr>
              <w:pStyle w:val="ConsPlusNormal"/>
              <w:jc w:val="center"/>
            </w:pPr>
            <w:r>
              <w:t>1,8</w:t>
            </w:r>
          </w:p>
        </w:tc>
        <w:tc>
          <w:tcPr>
            <w:tcW w:w="3940" w:type="dxa"/>
            <w:tcBorders>
              <w:top w:val="nil"/>
              <w:bottom w:val="nil"/>
            </w:tcBorders>
          </w:tcPr>
          <w:p w:rsidR="00E35632" w:rsidRDefault="00E35632">
            <w:pPr>
              <w:pStyle w:val="ConsPlusNormal"/>
              <w:jc w:val="center"/>
            </w:pPr>
            <w:r>
              <w:t>2</w:t>
            </w:r>
          </w:p>
        </w:tc>
        <w:tc>
          <w:tcPr>
            <w:tcW w:w="1178" w:type="dxa"/>
            <w:tcBorders>
              <w:top w:val="nil"/>
              <w:bottom w:val="nil"/>
            </w:tcBorders>
          </w:tcPr>
          <w:p w:rsidR="00E35632" w:rsidRDefault="00E35632">
            <w:pPr>
              <w:pStyle w:val="ConsPlusNormal"/>
              <w:jc w:val="center"/>
            </w:pPr>
            <w:r>
              <w:t>1,17</w:t>
            </w:r>
          </w:p>
        </w:tc>
      </w:tr>
      <w:tr w:rsidR="00E35632">
        <w:tblPrEx>
          <w:tblBorders>
            <w:insideH w:val="none" w:sz="0" w:space="0" w:color="auto"/>
          </w:tblBorders>
        </w:tblPrEx>
        <w:tc>
          <w:tcPr>
            <w:tcW w:w="3940" w:type="dxa"/>
            <w:tcBorders>
              <w:top w:val="nil"/>
              <w:bottom w:val="nil"/>
            </w:tcBorders>
          </w:tcPr>
          <w:p w:rsidR="00E35632" w:rsidRDefault="00E35632">
            <w:pPr>
              <w:pStyle w:val="ConsPlusNormal"/>
              <w:jc w:val="center"/>
            </w:pPr>
            <w:r>
              <w:t>1,9</w:t>
            </w:r>
          </w:p>
        </w:tc>
        <w:tc>
          <w:tcPr>
            <w:tcW w:w="3940" w:type="dxa"/>
            <w:tcBorders>
              <w:top w:val="nil"/>
              <w:bottom w:val="nil"/>
            </w:tcBorders>
          </w:tcPr>
          <w:p w:rsidR="00E35632" w:rsidRDefault="00E35632">
            <w:pPr>
              <w:pStyle w:val="ConsPlusNormal"/>
              <w:jc w:val="center"/>
            </w:pPr>
            <w:r>
              <w:t>2</w:t>
            </w:r>
          </w:p>
        </w:tc>
        <w:tc>
          <w:tcPr>
            <w:tcW w:w="1178" w:type="dxa"/>
            <w:tcBorders>
              <w:top w:val="nil"/>
              <w:bottom w:val="nil"/>
            </w:tcBorders>
          </w:tcPr>
          <w:p w:rsidR="00E35632" w:rsidRDefault="00E35632">
            <w:pPr>
              <w:pStyle w:val="ConsPlusNormal"/>
              <w:jc w:val="center"/>
            </w:pPr>
            <w:r>
              <w:t>1,09</w:t>
            </w:r>
          </w:p>
        </w:tc>
      </w:tr>
      <w:tr w:rsidR="00E35632">
        <w:tblPrEx>
          <w:tblBorders>
            <w:insideH w:val="none" w:sz="0" w:space="0" w:color="auto"/>
          </w:tblBorders>
        </w:tblPrEx>
        <w:tc>
          <w:tcPr>
            <w:tcW w:w="3940" w:type="dxa"/>
            <w:tcBorders>
              <w:top w:val="nil"/>
              <w:bottom w:val="nil"/>
            </w:tcBorders>
          </w:tcPr>
          <w:p w:rsidR="00E35632" w:rsidRDefault="00E35632">
            <w:pPr>
              <w:pStyle w:val="ConsPlusNormal"/>
              <w:jc w:val="center"/>
            </w:pPr>
            <w:r>
              <w:t>2,1</w:t>
            </w:r>
          </w:p>
        </w:tc>
        <w:tc>
          <w:tcPr>
            <w:tcW w:w="3940" w:type="dxa"/>
            <w:tcBorders>
              <w:top w:val="nil"/>
              <w:bottom w:val="nil"/>
            </w:tcBorders>
          </w:tcPr>
          <w:p w:rsidR="00E35632" w:rsidRDefault="00E35632">
            <w:pPr>
              <w:pStyle w:val="ConsPlusNormal"/>
              <w:jc w:val="center"/>
            </w:pPr>
            <w:r>
              <w:t>2,4</w:t>
            </w:r>
          </w:p>
        </w:tc>
        <w:tc>
          <w:tcPr>
            <w:tcW w:w="1178" w:type="dxa"/>
            <w:tcBorders>
              <w:top w:val="nil"/>
              <w:bottom w:val="nil"/>
            </w:tcBorders>
          </w:tcPr>
          <w:p w:rsidR="00E35632" w:rsidRDefault="00E35632">
            <w:pPr>
              <w:pStyle w:val="ConsPlusNormal"/>
              <w:jc w:val="center"/>
            </w:pPr>
            <w:r>
              <w:t>1,18</w:t>
            </w:r>
          </w:p>
        </w:tc>
      </w:tr>
      <w:tr w:rsidR="00E35632">
        <w:tblPrEx>
          <w:tblBorders>
            <w:insideH w:val="none" w:sz="0" w:space="0" w:color="auto"/>
          </w:tblBorders>
        </w:tblPrEx>
        <w:tc>
          <w:tcPr>
            <w:tcW w:w="3940" w:type="dxa"/>
            <w:tcBorders>
              <w:top w:val="nil"/>
              <w:bottom w:val="nil"/>
            </w:tcBorders>
          </w:tcPr>
          <w:p w:rsidR="00E35632" w:rsidRDefault="00E35632">
            <w:pPr>
              <w:pStyle w:val="ConsPlusNormal"/>
              <w:jc w:val="center"/>
            </w:pPr>
            <w:r>
              <w:t>2,2</w:t>
            </w:r>
          </w:p>
        </w:tc>
        <w:tc>
          <w:tcPr>
            <w:tcW w:w="3940" w:type="dxa"/>
            <w:tcBorders>
              <w:top w:val="nil"/>
              <w:bottom w:val="nil"/>
            </w:tcBorders>
          </w:tcPr>
          <w:p w:rsidR="00E35632" w:rsidRDefault="00E35632">
            <w:pPr>
              <w:pStyle w:val="ConsPlusNormal"/>
              <w:jc w:val="center"/>
            </w:pPr>
            <w:r>
              <w:t>2,4</w:t>
            </w:r>
          </w:p>
        </w:tc>
        <w:tc>
          <w:tcPr>
            <w:tcW w:w="1178" w:type="dxa"/>
            <w:tcBorders>
              <w:top w:val="nil"/>
              <w:bottom w:val="nil"/>
            </w:tcBorders>
          </w:tcPr>
          <w:p w:rsidR="00E35632" w:rsidRDefault="00E35632">
            <w:pPr>
              <w:pStyle w:val="ConsPlusNormal"/>
              <w:jc w:val="center"/>
            </w:pPr>
            <w:r>
              <w:t>1,13</w:t>
            </w:r>
          </w:p>
        </w:tc>
      </w:tr>
      <w:tr w:rsidR="00E35632">
        <w:tblPrEx>
          <w:tblBorders>
            <w:insideH w:val="none" w:sz="0" w:space="0" w:color="auto"/>
          </w:tblBorders>
        </w:tblPrEx>
        <w:tc>
          <w:tcPr>
            <w:tcW w:w="3940" w:type="dxa"/>
            <w:tcBorders>
              <w:top w:val="nil"/>
              <w:bottom w:val="nil"/>
            </w:tcBorders>
          </w:tcPr>
          <w:p w:rsidR="00E35632" w:rsidRDefault="00E35632">
            <w:pPr>
              <w:pStyle w:val="ConsPlusNormal"/>
              <w:jc w:val="center"/>
            </w:pPr>
            <w:r>
              <w:t>2,3</w:t>
            </w:r>
          </w:p>
        </w:tc>
        <w:tc>
          <w:tcPr>
            <w:tcW w:w="3940" w:type="dxa"/>
            <w:tcBorders>
              <w:top w:val="nil"/>
              <w:bottom w:val="nil"/>
            </w:tcBorders>
          </w:tcPr>
          <w:p w:rsidR="00E35632" w:rsidRDefault="00E35632">
            <w:pPr>
              <w:pStyle w:val="ConsPlusNormal"/>
              <w:jc w:val="center"/>
            </w:pPr>
            <w:r>
              <w:t>2,4</w:t>
            </w:r>
          </w:p>
        </w:tc>
        <w:tc>
          <w:tcPr>
            <w:tcW w:w="1178" w:type="dxa"/>
            <w:tcBorders>
              <w:top w:val="nil"/>
              <w:bottom w:val="nil"/>
            </w:tcBorders>
          </w:tcPr>
          <w:p w:rsidR="00E35632" w:rsidRDefault="00E35632">
            <w:pPr>
              <w:pStyle w:val="ConsPlusNormal"/>
              <w:jc w:val="center"/>
            </w:pPr>
            <w:r>
              <w:t>1,1</w:t>
            </w:r>
          </w:p>
        </w:tc>
      </w:tr>
      <w:tr w:rsidR="00E35632">
        <w:tblPrEx>
          <w:tblBorders>
            <w:insideH w:val="none" w:sz="0" w:space="0" w:color="auto"/>
          </w:tblBorders>
        </w:tblPrEx>
        <w:tc>
          <w:tcPr>
            <w:tcW w:w="3940" w:type="dxa"/>
            <w:tcBorders>
              <w:top w:val="nil"/>
              <w:bottom w:val="nil"/>
            </w:tcBorders>
          </w:tcPr>
          <w:p w:rsidR="00E35632" w:rsidRDefault="00E35632">
            <w:pPr>
              <w:pStyle w:val="ConsPlusNormal"/>
              <w:jc w:val="center"/>
            </w:pPr>
            <w:r>
              <w:t>2,5</w:t>
            </w:r>
          </w:p>
        </w:tc>
        <w:tc>
          <w:tcPr>
            <w:tcW w:w="3940" w:type="dxa"/>
            <w:tcBorders>
              <w:top w:val="nil"/>
              <w:bottom w:val="nil"/>
            </w:tcBorders>
          </w:tcPr>
          <w:p w:rsidR="00E35632" w:rsidRDefault="00E35632">
            <w:pPr>
              <w:pStyle w:val="ConsPlusNormal"/>
              <w:jc w:val="center"/>
            </w:pPr>
            <w:r>
              <w:t>2,8</w:t>
            </w:r>
          </w:p>
        </w:tc>
        <w:tc>
          <w:tcPr>
            <w:tcW w:w="1178" w:type="dxa"/>
            <w:tcBorders>
              <w:top w:val="nil"/>
              <w:bottom w:val="nil"/>
            </w:tcBorders>
          </w:tcPr>
          <w:p w:rsidR="00E35632" w:rsidRDefault="00E35632">
            <w:pPr>
              <w:pStyle w:val="ConsPlusNormal"/>
              <w:jc w:val="center"/>
            </w:pPr>
            <w:r>
              <w:t>1,17</w:t>
            </w:r>
          </w:p>
        </w:tc>
      </w:tr>
      <w:tr w:rsidR="00E35632">
        <w:tblPrEx>
          <w:tblBorders>
            <w:insideH w:val="none" w:sz="0" w:space="0" w:color="auto"/>
          </w:tblBorders>
        </w:tblPrEx>
        <w:tc>
          <w:tcPr>
            <w:tcW w:w="3940" w:type="dxa"/>
            <w:tcBorders>
              <w:top w:val="nil"/>
              <w:bottom w:val="nil"/>
            </w:tcBorders>
          </w:tcPr>
          <w:p w:rsidR="00E35632" w:rsidRDefault="00E35632">
            <w:pPr>
              <w:pStyle w:val="ConsPlusNormal"/>
              <w:jc w:val="center"/>
            </w:pPr>
            <w:r>
              <w:t>2,6</w:t>
            </w:r>
          </w:p>
        </w:tc>
        <w:tc>
          <w:tcPr>
            <w:tcW w:w="3940" w:type="dxa"/>
            <w:tcBorders>
              <w:top w:val="nil"/>
              <w:bottom w:val="nil"/>
            </w:tcBorders>
          </w:tcPr>
          <w:p w:rsidR="00E35632" w:rsidRDefault="00E35632">
            <w:pPr>
              <w:pStyle w:val="ConsPlusNormal"/>
              <w:jc w:val="center"/>
            </w:pPr>
            <w:r>
              <w:t>2,8</w:t>
            </w:r>
          </w:p>
        </w:tc>
        <w:tc>
          <w:tcPr>
            <w:tcW w:w="1178" w:type="dxa"/>
            <w:tcBorders>
              <w:top w:val="nil"/>
              <w:bottom w:val="nil"/>
            </w:tcBorders>
          </w:tcPr>
          <w:p w:rsidR="00E35632" w:rsidRDefault="00E35632">
            <w:pPr>
              <w:pStyle w:val="ConsPlusNormal"/>
              <w:jc w:val="center"/>
            </w:pPr>
            <w:r>
              <w:t>1,15</w:t>
            </w:r>
          </w:p>
        </w:tc>
      </w:tr>
      <w:tr w:rsidR="00E35632">
        <w:tblPrEx>
          <w:tblBorders>
            <w:insideH w:val="none" w:sz="0" w:space="0" w:color="auto"/>
          </w:tblBorders>
        </w:tblPrEx>
        <w:tc>
          <w:tcPr>
            <w:tcW w:w="3940" w:type="dxa"/>
            <w:tcBorders>
              <w:top w:val="nil"/>
              <w:bottom w:val="nil"/>
            </w:tcBorders>
          </w:tcPr>
          <w:p w:rsidR="00E35632" w:rsidRDefault="00E35632">
            <w:pPr>
              <w:pStyle w:val="ConsPlusNormal"/>
              <w:jc w:val="center"/>
            </w:pPr>
            <w:r>
              <w:t>2,7</w:t>
            </w:r>
          </w:p>
        </w:tc>
        <w:tc>
          <w:tcPr>
            <w:tcW w:w="3940" w:type="dxa"/>
            <w:tcBorders>
              <w:top w:val="nil"/>
              <w:bottom w:val="nil"/>
            </w:tcBorders>
          </w:tcPr>
          <w:p w:rsidR="00E35632" w:rsidRDefault="00E35632">
            <w:pPr>
              <w:pStyle w:val="ConsPlusNormal"/>
              <w:jc w:val="center"/>
            </w:pPr>
            <w:r>
              <w:t>2,8</w:t>
            </w:r>
          </w:p>
        </w:tc>
        <w:tc>
          <w:tcPr>
            <w:tcW w:w="1178" w:type="dxa"/>
            <w:tcBorders>
              <w:top w:val="nil"/>
              <w:bottom w:val="nil"/>
            </w:tcBorders>
          </w:tcPr>
          <w:p w:rsidR="00E35632" w:rsidRDefault="00E35632">
            <w:pPr>
              <w:pStyle w:val="ConsPlusNormal"/>
              <w:jc w:val="center"/>
            </w:pPr>
            <w:r>
              <w:t>1,12</w:t>
            </w:r>
          </w:p>
        </w:tc>
      </w:tr>
      <w:tr w:rsidR="00E35632">
        <w:tblPrEx>
          <w:tblBorders>
            <w:insideH w:val="none" w:sz="0" w:space="0" w:color="auto"/>
          </w:tblBorders>
        </w:tblPrEx>
        <w:tc>
          <w:tcPr>
            <w:tcW w:w="3940" w:type="dxa"/>
            <w:tcBorders>
              <w:top w:val="nil"/>
              <w:bottom w:val="nil"/>
            </w:tcBorders>
          </w:tcPr>
          <w:p w:rsidR="00E35632" w:rsidRDefault="00E35632">
            <w:pPr>
              <w:pStyle w:val="ConsPlusNormal"/>
              <w:jc w:val="center"/>
            </w:pPr>
            <w:r>
              <w:t>2,9</w:t>
            </w:r>
          </w:p>
        </w:tc>
        <w:tc>
          <w:tcPr>
            <w:tcW w:w="3940" w:type="dxa"/>
            <w:tcBorders>
              <w:top w:val="nil"/>
              <w:bottom w:val="nil"/>
            </w:tcBorders>
          </w:tcPr>
          <w:p w:rsidR="00E35632" w:rsidRDefault="00E35632">
            <w:pPr>
              <w:pStyle w:val="ConsPlusNormal"/>
              <w:jc w:val="center"/>
            </w:pPr>
            <w:r>
              <w:t>3,2</w:t>
            </w:r>
          </w:p>
        </w:tc>
        <w:tc>
          <w:tcPr>
            <w:tcW w:w="1178" w:type="dxa"/>
            <w:tcBorders>
              <w:top w:val="nil"/>
              <w:bottom w:val="nil"/>
            </w:tcBorders>
          </w:tcPr>
          <w:p w:rsidR="00E35632" w:rsidRDefault="00E35632">
            <w:pPr>
              <w:pStyle w:val="ConsPlusNormal"/>
              <w:jc w:val="center"/>
            </w:pPr>
            <w:r>
              <w:t>1,13</w:t>
            </w:r>
          </w:p>
        </w:tc>
      </w:tr>
      <w:tr w:rsidR="00E35632">
        <w:tblPrEx>
          <w:tblBorders>
            <w:insideH w:val="none" w:sz="0" w:space="0" w:color="auto"/>
          </w:tblBorders>
        </w:tblPrEx>
        <w:tc>
          <w:tcPr>
            <w:tcW w:w="3940" w:type="dxa"/>
            <w:tcBorders>
              <w:top w:val="nil"/>
              <w:bottom w:val="nil"/>
            </w:tcBorders>
          </w:tcPr>
          <w:p w:rsidR="00E35632" w:rsidRDefault="00E35632">
            <w:pPr>
              <w:pStyle w:val="ConsPlusNormal"/>
              <w:jc w:val="center"/>
            </w:pPr>
            <w:r>
              <w:t>3</w:t>
            </w:r>
          </w:p>
        </w:tc>
        <w:tc>
          <w:tcPr>
            <w:tcW w:w="3940" w:type="dxa"/>
            <w:tcBorders>
              <w:top w:val="nil"/>
              <w:bottom w:val="nil"/>
            </w:tcBorders>
          </w:tcPr>
          <w:p w:rsidR="00E35632" w:rsidRDefault="00E35632">
            <w:pPr>
              <w:pStyle w:val="ConsPlusNormal"/>
              <w:jc w:val="center"/>
            </w:pPr>
            <w:r>
              <w:t>3,2</w:t>
            </w:r>
          </w:p>
        </w:tc>
        <w:tc>
          <w:tcPr>
            <w:tcW w:w="1178" w:type="dxa"/>
            <w:tcBorders>
              <w:top w:val="nil"/>
              <w:bottom w:val="nil"/>
            </w:tcBorders>
          </w:tcPr>
          <w:p w:rsidR="00E35632" w:rsidRDefault="00E35632">
            <w:pPr>
              <w:pStyle w:val="ConsPlusNormal"/>
              <w:jc w:val="center"/>
            </w:pPr>
            <w:r>
              <w:t>1,11</w:t>
            </w:r>
          </w:p>
        </w:tc>
      </w:tr>
      <w:tr w:rsidR="00E35632">
        <w:tblPrEx>
          <w:tblBorders>
            <w:insideH w:val="none" w:sz="0" w:space="0" w:color="auto"/>
          </w:tblBorders>
        </w:tblPrEx>
        <w:tc>
          <w:tcPr>
            <w:tcW w:w="3940" w:type="dxa"/>
            <w:tcBorders>
              <w:top w:val="nil"/>
              <w:bottom w:val="single" w:sz="4" w:space="0" w:color="auto"/>
            </w:tcBorders>
          </w:tcPr>
          <w:p w:rsidR="00E35632" w:rsidRDefault="00E35632">
            <w:pPr>
              <w:pStyle w:val="ConsPlusNormal"/>
              <w:jc w:val="center"/>
            </w:pPr>
            <w:r>
              <w:t>3,1</w:t>
            </w:r>
          </w:p>
        </w:tc>
        <w:tc>
          <w:tcPr>
            <w:tcW w:w="3940" w:type="dxa"/>
            <w:tcBorders>
              <w:top w:val="nil"/>
              <w:bottom w:val="single" w:sz="4" w:space="0" w:color="auto"/>
            </w:tcBorders>
          </w:tcPr>
          <w:p w:rsidR="00E35632" w:rsidRDefault="00E35632">
            <w:pPr>
              <w:pStyle w:val="ConsPlusNormal"/>
              <w:jc w:val="center"/>
            </w:pPr>
            <w:r>
              <w:t>3,2</w:t>
            </w:r>
          </w:p>
        </w:tc>
        <w:tc>
          <w:tcPr>
            <w:tcW w:w="1178" w:type="dxa"/>
            <w:tcBorders>
              <w:top w:val="nil"/>
              <w:bottom w:val="single" w:sz="4" w:space="0" w:color="auto"/>
            </w:tcBorders>
          </w:tcPr>
          <w:p w:rsidR="00E35632" w:rsidRDefault="00E35632">
            <w:pPr>
              <w:pStyle w:val="ConsPlusNormal"/>
              <w:jc w:val="center"/>
            </w:pPr>
            <w:r>
              <w:t>1,09</w:t>
            </w:r>
          </w:p>
        </w:tc>
      </w:tr>
    </w:tbl>
    <w:p w:rsidR="00E35632" w:rsidRDefault="00E35632">
      <w:pPr>
        <w:pStyle w:val="ConsPlusNormal"/>
        <w:jc w:val="both"/>
      </w:pPr>
    </w:p>
    <w:p w:rsidR="00E35632" w:rsidRDefault="00E35632">
      <w:pPr>
        <w:pStyle w:val="ConsPlusNormal"/>
        <w:ind w:firstLine="540"/>
        <w:jc w:val="both"/>
      </w:pPr>
      <w:r>
        <w:t xml:space="preserve">5.6.20 Для фундаментов с промежуточной подготовкой переменной жесткости расчетное сопротивление грунта основания под бетонной частью вычисляют по </w:t>
      </w:r>
      <w:hyperlink w:anchor="P851">
        <w:r>
          <w:rPr>
            <w:color w:val="0000FF"/>
          </w:rPr>
          <w:t>формуле (5.7)</w:t>
        </w:r>
      </w:hyperlink>
      <w:r>
        <w:t xml:space="preserve">. При этом расчетное сопротивление грунта основания под бетонной частью фундамента принимают не менее </w:t>
      </w:r>
      <w:r>
        <w:lastRenderedPageBreak/>
        <w:t>2</w:t>
      </w:r>
      <w:r>
        <w:rPr>
          <w:i/>
        </w:rPr>
        <w:t>R</w:t>
      </w:r>
      <w:r>
        <w:t>.</w:t>
      </w:r>
    </w:p>
    <w:p w:rsidR="00E35632" w:rsidRDefault="00E35632">
      <w:pPr>
        <w:pStyle w:val="ConsPlusNormal"/>
        <w:spacing w:before="220"/>
        <w:ind w:firstLine="540"/>
        <w:jc w:val="both"/>
      </w:pPr>
      <w:r>
        <w:t>5.6.21 Расчет осадки ленточных с угловыми вырезами и прерывистых фундаментов проводят как расчет сплошного ленточного фундамента на среднее давление, отнесенное к общей площади фундамента, включая промежутки между плитами и угловые вырезы.</w:t>
      </w:r>
    </w:p>
    <w:p w:rsidR="00E35632" w:rsidRDefault="00E35632">
      <w:pPr>
        <w:pStyle w:val="ConsPlusNormal"/>
        <w:spacing w:before="220"/>
        <w:ind w:firstLine="540"/>
        <w:jc w:val="both"/>
      </w:pPr>
      <w:r>
        <w:t xml:space="preserve">5.6.22 Расчетное сопротивление грунта основания </w:t>
      </w:r>
      <w:r>
        <w:rPr>
          <w:i/>
        </w:rPr>
        <w:t>R</w:t>
      </w:r>
      <w:r>
        <w:t xml:space="preserve"> двухщелевого (многощелевого) фундамента следует определять для каждого из его элементов отдельно по </w:t>
      </w:r>
      <w:hyperlink w:anchor="P851">
        <w:r>
          <w:rPr>
            <w:color w:val="0000FF"/>
          </w:rPr>
          <w:t>формуле (5.7)</w:t>
        </w:r>
      </w:hyperlink>
      <w:r>
        <w:t xml:space="preserve">. Допускается повышать в 1,3 раза расчетное сопротивление грунта основания </w:t>
      </w:r>
      <w:r>
        <w:rPr>
          <w:i/>
        </w:rPr>
        <w:t>R</w:t>
      </w:r>
      <w:r>
        <w:t xml:space="preserve"> под подошвами стенок многощелевого фундамента при толщине стенок </w:t>
      </w:r>
      <w:r>
        <w:rPr>
          <w:i/>
        </w:rPr>
        <w:t>t</w:t>
      </w:r>
      <w:r>
        <w:t xml:space="preserve"> &lt;= 0,4 м и осадке основания фундамента </w:t>
      </w:r>
      <w:r>
        <w:rPr>
          <w:i/>
        </w:rPr>
        <w:t>s</w:t>
      </w:r>
      <w:r>
        <w:t xml:space="preserve"> &lt;= 0,7</w:t>
      </w:r>
      <w:r>
        <w:rPr>
          <w:i/>
        </w:rPr>
        <w:t>s</w:t>
      </w:r>
      <w:r>
        <w:rPr>
          <w:i/>
          <w:vertAlign w:val="subscript"/>
        </w:rPr>
        <w:t>u</w:t>
      </w:r>
      <w:r>
        <w:t xml:space="preserve"> (см. </w:t>
      </w:r>
      <w:hyperlink w:anchor="P823">
        <w:r>
          <w:rPr>
            <w:color w:val="0000FF"/>
          </w:rPr>
          <w:t>5.6.5</w:t>
        </w:r>
      </w:hyperlink>
      <w:r>
        <w:t>).</w:t>
      </w:r>
    </w:p>
    <w:p w:rsidR="00E35632" w:rsidRDefault="00E35632">
      <w:pPr>
        <w:pStyle w:val="ConsPlusNormal"/>
        <w:spacing w:before="220"/>
        <w:ind w:firstLine="540"/>
        <w:jc w:val="both"/>
      </w:pPr>
      <w:bookmarkStart w:id="58" w:name="P1212"/>
      <w:bookmarkEnd w:id="58"/>
      <w:r>
        <w:t xml:space="preserve">5.6.23 При увеличении нагрузок на основание существующих сооружений (например, при реконструкции) расчетное сопротивление грунтов основания следует принимать в соответствии с данными об их физико-механических свойствах с учетом типа и состояния фундаментов и надфундаментных конструкций сооружения, продолжительностью его эксплуатации, ожидаемых дополнительных осадок при увеличении нагрузок на фундаменты и их влияния на примыкающие сооружения (см. </w:t>
      </w:r>
      <w:hyperlink w:anchor="P2227">
        <w:r>
          <w:rPr>
            <w:color w:val="0000FF"/>
          </w:rPr>
          <w:t>5.8</w:t>
        </w:r>
      </w:hyperlink>
      <w:r>
        <w:t>).</w:t>
      </w:r>
    </w:p>
    <w:p w:rsidR="00E35632" w:rsidRDefault="00E35632">
      <w:pPr>
        <w:pStyle w:val="ConsPlusNormal"/>
        <w:spacing w:before="220"/>
        <w:ind w:firstLine="540"/>
        <w:jc w:val="both"/>
      </w:pPr>
      <w:bookmarkStart w:id="59" w:name="P1213"/>
      <w:bookmarkEnd w:id="59"/>
      <w:r>
        <w:t xml:space="preserve">5.6.24 Расчетное сопротивление грунта основания </w:t>
      </w:r>
      <w:r>
        <w:rPr>
          <w:i/>
        </w:rPr>
        <w:t>R</w:t>
      </w:r>
      <w:r>
        <w:t xml:space="preserve">, вычисленное по </w:t>
      </w:r>
      <w:hyperlink w:anchor="P851">
        <w:r>
          <w:rPr>
            <w:color w:val="0000FF"/>
          </w:rPr>
          <w:t>формуле (5.7)</w:t>
        </w:r>
      </w:hyperlink>
      <w:r>
        <w:t xml:space="preserve">, может быть повышено в зависимости от соотношения расчетной осадки основания фундамента </w:t>
      </w:r>
      <w:r>
        <w:rPr>
          <w:i/>
        </w:rPr>
        <w:t>s</w:t>
      </w:r>
      <w:r>
        <w:t xml:space="preserve">, полученной при среднем давлении по подошве фундамента </w:t>
      </w:r>
      <w:r>
        <w:rPr>
          <w:i/>
        </w:rPr>
        <w:t>p</w:t>
      </w:r>
      <w:r>
        <w:t xml:space="preserve"> = </w:t>
      </w:r>
      <w:r>
        <w:rPr>
          <w:i/>
        </w:rPr>
        <w:t>R</w:t>
      </w:r>
      <w:r>
        <w:t xml:space="preserve"> по </w:t>
      </w:r>
      <w:hyperlink w:anchor="P1300">
        <w:r>
          <w:rPr>
            <w:color w:val="0000FF"/>
          </w:rPr>
          <w:t>формуле (5.16)</w:t>
        </w:r>
      </w:hyperlink>
      <w:r>
        <w:t xml:space="preserve">, и предельной осадки </w:t>
      </w:r>
      <w:r>
        <w:rPr>
          <w:i/>
        </w:rPr>
        <w:t>s</w:t>
      </w:r>
      <w:r>
        <w:rPr>
          <w:i/>
          <w:vertAlign w:val="subscript"/>
        </w:rPr>
        <w:t>u</w:t>
      </w:r>
      <w:r>
        <w:t xml:space="preserve"> (см. </w:t>
      </w:r>
      <w:hyperlink w:anchor="P1786">
        <w:r>
          <w:rPr>
            <w:color w:val="0000FF"/>
          </w:rPr>
          <w:t>5.6.46</w:t>
        </w:r>
      </w:hyperlink>
      <w:r>
        <w:t xml:space="preserve"> - </w:t>
      </w:r>
      <w:hyperlink w:anchor="P1801">
        <w:r>
          <w:rPr>
            <w:color w:val="0000FF"/>
          </w:rPr>
          <w:t>5.6.50</w:t>
        </w:r>
      </w:hyperlink>
      <w:r>
        <w:t xml:space="preserve">). При этом увеличенное значение давления по подошве фундамента не должно превышать рекомендуемых значений повышенного расчетного сопротивления </w:t>
      </w:r>
      <w:r>
        <w:rPr>
          <w:i/>
        </w:rPr>
        <w:t>R</w:t>
      </w:r>
      <w:r>
        <w:rPr>
          <w:vertAlign w:val="subscript"/>
        </w:rPr>
        <w:t>П</w:t>
      </w:r>
      <w:r>
        <w:t xml:space="preserve"> при:</w:t>
      </w:r>
    </w:p>
    <w:p w:rsidR="00E35632" w:rsidRDefault="00E35632">
      <w:pPr>
        <w:pStyle w:val="ConsPlusNormal"/>
        <w:spacing w:before="220"/>
        <w:ind w:firstLine="540"/>
        <w:jc w:val="both"/>
      </w:pPr>
      <w:r>
        <w:t xml:space="preserve">а) </w:t>
      </w:r>
      <w:r>
        <w:rPr>
          <w:i/>
        </w:rPr>
        <w:t>s</w:t>
      </w:r>
      <w:r>
        <w:t xml:space="preserve"> &lt;= 0,4</w:t>
      </w:r>
      <w:r>
        <w:rPr>
          <w:i/>
        </w:rPr>
        <w:t>s</w:t>
      </w:r>
      <w:r>
        <w:rPr>
          <w:i/>
          <w:vertAlign w:val="subscript"/>
        </w:rPr>
        <w:t>u</w:t>
      </w:r>
      <w:r>
        <w:t xml:space="preserve"> - </w:t>
      </w:r>
      <w:r>
        <w:rPr>
          <w:i/>
        </w:rPr>
        <w:t>R</w:t>
      </w:r>
      <w:r>
        <w:rPr>
          <w:vertAlign w:val="subscript"/>
        </w:rPr>
        <w:t>П</w:t>
      </w:r>
      <w:r>
        <w:t xml:space="preserve"> = 1,2</w:t>
      </w:r>
      <w:r>
        <w:rPr>
          <w:i/>
        </w:rPr>
        <w:t>R</w:t>
      </w:r>
      <w:r>
        <w:t>;</w:t>
      </w:r>
    </w:p>
    <w:p w:rsidR="00E35632" w:rsidRDefault="00E35632">
      <w:pPr>
        <w:pStyle w:val="ConsPlusNormal"/>
        <w:spacing w:before="220"/>
        <w:ind w:firstLine="540"/>
        <w:jc w:val="both"/>
      </w:pPr>
      <w:r>
        <w:t xml:space="preserve">б) </w:t>
      </w:r>
      <w:r>
        <w:rPr>
          <w:i/>
        </w:rPr>
        <w:t>s</w:t>
      </w:r>
      <w:r>
        <w:t xml:space="preserve"> &gt;= 0,7</w:t>
      </w:r>
      <w:r>
        <w:rPr>
          <w:i/>
        </w:rPr>
        <w:t>s</w:t>
      </w:r>
      <w:r>
        <w:rPr>
          <w:i/>
          <w:vertAlign w:val="subscript"/>
        </w:rPr>
        <w:t>u</w:t>
      </w:r>
      <w:r>
        <w:t xml:space="preserve"> - </w:t>
      </w:r>
      <w:r>
        <w:rPr>
          <w:i/>
        </w:rPr>
        <w:t>R</w:t>
      </w:r>
      <w:r>
        <w:rPr>
          <w:vertAlign w:val="subscript"/>
        </w:rPr>
        <w:t>П</w:t>
      </w:r>
      <w:r>
        <w:t xml:space="preserve"> = </w:t>
      </w:r>
      <w:r>
        <w:rPr>
          <w:i/>
        </w:rPr>
        <w:t>R</w:t>
      </w:r>
      <w:r>
        <w:t>;</w:t>
      </w:r>
    </w:p>
    <w:p w:rsidR="00E35632" w:rsidRDefault="00E35632">
      <w:pPr>
        <w:pStyle w:val="ConsPlusNormal"/>
        <w:spacing w:before="220"/>
        <w:ind w:firstLine="540"/>
        <w:jc w:val="both"/>
      </w:pPr>
      <w:r>
        <w:t>в) 0,7</w:t>
      </w:r>
      <w:r>
        <w:rPr>
          <w:i/>
        </w:rPr>
        <w:t>s</w:t>
      </w:r>
      <w:r>
        <w:rPr>
          <w:i/>
          <w:vertAlign w:val="subscript"/>
        </w:rPr>
        <w:t>u</w:t>
      </w:r>
      <w:r>
        <w:t xml:space="preserve"> &gt; </w:t>
      </w:r>
      <w:r>
        <w:rPr>
          <w:i/>
        </w:rPr>
        <w:t>s</w:t>
      </w:r>
      <w:r>
        <w:t xml:space="preserve"> &gt; 0,4</w:t>
      </w:r>
      <w:r>
        <w:rPr>
          <w:i/>
        </w:rPr>
        <w:t>s</w:t>
      </w:r>
      <w:r>
        <w:rPr>
          <w:i/>
          <w:vertAlign w:val="subscript"/>
        </w:rPr>
        <w:t>u</w:t>
      </w:r>
      <w:r>
        <w:t xml:space="preserve"> - </w:t>
      </w:r>
      <w:r>
        <w:rPr>
          <w:i/>
        </w:rPr>
        <w:t>R</w:t>
      </w:r>
      <w:r>
        <w:rPr>
          <w:vertAlign w:val="subscript"/>
        </w:rPr>
        <w:t>П</w:t>
      </w:r>
      <w:r>
        <w:t xml:space="preserve"> определяют интерполяцией.</w:t>
      </w:r>
    </w:p>
    <w:p w:rsidR="00E35632" w:rsidRDefault="00E35632">
      <w:pPr>
        <w:pStyle w:val="ConsPlusNormal"/>
        <w:spacing w:before="220"/>
        <w:ind w:firstLine="540"/>
        <w:jc w:val="both"/>
      </w:pPr>
      <w:r>
        <w:t xml:space="preserve">При соответствующем обосновании допускается при </w:t>
      </w:r>
      <w:r>
        <w:rPr>
          <w:i/>
        </w:rPr>
        <w:t>s</w:t>
      </w:r>
      <w:r>
        <w:t xml:space="preserve"> &lt;= 0,4</w:t>
      </w:r>
      <w:r>
        <w:rPr>
          <w:i/>
        </w:rPr>
        <w:t>s</w:t>
      </w:r>
      <w:r>
        <w:rPr>
          <w:i/>
          <w:vertAlign w:val="subscript"/>
        </w:rPr>
        <w:t>u</w:t>
      </w:r>
      <w:r>
        <w:t xml:space="preserve"> принимать </w:t>
      </w:r>
      <w:r>
        <w:rPr>
          <w:i/>
        </w:rPr>
        <w:t>R</w:t>
      </w:r>
      <w:r>
        <w:rPr>
          <w:vertAlign w:val="subscript"/>
        </w:rPr>
        <w:t>П</w:t>
      </w:r>
      <w:r>
        <w:t xml:space="preserve"> = 1,3</w:t>
      </w:r>
      <w:r>
        <w:rPr>
          <w:i/>
        </w:rPr>
        <w:t>R.</w:t>
      </w:r>
    </w:p>
    <w:p w:rsidR="00E35632" w:rsidRDefault="00E35632">
      <w:pPr>
        <w:pStyle w:val="ConsPlusNormal"/>
        <w:spacing w:before="220"/>
        <w:ind w:firstLine="540"/>
        <w:jc w:val="both"/>
      </w:pPr>
      <w:r>
        <w:t xml:space="preserve">Увеличенное значение среднего давления по подошве фундамента, ограниченного величиной повышенного расчетного сопротивления </w:t>
      </w:r>
      <w:r>
        <w:rPr>
          <w:i/>
        </w:rPr>
        <w:t>R</w:t>
      </w:r>
      <w:r>
        <w:rPr>
          <w:vertAlign w:val="subscript"/>
        </w:rPr>
        <w:t>П</w:t>
      </w:r>
      <w:r>
        <w:t xml:space="preserve">, не должно вызывать деформации основания фундамента более 80% предельных значений и превышать величину давления из условия расчета основания по несущей способности в соответствии с требованиями </w:t>
      </w:r>
      <w:hyperlink w:anchor="P1829">
        <w:r>
          <w:rPr>
            <w:color w:val="0000FF"/>
          </w:rPr>
          <w:t>5.7</w:t>
        </w:r>
      </w:hyperlink>
      <w:r>
        <w:t>.</w:t>
      </w:r>
    </w:p>
    <w:p w:rsidR="00E35632" w:rsidRDefault="00E35632">
      <w:pPr>
        <w:pStyle w:val="ConsPlusNormal"/>
        <w:spacing w:before="220"/>
        <w:ind w:firstLine="540"/>
        <w:jc w:val="both"/>
      </w:pPr>
      <w:bookmarkStart w:id="60" w:name="P1219"/>
      <w:bookmarkEnd w:id="60"/>
      <w:r>
        <w:t xml:space="preserve">5.6.25 При наличии в пределах сжимаемой толщи основания на глубине </w:t>
      </w:r>
      <w:r>
        <w:rPr>
          <w:i/>
        </w:rPr>
        <w:t>z</w:t>
      </w:r>
      <w:r>
        <w:t xml:space="preserve"> от подошвы фундамента слоя грунта меньшей прочности, чем прочность грунта вышележащих слоев, размеры фундамента должны назначаться такими, чтобы для суммарного напряжения </w:t>
      </w:r>
      <w:r>
        <w:rPr>
          <w:noProof/>
          <w:position w:val="-8"/>
        </w:rPr>
        <w:drawing>
          <wp:inline distT="0" distB="0" distL="0" distR="0">
            <wp:extent cx="209550" cy="251460"/>
            <wp:effectExtent l="0" t="0" r="0" b="0"/>
            <wp:docPr id="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обеспечивалось условие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1816100" cy="267970"/>
            <wp:effectExtent l="0" t="0" r="0" b="0"/>
            <wp:docPr id="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3" cstate="print">
                      <a:extLst>
                        <a:ext uri="{28A0092B-C50C-407E-A947-70E740481C1C}">
                          <a14:useLocalDpi xmlns:a14="http://schemas.microsoft.com/office/drawing/2010/main" val="0"/>
                        </a:ext>
                      </a:extLst>
                    </a:blip>
                    <a:srcRect/>
                    <a:stretch>
                      <a:fillRect/>
                    </a:stretch>
                  </pic:blipFill>
                  <pic:spPr bwMode="auto">
                    <a:xfrm>
                      <a:off x="0" y="0"/>
                      <a:ext cx="1816100" cy="267970"/>
                    </a:xfrm>
                    <a:prstGeom prst="rect">
                      <a:avLst/>
                    </a:prstGeom>
                    <a:noFill/>
                    <a:ln>
                      <a:noFill/>
                    </a:ln>
                  </pic:spPr>
                </pic:pic>
              </a:graphicData>
            </a:graphic>
          </wp:inline>
        </w:drawing>
      </w:r>
      <w:r>
        <w:t xml:space="preserve"> (5.9)</w:t>
      </w:r>
    </w:p>
    <w:p w:rsidR="00E35632" w:rsidRDefault="00E35632">
      <w:pPr>
        <w:pStyle w:val="ConsPlusNormal"/>
        <w:jc w:val="both"/>
      </w:pPr>
    </w:p>
    <w:p w:rsidR="00E35632" w:rsidRDefault="00E35632">
      <w:pPr>
        <w:pStyle w:val="ConsPlusNormal"/>
        <w:ind w:firstLine="540"/>
        <w:jc w:val="both"/>
      </w:pPr>
      <w:r>
        <w:t xml:space="preserve">где </w:t>
      </w:r>
      <w:r>
        <w:rPr>
          <w:noProof/>
          <w:position w:val="-10"/>
        </w:rPr>
        <w:drawing>
          <wp:inline distT="0" distB="0" distL="0" distR="0">
            <wp:extent cx="251460" cy="267970"/>
            <wp:effectExtent l="0" t="0" r="0" b="0"/>
            <wp:docPr id="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r>
        <w:t xml:space="preserve">, </w:t>
      </w:r>
      <w:r>
        <w:rPr>
          <w:noProof/>
          <w:position w:val="-10"/>
        </w:rPr>
        <w:drawing>
          <wp:inline distT="0" distB="0" distL="0" distR="0">
            <wp:extent cx="267970" cy="267970"/>
            <wp:effectExtent l="0" t="0" r="0" b="0"/>
            <wp:docPr id="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xml:space="preserve"> и </w:t>
      </w:r>
      <w:r>
        <w:rPr>
          <w:noProof/>
          <w:position w:val="-10"/>
        </w:rPr>
        <w:drawing>
          <wp:inline distT="0" distB="0" distL="0" distR="0">
            <wp:extent cx="267970" cy="267970"/>
            <wp:effectExtent l="0" t="0" r="0" b="0"/>
            <wp:docPr id="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xml:space="preserve"> - вертикальные напряжения в грунте на глубине </w:t>
      </w:r>
      <w:r>
        <w:rPr>
          <w:i/>
        </w:rPr>
        <w:t>z</w:t>
      </w:r>
      <w:r>
        <w:t xml:space="preserve"> от подошвы фундамента (см. </w:t>
      </w:r>
      <w:hyperlink w:anchor="P1298">
        <w:r>
          <w:rPr>
            <w:color w:val="0000FF"/>
          </w:rPr>
          <w:t>5.6.31</w:t>
        </w:r>
      </w:hyperlink>
      <w:r>
        <w:t>), кПа;</w:t>
      </w:r>
    </w:p>
    <w:p w:rsidR="00E35632" w:rsidRDefault="00E35632">
      <w:pPr>
        <w:pStyle w:val="ConsPlusNormal"/>
        <w:spacing w:before="220"/>
        <w:ind w:firstLine="540"/>
        <w:jc w:val="both"/>
      </w:pPr>
      <w:r>
        <w:rPr>
          <w:i/>
        </w:rPr>
        <w:t>R</w:t>
      </w:r>
      <w:r>
        <w:rPr>
          <w:i/>
          <w:vertAlign w:val="subscript"/>
        </w:rPr>
        <w:t>z</w:t>
      </w:r>
      <w:r>
        <w:t xml:space="preserve"> - расчетное сопротивление грунта пониженной прочности, кПа, на глубине </w:t>
      </w:r>
      <w:r>
        <w:rPr>
          <w:i/>
        </w:rPr>
        <w:t>z</w:t>
      </w:r>
      <w:r>
        <w:t xml:space="preserve">, вычисленное по </w:t>
      </w:r>
      <w:hyperlink w:anchor="P851">
        <w:r>
          <w:rPr>
            <w:color w:val="0000FF"/>
          </w:rPr>
          <w:t>формуле (5.7)</w:t>
        </w:r>
      </w:hyperlink>
      <w:r>
        <w:t xml:space="preserve"> для условного фундамента шириной </w:t>
      </w:r>
      <w:r>
        <w:rPr>
          <w:i/>
        </w:rPr>
        <w:t>b</w:t>
      </w:r>
      <w:r>
        <w:rPr>
          <w:i/>
          <w:vertAlign w:val="subscript"/>
        </w:rPr>
        <w:t>z</w:t>
      </w:r>
      <w:r>
        <w:t>, м, равной:</w:t>
      </w:r>
    </w:p>
    <w:p w:rsidR="00E35632" w:rsidRDefault="00E35632">
      <w:pPr>
        <w:pStyle w:val="ConsPlusNormal"/>
        <w:jc w:val="both"/>
      </w:pPr>
    </w:p>
    <w:p w:rsidR="00E35632" w:rsidRDefault="00E35632">
      <w:pPr>
        <w:pStyle w:val="ConsPlusNormal"/>
        <w:jc w:val="center"/>
      </w:pPr>
      <w:r>
        <w:rPr>
          <w:noProof/>
          <w:position w:val="-14"/>
        </w:rPr>
        <w:drawing>
          <wp:inline distT="0" distB="0" distL="0" distR="0">
            <wp:extent cx="1241425" cy="318135"/>
            <wp:effectExtent l="0" t="0" r="0" b="0"/>
            <wp:docPr id="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1241425" cy="318135"/>
                    </a:xfrm>
                    <a:prstGeom prst="rect">
                      <a:avLst/>
                    </a:prstGeom>
                    <a:noFill/>
                    <a:ln>
                      <a:noFill/>
                    </a:ln>
                  </pic:spPr>
                </pic:pic>
              </a:graphicData>
            </a:graphic>
          </wp:inline>
        </w:drawing>
      </w:r>
      <w:r>
        <w:t xml:space="preserve"> (5.10)</w:t>
      </w:r>
    </w:p>
    <w:p w:rsidR="00E35632" w:rsidRDefault="00E35632">
      <w:pPr>
        <w:pStyle w:val="ConsPlusNormal"/>
        <w:jc w:val="both"/>
      </w:pPr>
    </w:p>
    <w:p w:rsidR="00E35632" w:rsidRDefault="00E35632">
      <w:pPr>
        <w:pStyle w:val="ConsPlusNormal"/>
        <w:ind w:firstLine="540"/>
        <w:jc w:val="both"/>
      </w:pPr>
      <w:r>
        <w:lastRenderedPageBreak/>
        <w:t xml:space="preserve">где </w:t>
      </w:r>
      <w:r>
        <w:rPr>
          <w:noProof/>
          <w:position w:val="-10"/>
        </w:rPr>
        <w:drawing>
          <wp:inline distT="0" distB="0" distL="0" distR="0">
            <wp:extent cx="815340" cy="267970"/>
            <wp:effectExtent l="0" t="0" r="0" b="0"/>
            <wp:docPr id="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815340" cy="267970"/>
                    </a:xfrm>
                    <a:prstGeom prst="rect">
                      <a:avLst/>
                    </a:prstGeom>
                    <a:noFill/>
                    <a:ln>
                      <a:noFill/>
                    </a:ln>
                  </pic:spPr>
                </pic:pic>
              </a:graphicData>
            </a:graphic>
          </wp:inline>
        </w:drawing>
      </w:r>
      <w:r>
        <w:t>;</w:t>
      </w:r>
    </w:p>
    <w:p w:rsidR="00E35632" w:rsidRDefault="00E35632">
      <w:pPr>
        <w:pStyle w:val="ConsPlusNormal"/>
        <w:spacing w:before="220"/>
        <w:ind w:firstLine="540"/>
        <w:jc w:val="both"/>
      </w:pPr>
      <w:r>
        <w:rPr>
          <w:i/>
        </w:rPr>
        <w:t>a</w:t>
      </w:r>
      <w:r>
        <w:t xml:space="preserve"> = (</w:t>
      </w:r>
      <w:r>
        <w:rPr>
          <w:i/>
        </w:rPr>
        <w:t>l</w:t>
      </w:r>
      <w:r>
        <w:t xml:space="preserve"> - </w:t>
      </w:r>
      <w:r>
        <w:rPr>
          <w:i/>
        </w:rPr>
        <w:t>b</w:t>
      </w:r>
      <w:r>
        <w:t>)/2,</w:t>
      </w:r>
    </w:p>
    <w:p w:rsidR="00E35632" w:rsidRDefault="00E35632">
      <w:pPr>
        <w:pStyle w:val="ConsPlusNormal"/>
        <w:spacing w:before="220"/>
        <w:ind w:firstLine="540"/>
        <w:jc w:val="both"/>
      </w:pPr>
      <w:r>
        <w:t xml:space="preserve">здесь </w:t>
      </w:r>
      <w:r>
        <w:rPr>
          <w:i/>
        </w:rPr>
        <w:t>N</w:t>
      </w:r>
      <w:r>
        <w:t xml:space="preserve"> - вертикальная нагрузка на основание от фундамента,</w:t>
      </w:r>
    </w:p>
    <w:p w:rsidR="00E35632" w:rsidRDefault="00E35632">
      <w:pPr>
        <w:pStyle w:val="ConsPlusNormal"/>
        <w:spacing w:before="220"/>
        <w:ind w:firstLine="540"/>
        <w:jc w:val="both"/>
      </w:pPr>
      <w:r>
        <w:rPr>
          <w:i/>
        </w:rPr>
        <w:t>l</w:t>
      </w:r>
      <w:r>
        <w:t xml:space="preserve"> и </w:t>
      </w:r>
      <w:r>
        <w:rPr>
          <w:i/>
        </w:rPr>
        <w:t>b</w:t>
      </w:r>
      <w:r>
        <w:t xml:space="preserve"> - соответственно длина и ширина фундамента.</w:t>
      </w:r>
    </w:p>
    <w:p w:rsidR="00E35632" w:rsidRDefault="00E35632">
      <w:pPr>
        <w:pStyle w:val="ConsPlusNormal"/>
        <w:spacing w:before="220"/>
        <w:ind w:firstLine="540"/>
        <w:jc w:val="both"/>
      </w:pPr>
      <w:r>
        <w:t>5.6.26 Давление на грунт у края подошвы внецентренно нагруженного фундамента (вычисленное в предположении линейного распределения давления под подошвой фундамента при нагрузках, принимаемых для расчета оснований по деформациям), следует определять с учетом заглубления фундамента в грунт и жесткости надфундаментных конструкций. Краевое давление при действии изгибающего момента вдоль каждой оси фундамента не должно превышать 1,2</w:t>
      </w:r>
      <w:r>
        <w:rPr>
          <w:i/>
        </w:rPr>
        <w:t>R</w:t>
      </w:r>
      <w:r>
        <w:t xml:space="preserve"> и в угловой точке - 1,5</w:t>
      </w:r>
      <w:r>
        <w:rPr>
          <w:i/>
        </w:rPr>
        <w:t>R</w:t>
      </w:r>
      <w:r>
        <w:t xml:space="preserve"> (здесь </w:t>
      </w:r>
      <w:r>
        <w:rPr>
          <w:i/>
        </w:rPr>
        <w:t>R</w:t>
      </w:r>
      <w:r>
        <w:t xml:space="preserve"> - расчетное сопротивление грунта основания, определяемое в соответствии с требованиями </w:t>
      </w:r>
      <w:hyperlink w:anchor="P849">
        <w:r>
          <w:rPr>
            <w:color w:val="0000FF"/>
          </w:rPr>
          <w:t>5.6.7</w:t>
        </w:r>
      </w:hyperlink>
      <w:r>
        <w:t xml:space="preserve"> - </w:t>
      </w:r>
      <w:hyperlink w:anchor="P1219">
        <w:r>
          <w:rPr>
            <w:color w:val="0000FF"/>
          </w:rPr>
          <w:t>5.6.25</w:t>
        </w:r>
      </w:hyperlink>
      <w:r>
        <w:t>).</w:t>
      </w:r>
    </w:p>
    <w:p w:rsidR="00E35632" w:rsidRDefault="00E35632">
      <w:pPr>
        <w:pStyle w:val="ConsPlusNormal"/>
        <w:spacing w:before="220"/>
        <w:ind w:firstLine="540"/>
        <w:jc w:val="both"/>
      </w:pPr>
      <w:r>
        <w:t xml:space="preserve">5.6.27 При расчете внецентренно нагруженных фундаментов эпюры давлений могут быть трапециевидные и треугольные, в том числе укороченной длины, обозначающие краевой отрыв подошвы фундамента от грунта при относительном эксцентриситете равнодействующей </w:t>
      </w:r>
      <w:r>
        <w:rPr>
          <w:i/>
        </w:rPr>
        <w:t>e</w:t>
      </w:r>
      <w:r>
        <w:t xml:space="preserve"> более </w:t>
      </w:r>
      <w:r>
        <w:rPr>
          <w:i/>
        </w:rPr>
        <w:t>l</w:t>
      </w:r>
      <w:r>
        <w:t xml:space="preserve">/6 </w:t>
      </w:r>
      <w:hyperlink w:anchor="P1244">
        <w:r>
          <w:rPr>
            <w:color w:val="0000FF"/>
          </w:rPr>
          <w:t>(рисунок 5.1)</w:t>
        </w:r>
      </w:hyperlink>
      <w:r>
        <w:t>.</w:t>
      </w:r>
    </w:p>
    <w:p w:rsidR="00E35632" w:rsidRDefault="00E35632">
      <w:pPr>
        <w:pStyle w:val="ConsPlusNormal"/>
        <w:jc w:val="both"/>
      </w:pPr>
    </w:p>
    <w:p w:rsidR="00E35632" w:rsidRDefault="00E35632">
      <w:pPr>
        <w:pStyle w:val="ConsPlusNormal"/>
        <w:jc w:val="center"/>
      </w:pPr>
      <w:r>
        <w:rPr>
          <w:noProof/>
          <w:position w:val="-527"/>
        </w:rPr>
        <w:lastRenderedPageBreak/>
        <w:drawing>
          <wp:inline distT="0" distB="0" distL="0" distR="0">
            <wp:extent cx="5565775" cy="6839585"/>
            <wp:effectExtent l="0" t="0" r="0" b="0"/>
            <wp:docPr id="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5565775" cy="6839585"/>
                    </a:xfrm>
                    <a:prstGeom prst="rect">
                      <a:avLst/>
                    </a:prstGeom>
                    <a:noFill/>
                    <a:ln>
                      <a:noFill/>
                    </a:ln>
                  </pic:spPr>
                </pic:pic>
              </a:graphicData>
            </a:graphic>
          </wp:inline>
        </w:drawing>
      </w:r>
    </w:p>
    <w:p w:rsidR="00E35632" w:rsidRDefault="00E35632">
      <w:pPr>
        <w:pStyle w:val="ConsPlusNormal"/>
        <w:jc w:val="center"/>
      </w:pPr>
    </w:p>
    <w:p w:rsidR="00E35632" w:rsidRDefault="00E35632">
      <w:pPr>
        <w:pStyle w:val="ConsPlusNormal"/>
        <w:jc w:val="center"/>
      </w:pPr>
      <w:r>
        <w:rPr>
          <w:i/>
        </w:rPr>
        <w:t>а - г</w:t>
      </w:r>
      <w:r>
        <w:t xml:space="preserve"> - при отсутствии нагрузок на полы;</w:t>
      </w:r>
    </w:p>
    <w:p w:rsidR="00E35632" w:rsidRDefault="00E35632">
      <w:pPr>
        <w:pStyle w:val="ConsPlusNormal"/>
        <w:jc w:val="center"/>
      </w:pPr>
      <w:r>
        <w:rPr>
          <w:i/>
        </w:rPr>
        <w:t>д - з</w:t>
      </w:r>
      <w:r>
        <w:t xml:space="preserve"> - при сплошной равномерно распределенной нагрузке</w:t>
      </w:r>
    </w:p>
    <w:p w:rsidR="00E35632" w:rsidRDefault="00E35632">
      <w:pPr>
        <w:pStyle w:val="ConsPlusNormal"/>
        <w:jc w:val="center"/>
      </w:pPr>
      <w:r>
        <w:t xml:space="preserve">интенсивностью </w:t>
      </w:r>
      <w:r>
        <w:rPr>
          <w:i/>
        </w:rPr>
        <w:t>q</w:t>
      </w:r>
      <w:r>
        <w:t xml:space="preserve">; </w:t>
      </w:r>
      <w:r>
        <w:rPr>
          <w:i/>
        </w:rPr>
        <w:t>а</w:t>
      </w:r>
      <w:r>
        <w:t xml:space="preserve"> и </w:t>
      </w:r>
      <w:r>
        <w:rPr>
          <w:i/>
        </w:rPr>
        <w:t>д</w:t>
      </w:r>
      <w:r>
        <w:t xml:space="preserve"> - при центральной нагрузке;</w:t>
      </w:r>
    </w:p>
    <w:p w:rsidR="00E35632" w:rsidRDefault="00E35632">
      <w:pPr>
        <w:pStyle w:val="ConsPlusNormal"/>
        <w:jc w:val="center"/>
      </w:pPr>
      <w:r>
        <w:rPr>
          <w:i/>
        </w:rPr>
        <w:t>б</w:t>
      </w:r>
      <w:r>
        <w:t xml:space="preserve"> и </w:t>
      </w:r>
      <w:r>
        <w:rPr>
          <w:i/>
        </w:rPr>
        <w:t>е</w:t>
      </w:r>
      <w:r>
        <w:t xml:space="preserve"> - при эксцентриситете нагрузки </w:t>
      </w:r>
      <w:r>
        <w:rPr>
          <w:i/>
        </w:rPr>
        <w:t>e</w:t>
      </w:r>
      <w:r>
        <w:t xml:space="preserve"> &lt; </w:t>
      </w:r>
      <w:r>
        <w:rPr>
          <w:i/>
        </w:rPr>
        <w:t>l</w:t>
      </w:r>
      <w:r>
        <w:t>/6;</w:t>
      </w:r>
    </w:p>
    <w:p w:rsidR="00E35632" w:rsidRDefault="00E35632">
      <w:pPr>
        <w:pStyle w:val="ConsPlusNormal"/>
        <w:jc w:val="center"/>
      </w:pPr>
      <w:r>
        <w:rPr>
          <w:i/>
        </w:rPr>
        <w:t>в</w:t>
      </w:r>
      <w:r>
        <w:t xml:space="preserve"> и </w:t>
      </w:r>
      <w:r>
        <w:rPr>
          <w:i/>
        </w:rPr>
        <w:t>ж</w:t>
      </w:r>
      <w:r>
        <w:t xml:space="preserve"> - при </w:t>
      </w:r>
      <w:r>
        <w:rPr>
          <w:i/>
        </w:rPr>
        <w:t>e</w:t>
      </w:r>
      <w:r>
        <w:t xml:space="preserve"> = </w:t>
      </w:r>
      <w:r>
        <w:rPr>
          <w:i/>
        </w:rPr>
        <w:t>l</w:t>
      </w:r>
      <w:r>
        <w:t xml:space="preserve">/6; </w:t>
      </w:r>
      <w:r>
        <w:rPr>
          <w:i/>
        </w:rPr>
        <w:t>г</w:t>
      </w:r>
      <w:r>
        <w:t xml:space="preserve"> и </w:t>
      </w:r>
      <w:r>
        <w:rPr>
          <w:i/>
        </w:rPr>
        <w:t>з</w:t>
      </w:r>
      <w:r>
        <w:t xml:space="preserve"> - при </w:t>
      </w:r>
      <w:r>
        <w:rPr>
          <w:i/>
        </w:rPr>
        <w:t>e</w:t>
      </w:r>
      <w:r>
        <w:t xml:space="preserve"> &gt; </w:t>
      </w:r>
      <w:r>
        <w:rPr>
          <w:i/>
        </w:rPr>
        <w:t>l</w:t>
      </w:r>
      <w:r>
        <w:t>/6</w:t>
      </w:r>
    </w:p>
    <w:p w:rsidR="00E35632" w:rsidRDefault="00E35632">
      <w:pPr>
        <w:pStyle w:val="ConsPlusNormal"/>
        <w:jc w:val="center"/>
      </w:pPr>
      <w:r>
        <w:t>(с частичным отрывом фундамента от грунта)</w:t>
      </w:r>
    </w:p>
    <w:p w:rsidR="00E35632" w:rsidRDefault="00E35632">
      <w:pPr>
        <w:pStyle w:val="ConsPlusNormal"/>
        <w:jc w:val="both"/>
      </w:pPr>
    </w:p>
    <w:p w:rsidR="00E35632" w:rsidRDefault="00E35632">
      <w:pPr>
        <w:pStyle w:val="ConsPlusNormal"/>
        <w:jc w:val="center"/>
      </w:pPr>
      <w:bookmarkStart w:id="61" w:name="P1244"/>
      <w:bookmarkEnd w:id="61"/>
      <w:r>
        <w:rPr>
          <w:b/>
          <w:i/>
        </w:rPr>
        <w:t>Рисунок 5.1</w:t>
      </w:r>
      <w:r>
        <w:t xml:space="preserve"> </w:t>
      </w:r>
      <w:r>
        <w:rPr>
          <w:b/>
        </w:rPr>
        <w:t>- Эпюры давлений по подошве фундаментов</w:t>
      </w:r>
    </w:p>
    <w:p w:rsidR="00E35632" w:rsidRDefault="00E35632">
      <w:pPr>
        <w:pStyle w:val="ConsPlusNormal"/>
        <w:jc w:val="center"/>
      </w:pPr>
      <w:r>
        <w:rPr>
          <w:b/>
        </w:rPr>
        <w:t>при центральной и внецентренной нагрузках</w:t>
      </w:r>
    </w:p>
    <w:p w:rsidR="00E35632" w:rsidRDefault="00E35632">
      <w:pPr>
        <w:pStyle w:val="ConsPlusNormal"/>
        <w:jc w:val="both"/>
      </w:pPr>
    </w:p>
    <w:p w:rsidR="00E35632" w:rsidRDefault="00E35632">
      <w:pPr>
        <w:pStyle w:val="ConsPlusNormal"/>
        <w:ind w:firstLine="540"/>
        <w:jc w:val="both"/>
      </w:pPr>
      <w:r>
        <w:t xml:space="preserve">Для фундаментов колонн зданий, оборудованных мостовыми кранами грузоподъемностью 75 т и выше, а также для фундаментов колонн открытых крановых эстакад при кранах грузоподъемностью свыше 15 т, для сооружений башенного типа (труб, домен и других), а также </w:t>
      </w:r>
      <w:r>
        <w:lastRenderedPageBreak/>
        <w:t xml:space="preserve">для всех видов сооружений при расчетном сопротивлении грунта основания </w:t>
      </w:r>
      <w:r>
        <w:rPr>
          <w:i/>
        </w:rPr>
        <w:t>R</w:t>
      </w:r>
      <w:r>
        <w:t xml:space="preserve"> &lt; 150 кПа размеры фундаментов необходимо назначать такими, чтобы эпюра давлений была трапециевидной, с отношением краевых давлений </w:t>
      </w:r>
      <w:r>
        <w:rPr>
          <w:i/>
        </w:rPr>
        <w:t>p</w:t>
      </w:r>
      <w:r>
        <w:rPr>
          <w:vertAlign w:val="subscript"/>
        </w:rPr>
        <w:t>min</w:t>
      </w:r>
      <w:r>
        <w:t>/</w:t>
      </w:r>
      <w:r>
        <w:rPr>
          <w:i/>
        </w:rPr>
        <w:t>p</w:t>
      </w:r>
      <w:r>
        <w:rPr>
          <w:vertAlign w:val="subscript"/>
        </w:rPr>
        <w:t>max</w:t>
      </w:r>
      <w:r>
        <w:t xml:space="preserve"> &gt;= 0,25.</w:t>
      </w:r>
    </w:p>
    <w:p w:rsidR="00E35632" w:rsidRDefault="00E35632">
      <w:pPr>
        <w:pStyle w:val="ConsPlusNormal"/>
        <w:spacing w:before="220"/>
        <w:ind w:firstLine="540"/>
        <w:jc w:val="both"/>
      </w:pPr>
      <w:r>
        <w:t xml:space="preserve">В остальных случаях для фундаментов зданий с мостовыми кранами допускается треугольная эпюра с относительным эксцентриситетом равнодействующей </w:t>
      </w:r>
      <w:r>
        <w:rPr>
          <w:i/>
        </w:rPr>
        <w:t>e</w:t>
      </w:r>
      <w:r>
        <w:t xml:space="preserve">, равным </w:t>
      </w:r>
      <w:r>
        <w:rPr>
          <w:i/>
        </w:rPr>
        <w:t>l</w:t>
      </w:r>
      <w:r>
        <w:t>/6.</w:t>
      </w:r>
    </w:p>
    <w:p w:rsidR="00E35632" w:rsidRDefault="00E35632">
      <w:pPr>
        <w:pStyle w:val="ConsPlusNormal"/>
        <w:spacing w:before="220"/>
        <w:ind w:firstLine="540"/>
        <w:jc w:val="both"/>
      </w:pPr>
      <w:r>
        <w:t xml:space="preserve">Для фундаментов бескрановых зданий с подвесным транспортным оборудованием допускается треугольная эпюра давлений с нулевой ординатой на расстоянии не более 1/4 длины подошвы фундамента, что соответствует относительному эксцентриситету равнодействующей </w:t>
      </w:r>
      <w:r>
        <w:rPr>
          <w:i/>
        </w:rPr>
        <w:t>e</w:t>
      </w:r>
      <w:r>
        <w:t xml:space="preserve"> не более </w:t>
      </w:r>
      <w:r>
        <w:rPr>
          <w:i/>
        </w:rPr>
        <w:t>l</w:t>
      </w:r>
      <w:r>
        <w:t>/4.</w:t>
      </w:r>
    </w:p>
    <w:p w:rsidR="00E35632" w:rsidRDefault="00E35632">
      <w:pPr>
        <w:pStyle w:val="ConsPlusNormal"/>
        <w:spacing w:before="220"/>
        <w:ind w:firstLine="540"/>
        <w:jc w:val="both"/>
      </w:pPr>
      <w:r>
        <w:t>Требования, ограничивающие допустимый эксцентриситет, относятся к любым основным сочетаниям нагрузок.</w:t>
      </w:r>
    </w:p>
    <w:p w:rsidR="00E35632" w:rsidRDefault="00E35632">
      <w:pPr>
        <w:pStyle w:val="ConsPlusNormal"/>
        <w:spacing w:before="220"/>
        <w:ind w:firstLine="540"/>
        <w:jc w:val="both"/>
      </w:pPr>
      <w:r>
        <w:t>Примечание - При значительных моментных нагрузках с целью уменьшения краевых давлений рекомендуется применение фундаментов с анкерами.</w:t>
      </w:r>
    </w:p>
    <w:p w:rsidR="00E35632" w:rsidRDefault="00E35632">
      <w:pPr>
        <w:pStyle w:val="ConsPlusNormal"/>
        <w:ind w:firstLine="540"/>
        <w:jc w:val="both"/>
      </w:pPr>
    </w:p>
    <w:p w:rsidR="00E35632" w:rsidRDefault="00E35632">
      <w:pPr>
        <w:pStyle w:val="ConsPlusNormal"/>
        <w:ind w:firstLine="540"/>
        <w:jc w:val="both"/>
      </w:pPr>
      <w:r>
        <w:t>При проектировании столбчатых фундаментов опор канатных дорог размеры фундаментов необходимо определять исходя из следующих условий:</w:t>
      </w:r>
    </w:p>
    <w:p w:rsidR="00E35632" w:rsidRDefault="00E35632">
      <w:pPr>
        <w:pStyle w:val="ConsPlusNormal"/>
        <w:spacing w:before="220"/>
        <w:ind w:firstLine="540"/>
        <w:jc w:val="both"/>
      </w:pPr>
      <w:r>
        <w:t xml:space="preserve">- для основных сочетаний нагрузок - трапециевидная эпюра с отношением краевых давлений </w:t>
      </w:r>
      <w:r>
        <w:rPr>
          <w:i/>
        </w:rPr>
        <w:t>p</w:t>
      </w:r>
      <w:r>
        <w:rPr>
          <w:vertAlign w:val="subscript"/>
        </w:rPr>
        <w:t>min</w:t>
      </w:r>
      <w:r>
        <w:t>/</w:t>
      </w:r>
      <w:r>
        <w:rPr>
          <w:i/>
        </w:rPr>
        <w:t>p</w:t>
      </w:r>
      <w:r>
        <w:rPr>
          <w:vertAlign w:val="subscript"/>
        </w:rPr>
        <w:t>max</w:t>
      </w:r>
      <w:r>
        <w:t xml:space="preserve"> &gt;= 0,25;</w:t>
      </w:r>
    </w:p>
    <w:p w:rsidR="00E35632" w:rsidRDefault="00E35632">
      <w:pPr>
        <w:pStyle w:val="ConsPlusNormal"/>
        <w:spacing w:before="220"/>
        <w:ind w:firstLine="540"/>
        <w:jc w:val="both"/>
      </w:pPr>
      <w:r>
        <w:t>- для особых сочетаний нагрузок, включающих сейсмические воздействия, допускается треугольная эпюра с нулевой ординатой по краю фундамента.</w:t>
      </w:r>
    </w:p>
    <w:p w:rsidR="00E35632" w:rsidRDefault="00E35632">
      <w:pPr>
        <w:pStyle w:val="ConsPlusNormal"/>
        <w:jc w:val="both"/>
      </w:pPr>
      <w:r>
        <w:t xml:space="preserve">(абзац введен </w:t>
      </w:r>
      <w:hyperlink r:id="rId340">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t xml:space="preserve">Допускается проектировать фундаменты опор канатных дорог с трапециевидной эпюрой для основных сочетаний нагрузок с отношением краевых давлений 0,1 &lt; </w:t>
      </w:r>
      <w:r>
        <w:rPr>
          <w:i/>
        </w:rPr>
        <w:t>p</w:t>
      </w:r>
      <w:r>
        <w:rPr>
          <w:vertAlign w:val="subscript"/>
        </w:rPr>
        <w:t>min</w:t>
      </w:r>
      <w:r>
        <w:t>/</w:t>
      </w:r>
      <w:r>
        <w:rPr>
          <w:i/>
        </w:rPr>
        <w:t>p</w:t>
      </w:r>
      <w:r>
        <w:rPr>
          <w:vertAlign w:val="subscript"/>
        </w:rPr>
        <w:t>max</w:t>
      </w:r>
      <w:r>
        <w:t xml:space="preserve"> &lt; 0,25 в том случае, если проектом предусматривается ведение постоянных автоматических наблюдений в рамках геотехнического мониторинга согласно требований </w:t>
      </w:r>
      <w:hyperlink w:anchor="P4957">
        <w:r>
          <w:rPr>
            <w:color w:val="0000FF"/>
          </w:rPr>
          <w:t>раздела 12</w:t>
        </w:r>
      </w:hyperlink>
      <w:r>
        <w:t xml:space="preserve"> и </w:t>
      </w:r>
      <w:hyperlink w:anchor="P7536">
        <w:r>
          <w:rPr>
            <w:color w:val="0000FF"/>
          </w:rPr>
          <w:t>приложения Л</w:t>
        </w:r>
      </w:hyperlink>
      <w:r>
        <w:t>.</w:t>
      </w:r>
    </w:p>
    <w:p w:rsidR="00E35632" w:rsidRDefault="00E35632">
      <w:pPr>
        <w:pStyle w:val="ConsPlusNormal"/>
        <w:jc w:val="both"/>
      </w:pPr>
      <w:r>
        <w:t xml:space="preserve">(абзац введен </w:t>
      </w:r>
      <w:hyperlink r:id="rId341">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t>В случае невозможности обеспечения требуемого отношения краевых давлений, необходима разработка компенсирующих мероприятий, к которым относятся:</w:t>
      </w:r>
    </w:p>
    <w:p w:rsidR="00E35632" w:rsidRDefault="00E35632">
      <w:pPr>
        <w:pStyle w:val="ConsPlusNormal"/>
        <w:spacing w:before="220"/>
        <w:ind w:firstLine="540"/>
        <w:jc w:val="both"/>
      </w:pPr>
      <w:r>
        <w:t>- устройство специальных оттяжек для уравновешивания давлений в краевых частях фундамента опор и приведения их к требуемым нормативным значениям;</w:t>
      </w:r>
    </w:p>
    <w:p w:rsidR="00E35632" w:rsidRDefault="00E35632">
      <w:pPr>
        <w:pStyle w:val="ConsPlusNormal"/>
        <w:spacing w:before="220"/>
        <w:ind w:firstLine="540"/>
        <w:jc w:val="both"/>
      </w:pPr>
      <w:r>
        <w:t>- изменение конструкции фундамента опор путем увеличения площади его опирания на грунты основания и снижения неравномерности давления.</w:t>
      </w:r>
    </w:p>
    <w:p w:rsidR="00E35632" w:rsidRDefault="00E35632">
      <w:pPr>
        <w:pStyle w:val="ConsPlusNormal"/>
        <w:jc w:val="both"/>
      </w:pPr>
      <w:r>
        <w:t xml:space="preserve">(абзац введен </w:t>
      </w:r>
      <w:hyperlink r:id="rId342">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t>Указанные компенсирующие мероприятия разрабатываются на основании численных расчетов или математического моделирования взаимодействия проектируемых фундаментов опор с грунтами основания при всех возможных сочетаниях нагрузок и воздействий. Применяемые при расчетном обосновании методики и программные продукты должны быть апробированы.</w:t>
      </w:r>
    </w:p>
    <w:p w:rsidR="00E35632" w:rsidRDefault="00E35632">
      <w:pPr>
        <w:pStyle w:val="ConsPlusNormal"/>
        <w:jc w:val="both"/>
      </w:pPr>
      <w:r>
        <w:t xml:space="preserve">(абзац введен </w:t>
      </w:r>
      <w:hyperlink r:id="rId343">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t xml:space="preserve">5.6.28 Краевые давления </w:t>
      </w:r>
      <w:r>
        <w:rPr>
          <w:i/>
        </w:rPr>
        <w:t>p</w:t>
      </w:r>
      <w:r>
        <w:t>, кПа, вычисляют по формулам:</w:t>
      </w:r>
    </w:p>
    <w:p w:rsidR="00E35632" w:rsidRDefault="00E35632">
      <w:pPr>
        <w:pStyle w:val="ConsPlusNormal"/>
        <w:spacing w:before="220"/>
        <w:ind w:firstLine="540"/>
        <w:jc w:val="both"/>
      </w:pPr>
      <w:r>
        <w:t xml:space="preserve">- при относительном эксцентриситете </w:t>
      </w:r>
      <w:r>
        <w:rPr>
          <w:i/>
        </w:rPr>
        <w:t>e</w:t>
      </w:r>
      <w:r>
        <w:t>/</w:t>
      </w:r>
      <w:r>
        <w:rPr>
          <w:i/>
        </w:rPr>
        <w:t>l</w:t>
      </w:r>
      <w:r>
        <w:t xml:space="preserve"> &lt;= 1/6</w:t>
      </w:r>
    </w:p>
    <w:p w:rsidR="00E35632" w:rsidRDefault="00E35632">
      <w:pPr>
        <w:pStyle w:val="ConsPlusNormal"/>
        <w:jc w:val="both"/>
      </w:pPr>
    </w:p>
    <w:p w:rsidR="00E35632" w:rsidRDefault="00E35632">
      <w:pPr>
        <w:pStyle w:val="ConsPlusNormal"/>
        <w:jc w:val="center"/>
      </w:pPr>
      <w:bookmarkStart w:id="62" w:name="P1268"/>
      <w:bookmarkEnd w:id="62"/>
      <w:r>
        <w:rPr>
          <w:noProof/>
          <w:position w:val="-8"/>
        </w:rPr>
        <w:drawing>
          <wp:inline distT="0" distB="0" distL="0" distR="0">
            <wp:extent cx="1732280" cy="251460"/>
            <wp:effectExtent l="0" t="0" r="0" b="0"/>
            <wp:docPr id="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1732280" cy="251460"/>
                    </a:xfrm>
                    <a:prstGeom prst="rect">
                      <a:avLst/>
                    </a:prstGeom>
                    <a:noFill/>
                    <a:ln>
                      <a:noFill/>
                    </a:ln>
                  </pic:spPr>
                </pic:pic>
              </a:graphicData>
            </a:graphic>
          </wp:inline>
        </w:drawing>
      </w:r>
      <w:r>
        <w:t xml:space="preserve"> (5.11)</w:t>
      </w:r>
    </w:p>
    <w:p w:rsidR="00E35632" w:rsidRDefault="00E35632">
      <w:pPr>
        <w:pStyle w:val="ConsPlusNormal"/>
        <w:jc w:val="both"/>
      </w:pPr>
    </w:p>
    <w:p w:rsidR="00E35632" w:rsidRDefault="00E35632">
      <w:pPr>
        <w:pStyle w:val="ConsPlusNormal"/>
        <w:ind w:firstLine="540"/>
        <w:jc w:val="both"/>
      </w:pPr>
      <w:r>
        <w:lastRenderedPageBreak/>
        <w:t xml:space="preserve">- при относительном эксцентриситете </w:t>
      </w:r>
      <w:r>
        <w:rPr>
          <w:i/>
        </w:rPr>
        <w:t>e</w:t>
      </w:r>
      <w:r>
        <w:t>/</w:t>
      </w:r>
      <w:r>
        <w:rPr>
          <w:i/>
        </w:rPr>
        <w:t>l</w:t>
      </w:r>
      <w:r>
        <w:t xml:space="preserve"> &gt; 1/6</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1770380" cy="251460"/>
            <wp:effectExtent l="0" t="0" r="0" b="0"/>
            <wp:docPr id="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1770380" cy="251460"/>
                    </a:xfrm>
                    <a:prstGeom prst="rect">
                      <a:avLst/>
                    </a:prstGeom>
                    <a:noFill/>
                    <a:ln>
                      <a:noFill/>
                    </a:ln>
                  </pic:spPr>
                </pic:pic>
              </a:graphicData>
            </a:graphic>
          </wp:inline>
        </w:drawing>
      </w:r>
      <w:r>
        <w:t xml:space="preserve"> (5.12)</w:t>
      </w:r>
    </w:p>
    <w:p w:rsidR="00E35632" w:rsidRDefault="00E35632">
      <w:pPr>
        <w:pStyle w:val="ConsPlusNormal"/>
        <w:jc w:val="both"/>
      </w:pPr>
    </w:p>
    <w:p w:rsidR="00E35632" w:rsidRDefault="00E35632">
      <w:pPr>
        <w:pStyle w:val="ConsPlusNormal"/>
        <w:ind w:firstLine="540"/>
        <w:jc w:val="both"/>
      </w:pPr>
      <w:r>
        <w:t xml:space="preserve">где </w:t>
      </w:r>
      <w:r>
        <w:rPr>
          <w:i/>
        </w:rPr>
        <w:t>N</w:t>
      </w:r>
      <w:r>
        <w:t xml:space="preserve"> - сумма вертикальных нагрузок, действующих на основание, кроме веса фундамента и грунта на его обрезах, и определяемых для случая расчета основания по деформациям, кН;</w:t>
      </w:r>
    </w:p>
    <w:p w:rsidR="00E35632" w:rsidRDefault="00E35632">
      <w:pPr>
        <w:pStyle w:val="ConsPlusNormal"/>
        <w:spacing w:before="220"/>
        <w:ind w:firstLine="540"/>
        <w:jc w:val="both"/>
      </w:pPr>
      <w:r>
        <w:rPr>
          <w:i/>
        </w:rPr>
        <w:t>A</w:t>
      </w:r>
      <w:r>
        <w:t xml:space="preserve"> - площадь подошвы фундамента, м</w:t>
      </w:r>
      <w:r>
        <w:rPr>
          <w:vertAlign w:val="superscript"/>
        </w:rPr>
        <w:t>2</w:t>
      </w:r>
      <w:r>
        <w:t>;</w:t>
      </w:r>
    </w:p>
    <w:p w:rsidR="00E35632" w:rsidRDefault="00E35632">
      <w:pPr>
        <w:pStyle w:val="ConsPlusNormal"/>
        <w:spacing w:before="220"/>
        <w:ind w:firstLine="540"/>
        <w:jc w:val="both"/>
      </w:pPr>
      <w:r>
        <w:rPr>
          <w:noProof/>
          <w:position w:val="-8"/>
        </w:rPr>
        <w:drawing>
          <wp:inline distT="0" distB="0" distL="0" distR="0">
            <wp:extent cx="241935" cy="251460"/>
            <wp:effectExtent l="0" t="0" r="0" b="0"/>
            <wp:docPr id="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 средневзвешенное значение удельных весов тела фундамента, грунта и пола, расположенных над подошвой фундамента; принимают равным 20 кН/м</w:t>
      </w:r>
      <w:r>
        <w:rPr>
          <w:vertAlign w:val="superscript"/>
        </w:rPr>
        <w:t>3</w:t>
      </w:r>
      <w:r>
        <w:t>;</w:t>
      </w:r>
    </w:p>
    <w:p w:rsidR="00E35632" w:rsidRDefault="00E35632">
      <w:pPr>
        <w:pStyle w:val="ConsPlusNormal"/>
        <w:spacing w:before="220"/>
        <w:ind w:firstLine="540"/>
        <w:jc w:val="both"/>
      </w:pPr>
      <w:r>
        <w:rPr>
          <w:i/>
        </w:rPr>
        <w:t>d</w:t>
      </w:r>
      <w:r>
        <w:t xml:space="preserve"> - толщина фундамента, м;</w:t>
      </w:r>
    </w:p>
    <w:p w:rsidR="00E35632" w:rsidRDefault="00E35632">
      <w:pPr>
        <w:pStyle w:val="ConsPlusNormal"/>
        <w:spacing w:before="220"/>
        <w:ind w:firstLine="540"/>
        <w:jc w:val="both"/>
      </w:pPr>
      <w:r>
        <w:rPr>
          <w:i/>
        </w:rPr>
        <w:t>M</w:t>
      </w:r>
      <w:r>
        <w:t xml:space="preserve"> - момент от равнодействующей всех нагрузок, действующих по подошве фундамента, найденных с учетом заглубления фундамента в грунте и перераспределяющего влияния верхних конструкций или без этого учета, кН·м;</w:t>
      </w:r>
    </w:p>
    <w:p w:rsidR="00E35632" w:rsidRDefault="00E35632">
      <w:pPr>
        <w:pStyle w:val="ConsPlusNormal"/>
        <w:spacing w:before="220"/>
        <w:ind w:firstLine="540"/>
        <w:jc w:val="both"/>
      </w:pPr>
      <w:r>
        <w:rPr>
          <w:i/>
        </w:rPr>
        <w:t>W</w:t>
      </w:r>
      <w:r>
        <w:t xml:space="preserve"> - момент сопротивления площади подошвы фундамента, м</w:t>
      </w:r>
      <w:r>
        <w:rPr>
          <w:vertAlign w:val="superscript"/>
        </w:rPr>
        <w:t>3</w:t>
      </w:r>
      <w:r>
        <w:t>;</w:t>
      </w:r>
    </w:p>
    <w:p w:rsidR="00E35632" w:rsidRDefault="00E35632">
      <w:pPr>
        <w:pStyle w:val="ConsPlusNormal"/>
        <w:spacing w:before="220"/>
        <w:ind w:firstLine="540"/>
        <w:jc w:val="both"/>
      </w:pPr>
      <w:r>
        <w:rPr>
          <w:i/>
        </w:rPr>
        <w:t>C</w:t>
      </w:r>
      <w:r>
        <w:rPr>
          <w:vertAlign w:val="subscript"/>
        </w:rPr>
        <w:t>0</w:t>
      </w:r>
      <w:r>
        <w:t xml:space="preserve"> - расстояние от точки приложения равнодействующей до края фундамента по его оси, м, вычисляемое по формуле</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1871980" cy="251460"/>
            <wp:effectExtent l="0" t="0" r="0" b="0"/>
            <wp:docPr id="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1871980" cy="251460"/>
                    </a:xfrm>
                    <a:prstGeom prst="rect">
                      <a:avLst/>
                    </a:prstGeom>
                    <a:noFill/>
                    <a:ln>
                      <a:noFill/>
                    </a:ln>
                  </pic:spPr>
                </pic:pic>
              </a:graphicData>
            </a:graphic>
          </wp:inline>
        </w:drawing>
      </w:r>
      <w:r>
        <w:t xml:space="preserve"> (5.13)</w:t>
      </w:r>
    </w:p>
    <w:p w:rsidR="00E35632" w:rsidRDefault="00E35632">
      <w:pPr>
        <w:pStyle w:val="ConsPlusNormal"/>
        <w:jc w:val="both"/>
      </w:pPr>
    </w:p>
    <w:p w:rsidR="00E35632" w:rsidRDefault="00E35632">
      <w:pPr>
        <w:pStyle w:val="ConsPlusNormal"/>
        <w:ind w:firstLine="540"/>
        <w:jc w:val="both"/>
      </w:pPr>
      <w:r>
        <w:rPr>
          <w:i/>
        </w:rPr>
        <w:t>e</w:t>
      </w:r>
      <w:r>
        <w:t xml:space="preserve"> - эксцентриситет нагрузки по подошве фундамента, м, вычисляемый по формуле</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1383030" cy="251460"/>
            <wp:effectExtent l="0" t="0" r="0" b="0"/>
            <wp:docPr id="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1383030" cy="251460"/>
                    </a:xfrm>
                    <a:prstGeom prst="rect">
                      <a:avLst/>
                    </a:prstGeom>
                    <a:noFill/>
                    <a:ln>
                      <a:noFill/>
                    </a:ln>
                  </pic:spPr>
                </pic:pic>
              </a:graphicData>
            </a:graphic>
          </wp:inline>
        </w:drawing>
      </w:r>
      <w:r>
        <w:t xml:space="preserve"> (5.14)</w:t>
      </w:r>
    </w:p>
    <w:p w:rsidR="00E35632" w:rsidRDefault="00E35632">
      <w:pPr>
        <w:pStyle w:val="ConsPlusNormal"/>
        <w:jc w:val="both"/>
      </w:pPr>
    </w:p>
    <w:p w:rsidR="00E35632" w:rsidRDefault="00E35632">
      <w:pPr>
        <w:pStyle w:val="ConsPlusNormal"/>
        <w:ind w:firstLine="540"/>
        <w:jc w:val="both"/>
      </w:pPr>
      <w:r>
        <w:t xml:space="preserve">5.6.29 При наличии моментов </w:t>
      </w:r>
      <w:r>
        <w:rPr>
          <w:i/>
        </w:rPr>
        <w:t>M</w:t>
      </w:r>
      <w:r>
        <w:rPr>
          <w:i/>
          <w:vertAlign w:val="subscript"/>
        </w:rPr>
        <w:t>x</w:t>
      </w:r>
      <w:r>
        <w:t xml:space="preserve"> и </w:t>
      </w:r>
      <w:r>
        <w:rPr>
          <w:i/>
        </w:rPr>
        <w:t>M</w:t>
      </w:r>
      <w:r>
        <w:rPr>
          <w:i/>
          <w:vertAlign w:val="subscript"/>
        </w:rPr>
        <w:t>y</w:t>
      </w:r>
      <w:r>
        <w:t xml:space="preserve">, действующих в двух направлениях, параллельных осям </w:t>
      </w:r>
      <w:r>
        <w:rPr>
          <w:i/>
        </w:rPr>
        <w:t>x</w:t>
      </w:r>
      <w:r>
        <w:t xml:space="preserve"> и </w:t>
      </w:r>
      <w:r>
        <w:rPr>
          <w:i/>
        </w:rPr>
        <w:t>y</w:t>
      </w:r>
      <w:r>
        <w:t xml:space="preserve"> прямоугольного фундамента, наибольшее давление в угловой точке </w:t>
      </w:r>
      <w:r>
        <w:rPr>
          <w:i/>
        </w:rPr>
        <w:t>P</w:t>
      </w:r>
      <w:r>
        <w:rPr>
          <w:vertAlign w:val="subscript"/>
        </w:rPr>
        <w:t>max</w:t>
      </w:r>
      <w:r>
        <w:t>, кПа, вычисляют по формуле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2668270" cy="267970"/>
            <wp:effectExtent l="0" t="0" r="0" b="0"/>
            <wp:docPr id="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668270" cy="267970"/>
                    </a:xfrm>
                    <a:prstGeom prst="rect">
                      <a:avLst/>
                    </a:prstGeom>
                    <a:noFill/>
                    <a:ln>
                      <a:noFill/>
                    </a:ln>
                  </pic:spPr>
                </pic:pic>
              </a:graphicData>
            </a:graphic>
          </wp:inline>
        </w:drawing>
      </w:r>
      <w:r>
        <w:t xml:space="preserve"> (5.15)</w:t>
      </w:r>
    </w:p>
    <w:p w:rsidR="00E35632" w:rsidRDefault="00E35632">
      <w:pPr>
        <w:pStyle w:val="ConsPlusNormal"/>
        <w:jc w:val="both"/>
      </w:pPr>
    </w:p>
    <w:p w:rsidR="00E35632" w:rsidRDefault="00E35632">
      <w:pPr>
        <w:pStyle w:val="ConsPlusNormal"/>
        <w:ind w:firstLine="540"/>
        <w:jc w:val="both"/>
      </w:pPr>
      <w:r>
        <w:t xml:space="preserve">где </w:t>
      </w:r>
      <w:r>
        <w:rPr>
          <w:i/>
        </w:rPr>
        <w:t>N</w:t>
      </w:r>
      <w:r>
        <w:t xml:space="preserve">, </w:t>
      </w:r>
      <w:r>
        <w:rPr>
          <w:i/>
        </w:rPr>
        <w:t>A</w:t>
      </w:r>
      <w:r>
        <w:t xml:space="preserve">, </w:t>
      </w:r>
      <w:r>
        <w:rPr>
          <w:noProof/>
          <w:position w:val="-8"/>
        </w:rPr>
        <w:drawing>
          <wp:inline distT="0" distB="0" distL="0" distR="0">
            <wp:extent cx="241935" cy="251460"/>
            <wp:effectExtent l="0" t="0" r="0" b="0"/>
            <wp:docPr id="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w:t>
      </w:r>
      <w:r>
        <w:rPr>
          <w:i/>
        </w:rPr>
        <w:t>W</w:t>
      </w:r>
      <w:r>
        <w:t xml:space="preserve"> - то же, что и в </w:t>
      </w:r>
      <w:hyperlink w:anchor="P1268">
        <w:r>
          <w:rPr>
            <w:color w:val="0000FF"/>
          </w:rPr>
          <w:t>формуле (5.11)</w:t>
        </w:r>
      </w:hyperlink>
      <w:r>
        <w:t>.</w:t>
      </w:r>
    </w:p>
    <w:p w:rsidR="00E35632" w:rsidRDefault="00E35632">
      <w:pPr>
        <w:pStyle w:val="ConsPlusNormal"/>
        <w:spacing w:before="220"/>
        <w:ind w:firstLine="540"/>
        <w:jc w:val="both"/>
      </w:pPr>
      <w:r>
        <w:t xml:space="preserve">5.6.30 При наличии на полах сплошной равномерно распределенной нагрузки интенсивностью </w:t>
      </w:r>
      <w:r>
        <w:rPr>
          <w:i/>
        </w:rPr>
        <w:t>q</w:t>
      </w:r>
      <w:r>
        <w:t xml:space="preserve"> краевые и средние эпюры давления по подошве следует увеличивать на нагрузку </w:t>
      </w:r>
      <w:r>
        <w:rPr>
          <w:i/>
        </w:rPr>
        <w:t>q</w:t>
      </w:r>
      <w:r>
        <w:t xml:space="preserve"> (см. </w:t>
      </w:r>
      <w:hyperlink w:anchor="P1244">
        <w:r>
          <w:rPr>
            <w:color w:val="0000FF"/>
          </w:rPr>
          <w:t>рисунок 5.1</w:t>
        </w:r>
      </w:hyperlink>
      <w:r>
        <w:t>).</w:t>
      </w:r>
    </w:p>
    <w:p w:rsidR="00E35632" w:rsidRDefault="00E35632">
      <w:pPr>
        <w:pStyle w:val="ConsPlusNormal"/>
        <w:spacing w:before="220"/>
        <w:ind w:firstLine="540"/>
        <w:jc w:val="both"/>
      </w:pPr>
      <w:r>
        <w:t xml:space="preserve">Нагрузку на полы промышленных зданий </w:t>
      </w:r>
      <w:r>
        <w:rPr>
          <w:i/>
        </w:rPr>
        <w:t>q</w:t>
      </w:r>
      <w:r>
        <w:t xml:space="preserve"> допускается принимать равной 20 кПа, если в технологическом задании на проектирование не указывается большее значение этой нагрузки.</w:t>
      </w:r>
    </w:p>
    <w:p w:rsidR="00E35632" w:rsidRDefault="00E35632">
      <w:pPr>
        <w:pStyle w:val="ConsPlusNormal"/>
        <w:jc w:val="both"/>
      </w:pPr>
    </w:p>
    <w:p w:rsidR="00E35632" w:rsidRDefault="00E35632">
      <w:pPr>
        <w:pStyle w:val="ConsPlusNormal"/>
        <w:ind w:firstLine="540"/>
        <w:jc w:val="both"/>
      </w:pPr>
      <w:r>
        <w:rPr>
          <w:i/>
        </w:rPr>
        <w:t>Определение осадки основания фундаментов</w:t>
      </w:r>
    </w:p>
    <w:p w:rsidR="00E35632" w:rsidRDefault="00E35632">
      <w:pPr>
        <w:pStyle w:val="ConsPlusNormal"/>
        <w:jc w:val="both"/>
      </w:pPr>
    </w:p>
    <w:p w:rsidR="00E35632" w:rsidRDefault="00E35632">
      <w:pPr>
        <w:pStyle w:val="ConsPlusNormal"/>
        <w:ind w:firstLine="540"/>
        <w:jc w:val="both"/>
      </w:pPr>
      <w:bookmarkStart w:id="63" w:name="P1298"/>
      <w:bookmarkEnd w:id="63"/>
      <w:r>
        <w:t xml:space="preserve">5.6.31 Осадку основания фундамента </w:t>
      </w:r>
      <w:r>
        <w:rPr>
          <w:i/>
        </w:rPr>
        <w:t>s</w:t>
      </w:r>
      <w:r>
        <w:t xml:space="preserve">, см, с использованием расчетной схемы в виде линейно деформируемого полупространства (см. </w:t>
      </w:r>
      <w:hyperlink w:anchor="P837">
        <w:r>
          <w:rPr>
            <w:color w:val="0000FF"/>
          </w:rPr>
          <w:t>5.6.6</w:t>
        </w:r>
      </w:hyperlink>
      <w:r>
        <w:t>) вычисляют методом послойного суммирования по формуле</w:t>
      </w:r>
    </w:p>
    <w:p w:rsidR="00E35632" w:rsidRDefault="00E35632">
      <w:pPr>
        <w:pStyle w:val="ConsPlusNormal"/>
        <w:jc w:val="both"/>
      </w:pPr>
    </w:p>
    <w:p w:rsidR="00E35632" w:rsidRDefault="00E35632">
      <w:pPr>
        <w:pStyle w:val="ConsPlusNormal"/>
        <w:jc w:val="center"/>
      </w:pPr>
      <w:bookmarkStart w:id="64" w:name="P1300"/>
      <w:bookmarkEnd w:id="64"/>
      <w:r>
        <w:rPr>
          <w:noProof/>
          <w:position w:val="-28"/>
        </w:rPr>
        <w:lastRenderedPageBreak/>
        <w:drawing>
          <wp:inline distT="0" distB="0" distL="0" distR="0">
            <wp:extent cx="2514600" cy="502920"/>
            <wp:effectExtent l="0" t="0" r="0" b="0"/>
            <wp:docPr id="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2514600" cy="502920"/>
                    </a:xfrm>
                    <a:prstGeom prst="rect">
                      <a:avLst/>
                    </a:prstGeom>
                    <a:noFill/>
                    <a:ln>
                      <a:noFill/>
                    </a:ln>
                  </pic:spPr>
                </pic:pic>
              </a:graphicData>
            </a:graphic>
          </wp:inline>
        </w:drawing>
      </w:r>
      <w:r>
        <w:t xml:space="preserve"> (5.16)</w:t>
      </w:r>
    </w:p>
    <w:p w:rsidR="00E35632" w:rsidRDefault="00E35632">
      <w:pPr>
        <w:pStyle w:val="ConsPlusNormal"/>
        <w:jc w:val="both"/>
      </w:pPr>
    </w:p>
    <w:p w:rsidR="00E35632" w:rsidRDefault="00E35632">
      <w:pPr>
        <w:pStyle w:val="ConsPlusNormal"/>
        <w:ind w:firstLine="540"/>
        <w:jc w:val="both"/>
      </w:pPr>
      <w:r>
        <w:t xml:space="preserve">где </w:t>
      </w:r>
      <w:r>
        <w:rPr>
          <w:noProof/>
          <w:position w:val="-6"/>
        </w:rPr>
        <w:drawing>
          <wp:inline distT="0" distB="0" distL="0" distR="0">
            <wp:extent cx="167640" cy="226060"/>
            <wp:effectExtent l="0" t="0" r="0" b="0"/>
            <wp:docPr id="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167640" cy="226060"/>
                    </a:xfrm>
                    <a:prstGeom prst="rect">
                      <a:avLst/>
                    </a:prstGeom>
                    <a:noFill/>
                    <a:ln>
                      <a:noFill/>
                    </a:ln>
                  </pic:spPr>
                </pic:pic>
              </a:graphicData>
            </a:graphic>
          </wp:inline>
        </w:drawing>
      </w:r>
      <w:r>
        <w:t xml:space="preserve"> - безразмерный коэффициент, равный 0,8;</w:t>
      </w:r>
    </w:p>
    <w:p w:rsidR="00E35632" w:rsidRDefault="00E35632">
      <w:pPr>
        <w:pStyle w:val="ConsPlusNormal"/>
        <w:spacing w:before="220"/>
        <w:ind w:firstLine="540"/>
        <w:jc w:val="both"/>
      </w:pPr>
      <w:r>
        <w:rPr>
          <w:noProof/>
          <w:position w:val="-10"/>
        </w:rPr>
        <w:drawing>
          <wp:inline distT="0" distB="0" distL="0" distR="0">
            <wp:extent cx="318135" cy="267970"/>
            <wp:effectExtent l="0" t="0" r="0" b="0"/>
            <wp:docPr id="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318135" cy="267970"/>
                    </a:xfrm>
                    <a:prstGeom prst="rect">
                      <a:avLst/>
                    </a:prstGeom>
                    <a:noFill/>
                    <a:ln>
                      <a:noFill/>
                    </a:ln>
                  </pic:spPr>
                </pic:pic>
              </a:graphicData>
            </a:graphic>
          </wp:inline>
        </w:drawing>
      </w:r>
      <w:r>
        <w:t xml:space="preserve"> - среднее значение вертикального нормального напряжения (далее - вертикальное напряжение) от внешней нагрузки в </w:t>
      </w:r>
      <w:r>
        <w:rPr>
          <w:i/>
        </w:rPr>
        <w:t>i</w:t>
      </w:r>
      <w:r>
        <w:t xml:space="preserve">-м слое грунта по вертикали, проходящей через центр подошвы фундамента (см. </w:t>
      </w:r>
      <w:hyperlink w:anchor="P1339">
        <w:r>
          <w:rPr>
            <w:color w:val="0000FF"/>
          </w:rPr>
          <w:t>5.6.32</w:t>
        </w:r>
      </w:hyperlink>
      <w:r>
        <w:t>), кПа;</w:t>
      </w:r>
    </w:p>
    <w:p w:rsidR="00E35632" w:rsidRDefault="00E35632">
      <w:pPr>
        <w:pStyle w:val="ConsPlusNormal"/>
        <w:spacing w:before="220"/>
        <w:ind w:firstLine="540"/>
        <w:jc w:val="both"/>
      </w:pPr>
      <w:r>
        <w:rPr>
          <w:i/>
        </w:rPr>
        <w:t>h</w:t>
      </w:r>
      <w:r>
        <w:rPr>
          <w:i/>
          <w:vertAlign w:val="subscript"/>
        </w:rPr>
        <w:t>i</w:t>
      </w:r>
      <w:r>
        <w:t xml:space="preserve"> - толщина </w:t>
      </w:r>
      <w:r>
        <w:rPr>
          <w:i/>
        </w:rPr>
        <w:t>i</w:t>
      </w:r>
      <w:r>
        <w:t>-го слоя грунта, см, принимаемая не более 0,4 ширины фундамента;</w:t>
      </w:r>
    </w:p>
    <w:p w:rsidR="00E35632" w:rsidRDefault="00E35632">
      <w:pPr>
        <w:pStyle w:val="ConsPlusNormal"/>
        <w:spacing w:before="220"/>
        <w:ind w:firstLine="540"/>
        <w:jc w:val="both"/>
      </w:pPr>
      <w:r>
        <w:rPr>
          <w:i/>
        </w:rPr>
        <w:t>E</w:t>
      </w:r>
      <w:r>
        <w:rPr>
          <w:i/>
          <w:vertAlign w:val="subscript"/>
        </w:rPr>
        <w:t>i</w:t>
      </w:r>
      <w:r>
        <w:t xml:space="preserve"> - модуль деформации </w:t>
      </w:r>
      <w:r>
        <w:rPr>
          <w:i/>
        </w:rPr>
        <w:t>i</w:t>
      </w:r>
      <w:r>
        <w:t>-го слоя грунта по ветви первичного нагружения, кПа;</w:t>
      </w:r>
    </w:p>
    <w:p w:rsidR="00E35632" w:rsidRDefault="00E35632">
      <w:pPr>
        <w:pStyle w:val="ConsPlusNormal"/>
        <w:spacing w:before="220"/>
        <w:ind w:firstLine="540"/>
        <w:jc w:val="both"/>
      </w:pPr>
      <w:r>
        <w:rPr>
          <w:noProof/>
          <w:position w:val="-10"/>
        </w:rPr>
        <w:drawing>
          <wp:inline distT="0" distB="0" distL="0" distR="0">
            <wp:extent cx="318135" cy="267970"/>
            <wp:effectExtent l="0" t="0" r="0" b="0"/>
            <wp:docPr id="8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318135" cy="267970"/>
                    </a:xfrm>
                    <a:prstGeom prst="rect">
                      <a:avLst/>
                    </a:prstGeom>
                    <a:noFill/>
                    <a:ln>
                      <a:noFill/>
                    </a:ln>
                  </pic:spPr>
                </pic:pic>
              </a:graphicData>
            </a:graphic>
          </wp:inline>
        </w:drawing>
      </w:r>
      <w:r>
        <w:t xml:space="preserve"> - среднее значение вертикального напряжения в </w:t>
      </w:r>
      <w:r>
        <w:rPr>
          <w:i/>
        </w:rPr>
        <w:t>i</w:t>
      </w:r>
      <w:r>
        <w:t xml:space="preserve">-м слое грунта по вертикали, проходящей через центр подошвы фундамента, от собственного веса выбранного при отрывке котлована грунта (см. </w:t>
      </w:r>
      <w:hyperlink w:anchor="P1345">
        <w:r>
          <w:rPr>
            <w:color w:val="0000FF"/>
          </w:rPr>
          <w:t>5.6.33</w:t>
        </w:r>
      </w:hyperlink>
      <w:r>
        <w:t>), кПа;</w:t>
      </w:r>
    </w:p>
    <w:p w:rsidR="00E35632" w:rsidRDefault="00E35632">
      <w:pPr>
        <w:pStyle w:val="ConsPlusNormal"/>
        <w:spacing w:before="220"/>
        <w:ind w:firstLine="540"/>
        <w:jc w:val="both"/>
      </w:pPr>
      <w:r>
        <w:rPr>
          <w:i/>
        </w:rPr>
        <w:t>E</w:t>
      </w:r>
      <w:r>
        <w:rPr>
          <w:i/>
          <w:vertAlign w:val="subscript"/>
        </w:rPr>
        <w:t>e,i</w:t>
      </w:r>
      <w:r>
        <w:t xml:space="preserve"> - модуль деформации </w:t>
      </w:r>
      <w:r>
        <w:rPr>
          <w:i/>
        </w:rPr>
        <w:t>i</w:t>
      </w:r>
      <w:r>
        <w:t>-го слоя грунта по ветви вторичного нагружения, кПа;</w:t>
      </w:r>
    </w:p>
    <w:p w:rsidR="00E35632" w:rsidRDefault="00E35632">
      <w:pPr>
        <w:pStyle w:val="ConsPlusNormal"/>
        <w:spacing w:before="220"/>
        <w:ind w:firstLine="540"/>
        <w:jc w:val="both"/>
      </w:pPr>
      <w:r>
        <w:rPr>
          <w:i/>
        </w:rPr>
        <w:t>n</w:t>
      </w:r>
      <w:r>
        <w:t xml:space="preserve"> - число слоев, на которые разбита сжимаемая толща основания.</w:t>
      </w:r>
    </w:p>
    <w:p w:rsidR="00E35632" w:rsidRDefault="00E35632">
      <w:pPr>
        <w:pStyle w:val="ConsPlusNormal"/>
        <w:spacing w:before="220"/>
        <w:ind w:firstLine="540"/>
        <w:jc w:val="both"/>
      </w:pPr>
      <w:r>
        <w:t xml:space="preserve">При этом распределение вертикальных напряжений по глубине основания принимают в соответствии со схемой, приведенной на </w:t>
      </w:r>
      <w:hyperlink w:anchor="P1336">
        <w:r>
          <w:rPr>
            <w:color w:val="0000FF"/>
          </w:rPr>
          <w:t>рисунке 5.2</w:t>
        </w:r>
      </w:hyperlink>
      <w:r>
        <w:t>.</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 xml:space="preserve">1 При отсутствии опытных определений модуля деформации </w:t>
      </w:r>
      <w:r>
        <w:rPr>
          <w:i/>
        </w:rPr>
        <w:t>E</w:t>
      </w:r>
      <w:r>
        <w:rPr>
          <w:i/>
          <w:vertAlign w:val="subscript"/>
        </w:rPr>
        <w:t>e,i</w:t>
      </w:r>
      <w:r>
        <w:t xml:space="preserve"> для сооружений геотехнических категорий 1 и 2 допускается принимать </w:t>
      </w:r>
      <w:r>
        <w:rPr>
          <w:i/>
        </w:rPr>
        <w:t>E</w:t>
      </w:r>
      <w:r>
        <w:rPr>
          <w:i/>
          <w:vertAlign w:val="subscript"/>
        </w:rPr>
        <w:t>e,i</w:t>
      </w:r>
      <w:r>
        <w:t xml:space="preserve"> = 5</w:t>
      </w:r>
      <w:r>
        <w:rPr>
          <w:i/>
        </w:rPr>
        <w:t>E</w:t>
      </w:r>
      <w:r>
        <w:rPr>
          <w:i/>
          <w:vertAlign w:val="subscript"/>
        </w:rPr>
        <w:t>i</w:t>
      </w:r>
      <w:r>
        <w:rPr>
          <w:i/>
        </w:rPr>
        <w:t>.</w:t>
      </w:r>
    </w:p>
    <w:p w:rsidR="00E35632" w:rsidRDefault="00E35632">
      <w:pPr>
        <w:pStyle w:val="ConsPlusNormal"/>
        <w:spacing w:before="220"/>
        <w:ind w:firstLine="540"/>
        <w:jc w:val="both"/>
      </w:pPr>
      <w:r>
        <w:t xml:space="preserve">2 Средние значения напряжений </w:t>
      </w:r>
      <w:r>
        <w:rPr>
          <w:noProof/>
          <w:position w:val="-10"/>
        </w:rPr>
        <w:drawing>
          <wp:inline distT="0" distB="0" distL="0" distR="0">
            <wp:extent cx="318135" cy="267970"/>
            <wp:effectExtent l="0" t="0" r="0" b="0"/>
            <wp:docPr id="8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318135" cy="267970"/>
                    </a:xfrm>
                    <a:prstGeom prst="rect">
                      <a:avLst/>
                    </a:prstGeom>
                    <a:noFill/>
                    <a:ln>
                      <a:noFill/>
                    </a:ln>
                  </pic:spPr>
                </pic:pic>
              </a:graphicData>
            </a:graphic>
          </wp:inline>
        </w:drawing>
      </w:r>
      <w:r>
        <w:t xml:space="preserve"> и </w:t>
      </w:r>
      <w:r>
        <w:rPr>
          <w:noProof/>
          <w:position w:val="-10"/>
        </w:rPr>
        <w:drawing>
          <wp:inline distT="0" distB="0" distL="0" distR="0">
            <wp:extent cx="318135" cy="267970"/>
            <wp:effectExtent l="0" t="0" r="0" b="0"/>
            <wp:docPr id="8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318135" cy="267970"/>
                    </a:xfrm>
                    <a:prstGeom prst="rect">
                      <a:avLst/>
                    </a:prstGeom>
                    <a:noFill/>
                    <a:ln>
                      <a:noFill/>
                    </a:ln>
                  </pic:spPr>
                </pic:pic>
              </a:graphicData>
            </a:graphic>
          </wp:inline>
        </w:drawing>
      </w:r>
      <w:r>
        <w:t xml:space="preserve"> в </w:t>
      </w:r>
      <w:r>
        <w:rPr>
          <w:i/>
        </w:rPr>
        <w:t>i</w:t>
      </w:r>
      <w:r>
        <w:t xml:space="preserve">-м слое грунта допускается вычислять как полусумму соответствующих напряжений на верхней </w:t>
      </w:r>
      <w:r>
        <w:rPr>
          <w:i/>
        </w:rPr>
        <w:t>z</w:t>
      </w:r>
      <w:r>
        <w:rPr>
          <w:i/>
          <w:vertAlign w:val="subscript"/>
        </w:rPr>
        <w:t>i</w:t>
      </w:r>
      <w:r>
        <w:rPr>
          <w:vertAlign w:val="subscript"/>
        </w:rPr>
        <w:t>-1</w:t>
      </w:r>
      <w:r>
        <w:t xml:space="preserve"> и нижней </w:t>
      </w:r>
      <w:r>
        <w:rPr>
          <w:i/>
        </w:rPr>
        <w:t>z</w:t>
      </w:r>
      <w:r>
        <w:rPr>
          <w:i/>
          <w:vertAlign w:val="subscript"/>
        </w:rPr>
        <w:t>i</w:t>
      </w:r>
      <w:r>
        <w:t xml:space="preserve"> границах слоя.</w:t>
      </w:r>
    </w:p>
    <w:p w:rsidR="00E35632" w:rsidRDefault="00E35632">
      <w:pPr>
        <w:pStyle w:val="ConsPlusNormal"/>
        <w:spacing w:before="220"/>
        <w:ind w:firstLine="540"/>
        <w:jc w:val="both"/>
      </w:pPr>
      <w:r>
        <w:t xml:space="preserve">3 При возведении сооружения в отрываемом котловане следует различать три следующих значения вертикальных напряжений: </w:t>
      </w:r>
      <w:r>
        <w:rPr>
          <w:noProof/>
          <w:position w:val="-10"/>
        </w:rPr>
        <w:drawing>
          <wp:inline distT="0" distB="0" distL="0" distR="0">
            <wp:extent cx="267970" cy="267970"/>
            <wp:effectExtent l="0" t="0" r="0" b="0"/>
            <wp:docPr id="8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xml:space="preserve"> - от собственного веса грунта до начала строительства; </w:t>
      </w:r>
      <w:r>
        <w:rPr>
          <w:noProof/>
          <w:position w:val="-8"/>
        </w:rPr>
        <w:drawing>
          <wp:inline distT="0" distB="0" distL="0" distR="0">
            <wp:extent cx="251460" cy="251460"/>
            <wp:effectExtent l="0" t="0" r="0" b="0"/>
            <wp:docPr id="8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r>
        <w:t xml:space="preserve"> - после отрывки котлована; </w:t>
      </w:r>
      <w:r>
        <w:rPr>
          <w:noProof/>
          <w:position w:val="-8"/>
        </w:rPr>
        <w:drawing>
          <wp:inline distT="0" distB="0" distL="0" distR="0">
            <wp:extent cx="209550" cy="251460"/>
            <wp:effectExtent l="0" t="0" r="0" b="0"/>
            <wp:docPr id="8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после возведения сооружения.</w:t>
      </w:r>
    </w:p>
    <w:p w:rsidR="00E35632" w:rsidRDefault="00E35632">
      <w:pPr>
        <w:pStyle w:val="ConsPlusNormal"/>
        <w:spacing w:before="220"/>
        <w:ind w:firstLine="540"/>
        <w:jc w:val="both"/>
      </w:pPr>
      <w:r>
        <w:t xml:space="preserve">4 При определении средней осадки основания фундамента </w:t>
      </w:r>
      <w:r>
        <w:rPr>
          <w:noProof/>
          <w:position w:val="-4"/>
        </w:rPr>
        <w:drawing>
          <wp:inline distT="0" distB="0" distL="0" distR="0">
            <wp:extent cx="142240" cy="192405"/>
            <wp:effectExtent l="0" t="0" r="0" b="0"/>
            <wp:docPr id="9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59" cstate="print">
                      <a:extLst>
                        <a:ext uri="{28A0092B-C50C-407E-A947-70E740481C1C}">
                          <a14:useLocalDpi xmlns:a14="http://schemas.microsoft.com/office/drawing/2010/main" val="0"/>
                        </a:ext>
                      </a:extLst>
                    </a:blip>
                    <a:srcRect/>
                    <a:stretch>
                      <a:fillRect/>
                    </a:stretch>
                  </pic:blipFill>
                  <pic:spPr bwMode="auto">
                    <a:xfrm>
                      <a:off x="0" y="0"/>
                      <a:ext cx="142240" cy="192405"/>
                    </a:xfrm>
                    <a:prstGeom prst="rect">
                      <a:avLst/>
                    </a:prstGeom>
                    <a:noFill/>
                    <a:ln>
                      <a:noFill/>
                    </a:ln>
                  </pic:spPr>
                </pic:pic>
              </a:graphicData>
            </a:graphic>
          </wp:inline>
        </w:drawing>
      </w:r>
      <w:r>
        <w:t xml:space="preserve"> все используемые в </w:t>
      </w:r>
      <w:hyperlink w:anchor="P1300">
        <w:r>
          <w:rPr>
            <w:color w:val="0000FF"/>
          </w:rPr>
          <w:t>формуле (5.16)</w:t>
        </w:r>
      </w:hyperlink>
      <w:r>
        <w:t xml:space="preserve"> величины допускается определять для вертикали, проходящей не через центр фундамента, а через точку, лежащую посередине между центром и углом (для прямоугольных фундаментов) или на расстоянии </w:t>
      </w:r>
      <w:r>
        <w:rPr>
          <w:i/>
        </w:rPr>
        <w:t>r</w:t>
      </w:r>
      <w:r>
        <w:rPr>
          <w:i/>
          <w:vertAlign w:val="subscript"/>
        </w:rPr>
        <w:t>c</w:t>
      </w:r>
      <w:r>
        <w:t xml:space="preserve"> = (</w:t>
      </w:r>
      <w:r>
        <w:rPr>
          <w:i/>
        </w:rPr>
        <w:t>r</w:t>
      </w:r>
      <w:r>
        <w:rPr>
          <w:vertAlign w:val="subscript"/>
        </w:rPr>
        <w:t>1</w:t>
      </w:r>
      <w:r>
        <w:t xml:space="preserve"> + </w:t>
      </w:r>
      <w:r>
        <w:rPr>
          <w:i/>
        </w:rPr>
        <w:t>r</w:t>
      </w:r>
      <w:r>
        <w:rPr>
          <w:vertAlign w:val="subscript"/>
        </w:rPr>
        <w:t>2</w:t>
      </w:r>
      <w:r>
        <w:t xml:space="preserve">)/2 от центра, где </w:t>
      </w:r>
      <w:r>
        <w:rPr>
          <w:i/>
        </w:rPr>
        <w:t>r</w:t>
      </w:r>
      <w:r>
        <w:rPr>
          <w:vertAlign w:val="subscript"/>
        </w:rPr>
        <w:t>1</w:t>
      </w:r>
      <w:r>
        <w:t xml:space="preserve"> - внутренний, а </w:t>
      </w:r>
      <w:r>
        <w:rPr>
          <w:i/>
        </w:rPr>
        <w:t>r</w:t>
      </w:r>
      <w:r>
        <w:rPr>
          <w:vertAlign w:val="subscript"/>
        </w:rPr>
        <w:t>2</w:t>
      </w:r>
      <w:r>
        <w:t xml:space="preserve"> - внешний радиус круглого или кольцевого фундамента (для круглого фундамента </w:t>
      </w:r>
      <w:r>
        <w:rPr>
          <w:i/>
        </w:rPr>
        <w:t>r</w:t>
      </w:r>
      <w:r>
        <w:rPr>
          <w:vertAlign w:val="subscript"/>
        </w:rPr>
        <w:t>1</w:t>
      </w:r>
      <w:r>
        <w:t xml:space="preserve"> = 0).</w:t>
      </w:r>
    </w:p>
    <w:p w:rsidR="00E35632" w:rsidRDefault="00E35632">
      <w:pPr>
        <w:pStyle w:val="ConsPlusNormal"/>
        <w:spacing w:before="220"/>
        <w:ind w:firstLine="540"/>
        <w:jc w:val="both"/>
      </w:pPr>
      <w:r>
        <w:t xml:space="preserve">5 Расчет осадок свайных фундаментов выполняется с учетом требований </w:t>
      </w:r>
      <w:hyperlink r:id="rId360">
        <w:r>
          <w:rPr>
            <w:color w:val="0000FF"/>
          </w:rPr>
          <w:t>СП 24.13330</w:t>
        </w:r>
      </w:hyperlink>
      <w:r>
        <w:t>.</w:t>
      </w:r>
    </w:p>
    <w:p w:rsidR="00E35632" w:rsidRDefault="00E35632">
      <w:pPr>
        <w:pStyle w:val="ConsPlusNormal"/>
        <w:jc w:val="both"/>
      </w:pPr>
    </w:p>
    <w:p w:rsidR="00E35632" w:rsidRDefault="00E35632">
      <w:pPr>
        <w:pStyle w:val="ConsPlusNormal"/>
        <w:jc w:val="center"/>
      </w:pPr>
      <w:r>
        <w:rPr>
          <w:noProof/>
          <w:position w:val="-266"/>
        </w:rPr>
        <w:lastRenderedPageBreak/>
        <w:drawing>
          <wp:inline distT="0" distB="0" distL="0" distR="0">
            <wp:extent cx="3185160" cy="3529965"/>
            <wp:effectExtent l="0" t="0" r="0" b="0"/>
            <wp:docPr id="9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3185160" cy="3529965"/>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r>
        <w:rPr>
          <w:i/>
        </w:rPr>
        <w:t>DL</w:t>
      </w:r>
      <w:r>
        <w:t xml:space="preserve"> - отметка планировки; </w:t>
      </w:r>
      <w:r>
        <w:rPr>
          <w:i/>
        </w:rPr>
        <w:t>NL</w:t>
      </w:r>
      <w:r>
        <w:t xml:space="preserve"> - отметка поверхности</w:t>
      </w:r>
    </w:p>
    <w:p w:rsidR="00E35632" w:rsidRDefault="00E35632">
      <w:pPr>
        <w:pStyle w:val="ConsPlusNormal"/>
        <w:jc w:val="center"/>
      </w:pPr>
      <w:r>
        <w:t xml:space="preserve">природного рельефа; </w:t>
      </w:r>
      <w:r>
        <w:rPr>
          <w:i/>
        </w:rPr>
        <w:t>FL</w:t>
      </w:r>
      <w:r>
        <w:t xml:space="preserve"> - отметка подошвы фундамента;</w:t>
      </w:r>
    </w:p>
    <w:p w:rsidR="00E35632" w:rsidRDefault="00E35632">
      <w:pPr>
        <w:pStyle w:val="ConsPlusNormal"/>
        <w:jc w:val="center"/>
      </w:pPr>
      <w:r>
        <w:rPr>
          <w:i/>
        </w:rPr>
        <w:t>WL</w:t>
      </w:r>
      <w:r>
        <w:t xml:space="preserve"> - уровень подземных вод; </w:t>
      </w:r>
      <w:r>
        <w:rPr>
          <w:i/>
        </w:rPr>
        <w:t>B.C</w:t>
      </w:r>
      <w:r>
        <w:t xml:space="preserve"> - нижняя граница сжимаемой</w:t>
      </w:r>
    </w:p>
    <w:p w:rsidR="00E35632" w:rsidRDefault="00E35632">
      <w:pPr>
        <w:pStyle w:val="ConsPlusNormal"/>
        <w:jc w:val="center"/>
      </w:pPr>
      <w:r>
        <w:t xml:space="preserve">толщи; </w:t>
      </w:r>
      <w:r>
        <w:rPr>
          <w:i/>
        </w:rPr>
        <w:t>d</w:t>
      </w:r>
      <w:r>
        <w:t xml:space="preserve"> и </w:t>
      </w:r>
      <w:r>
        <w:rPr>
          <w:i/>
        </w:rPr>
        <w:t>d</w:t>
      </w:r>
      <w:r>
        <w:rPr>
          <w:i/>
          <w:vertAlign w:val="subscript"/>
        </w:rPr>
        <w:t>n</w:t>
      </w:r>
      <w:r>
        <w:t xml:space="preserve"> - глубина заложения фундамента соответственно</w:t>
      </w:r>
    </w:p>
    <w:p w:rsidR="00E35632" w:rsidRDefault="00E35632">
      <w:pPr>
        <w:pStyle w:val="ConsPlusNormal"/>
        <w:jc w:val="center"/>
      </w:pPr>
      <w:r>
        <w:t>от уровня планировки и поверхности природного рельефа;</w:t>
      </w:r>
    </w:p>
    <w:p w:rsidR="00E35632" w:rsidRDefault="00E35632">
      <w:pPr>
        <w:pStyle w:val="ConsPlusNormal"/>
        <w:jc w:val="center"/>
      </w:pPr>
      <w:r>
        <w:rPr>
          <w:i/>
        </w:rPr>
        <w:t>b</w:t>
      </w:r>
      <w:r>
        <w:t xml:space="preserve"> - ширина фундамента; </w:t>
      </w:r>
      <w:r>
        <w:rPr>
          <w:i/>
        </w:rPr>
        <w:t>p</w:t>
      </w:r>
      <w:r>
        <w:t xml:space="preserve"> - среднее давление под подошвой</w:t>
      </w:r>
    </w:p>
    <w:p w:rsidR="00E35632" w:rsidRDefault="00E35632">
      <w:pPr>
        <w:pStyle w:val="ConsPlusNormal"/>
        <w:jc w:val="center"/>
      </w:pPr>
      <w:r>
        <w:t xml:space="preserve">фундамента; </w:t>
      </w:r>
      <w:r>
        <w:rPr>
          <w:noProof/>
          <w:position w:val="-10"/>
        </w:rPr>
        <w:drawing>
          <wp:inline distT="0" distB="0" distL="0" distR="0">
            <wp:extent cx="267970" cy="267970"/>
            <wp:effectExtent l="0" t="0" r="0" b="0"/>
            <wp:docPr id="9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xml:space="preserve"> и </w:t>
      </w:r>
      <w:r>
        <w:rPr>
          <w:noProof/>
          <w:position w:val="-10"/>
        </w:rPr>
        <w:drawing>
          <wp:inline distT="0" distB="0" distL="0" distR="0">
            <wp:extent cx="335280" cy="267970"/>
            <wp:effectExtent l="0" t="0" r="0" b="0"/>
            <wp:docPr id="9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335280" cy="267970"/>
                    </a:xfrm>
                    <a:prstGeom prst="rect">
                      <a:avLst/>
                    </a:prstGeom>
                    <a:noFill/>
                    <a:ln>
                      <a:noFill/>
                    </a:ln>
                  </pic:spPr>
                </pic:pic>
              </a:graphicData>
            </a:graphic>
          </wp:inline>
        </w:drawing>
      </w:r>
      <w:r>
        <w:t xml:space="preserve"> - вертикальное напряжение</w:t>
      </w:r>
    </w:p>
    <w:p w:rsidR="00E35632" w:rsidRDefault="00E35632">
      <w:pPr>
        <w:pStyle w:val="ConsPlusNormal"/>
        <w:jc w:val="center"/>
      </w:pPr>
      <w:r>
        <w:t xml:space="preserve">от собственного веса грунта на глубине </w:t>
      </w:r>
      <w:r>
        <w:rPr>
          <w:i/>
        </w:rPr>
        <w:t>z</w:t>
      </w:r>
      <w:r>
        <w:t xml:space="preserve"> от подошвы</w:t>
      </w:r>
    </w:p>
    <w:p w:rsidR="00E35632" w:rsidRDefault="00E35632">
      <w:pPr>
        <w:pStyle w:val="ConsPlusNormal"/>
        <w:jc w:val="center"/>
      </w:pPr>
      <w:r>
        <w:t xml:space="preserve">фундамента и на уровне подошвы; </w:t>
      </w:r>
      <w:r>
        <w:rPr>
          <w:noProof/>
          <w:position w:val="-10"/>
        </w:rPr>
        <w:drawing>
          <wp:inline distT="0" distB="0" distL="0" distR="0">
            <wp:extent cx="251460" cy="273685"/>
            <wp:effectExtent l="0" t="0" r="0" b="0"/>
            <wp:docPr id="9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251460" cy="273685"/>
                    </a:xfrm>
                    <a:prstGeom prst="rect">
                      <a:avLst/>
                    </a:prstGeom>
                    <a:noFill/>
                    <a:ln>
                      <a:noFill/>
                    </a:ln>
                  </pic:spPr>
                </pic:pic>
              </a:graphicData>
            </a:graphic>
          </wp:inline>
        </w:drawing>
      </w:r>
      <w:r>
        <w:t xml:space="preserve"> и </w:t>
      </w:r>
      <w:r>
        <w:rPr>
          <w:noProof/>
          <w:position w:val="-10"/>
        </w:rPr>
        <w:drawing>
          <wp:inline distT="0" distB="0" distL="0" distR="0">
            <wp:extent cx="335280" cy="273685"/>
            <wp:effectExtent l="0" t="0" r="0" b="0"/>
            <wp:docPr id="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335280" cy="273685"/>
                    </a:xfrm>
                    <a:prstGeom prst="rect">
                      <a:avLst/>
                    </a:prstGeom>
                    <a:noFill/>
                    <a:ln>
                      <a:noFill/>
                    </a:ln>
                  </pic:spPr>
                </pic:pic>
              </a:graphicData>
            </a:graphic>
          </wp:inline>
        </w:drawing>
      </w:r>
      <w:r>
        <w:t xml:space="preserve"> - вертикальное</w:t>
      </w:r>
    </w:p>
    <w:p w:rsidR="00E35632" w:rsidRDefault="00E35632">
      <w:pPr>
        <w:pStyle w:val="ConsPlusNormal"/>
        <w:jc w:val="center"/>
      </w:pPr>
      <w:r>
        <w:t xml:space="preserve">напряжение от внешней нагрузки на глубине </w:t>
      </w:r>
      <w:r>
        <w:rPr>
          <w:i/>
        </w:rPr>
        <w:t>z</w:t>
      </w:r>
      <w:r>
        <w:t xml:space="preserve"> от подошвы</w:t>
      </w:r>
    </w:p>
    <w:p w:rsidR="00E35632" w:rsidRDefault="00E35632">
      <w:pPr>
        <w:pStyle w:val="ConsPlusNormal"/>
        <w:jc w:val="center"/>
      </w:pPr>
      <w:r>
        <w:t xml:space="preserve">фундамента и на уровне подошвы; </w:t>
      </w:r>
      <w:r>
        <w:rPr>
          <w:noProof/>
          <w:position w:val="-10"/>
        </w:rPr>
        <w:drawing>
          <wp:inline distT="0" distB="0" distL="0" distR="0">
            <wp:extent cx="318135" cy="267970"/>
            <wp:effectExtent l="0" t="0" r="0" b="0"/>
            <wp:docPr id="9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6" cstate="print">
                      <a:extLst>
                        <a:ext uri="{28A0092B-C50C-407E-A947-70E740481C1C}">
                          <a14:useLocalDpi xmlns:a14="http://schemas.microsoft.com/office/drawing/2010/main" val="0"/>
                        </a:ext>
                      </a:extLst>
                    </a:blip>
                    <a:srcRect/>
                    <a:stretch>
                      <a:fillRect/>
                    </a:stretch>
                  </pic:blipFill>
                  <pic:spPr bwMode="auto">
                    <a:xfrm>
                      <a:off x="0" y="0"/>
                      <a:ext cx="318135" cy="267970"/>
                    </a:xfrm>
                    <a:prstGeom prst="rect">
                      <a:avLst/>
                    </a:prstGeom>
                    <a:noFill/>
                    <a:ln>
                      <a:noFill/>
                    </a:ln>
                  </pic:spPr>
                </pic:pic>
              </a:graphicData>
            </a:graphic>
          </wp:inline>
        </w:drawing>
      </w:r>
      <w:r>
        <w:t xml:space="preserve"> - вертикальное</w:t>
      </w:r>
    </w:p>
    <w:p w:rsidR="00E35632" w:rsidRDefault="00E35632">
      <w:pPr>
        <w:pStyle w:val="ConsPlusNormal"/>
        <w:jc w:val="center"/>
      </w:pPr>
      <w:r>
        <w:t>напряжение от собственного веса вынутого в котловане</w:t>
      </w:r>
    </w:p>
    <w:p w:rsidR="00E35632" w:rsidRDefault="00E35632">
      <w:pPr>
        <w:pStyle w:val="ConsPlusNormal"/>
        <w:jc w:val="center"/>
      </w:pPr>
      <w:r>
        <w:t xml:space="preserve">грунта в середине </w:t>
      </w:r>
      <w:r>
        <w:rPr>
          <w:i/>
        </w:rPr>
        <w:t>i</w:t>
      </w:r>
      <w:r>
        <w:t xml:space="preserve">-го слоя на глубине </w:t>
      </w:r>
      <w:r>
        <w:rPr>
          <w:i/>
        </w:rPr>
        <w:t>z</w:t>
      </w:r>
      <w:r>
        <w:t xml:space="preserve"> от подошвы</w:t>
      </w:r>
    </w:p>
    <w:p w:rsidR="00E35632" w:rsidRDefault="00E35632">
      <w:pPr>
        <w:pStyle w:val="ConsPlusNormal"/>
        <w:jc w:val="center"/>
      </w:pPr>
      <w:r>
        <w:t xml:space="preserve">фундамента; </w:t>
      </w:r>
      <w:r>
        <w:rPr>
          <w:i/>
        </w:rPr>
        <w:t>H</w:t>
      </w:r>
      <w:r>
        <w:rPr>
          <w:i/>
          <w:vertAlign w:val="subscript"/>
        </w:rPr>
        <w:t>c</w:t>
      </w:r>
      <w:r>
        <w:t xml:space="preserve"> - глубина сжимаемой толщи</w:t>
      </w:r>
    </w:p>
    <w:p w:rsidR="00E35632" w:rsidRDefault="00E35632">
      <w:pPr>
        <w:pStyle w:val="ConsPlusNormal"/>
        <w:jc w:val="center"/>
      </w:pPr>
      <w:r>
        <w:t xml:space="preserve">(в ред. </w:t>
      </w:r>
      <w:hyperlink r:id="rId367">
        <w:r>
          <w:rPr>
            <w:color w:val="0000FF"/>
          </w:rPr>
          <w:t>Изменения N 4</w:t>
        </w:r>
      </w:hyperlink>
      <w:r>
        <w:t>, утв. Приказом</w:t>
      </w:r>
    </w:p>
    <w:p w:rsidR="00E35632" w:rsidRDefault="00E35632">
      <w:pPr>
        <w:pStyle w:val="ConsPlusNormal"/>
        <w:jc w:val="center"/>
      </w:pPr>
      <w:r>
        <w:t>Минстроя России от 27.12.2021 N 1022/пр)</w:t>
      </w:r>
    </w:p>
    <w:p w:rsidR="00E35632" w:rsidRDefault="00E35632">
      <w:pPr>
        <w:pStyle w:val="ConsPlusNormal"/>
        <w:jc w:val="both"/>
      </w:pPr>
    </w:p>
    <w:p w:rsidR="00E35632" w:rsidRDefault="00E35632">
      <w:pPr>
        <w:pStyle w:val="ConsPlusNormal"/>
        <w:jc w:val="center"/>
      </w:pPr>
      <w:bookmarkStart w:id="65" w:name="P1336"/>
      <w:bookmarkEnd w:id="65"/>
      <w:r>
        <w:rPr>
          <w:b/>
          <w:i/>
        </w:rPr>
        <w:t>Рисунок 5.2</w:t>
      </w:r>
      <w:r>
        <w:t xml:space="preserve"> </w:t>
      </w:r>
      <w:r>
        <w:rPr>
          <w:b/>
        </w:rPr>
        <w:t>- Схема распределения вертикальных напряжений</w:t>
      </w:r>
    </w:p>
    <w:p w:rsidR="00E35632" w:rsidRDefault="00E35632">
      <w:pPr>
        <w:pStyle w:val="ConsPlusNormal"/>
        <w:jc w:val="center"/>
      </w:pPr>
      <w:r>
        <w:rPr>
          <w:b/>
        </w:rPr>
        <w:t>в линейно-деформируемом полупространстве</w:t>
      </w:r>
    </w:p>
    <w:p w:rsidR="00E35632" w:rsidRDefault="00E35632">
      <w:pPr>
        <w:pStyle w:val="ConsPlusNormal"/>
        <w:jc w:val="both"/>
      </w:pPr>
    </w:p>
    <w:p w:rsidR="00E35632" w:rsidRDefault="00E35632">
      <w:pPr>
        <w:pStyle w:val="ConsPlusNormal"/>
        <w:ind w:firstLine="540"/>
        <w:jc w:val="both"/>
      </w:pPr>
      <w:bookmarkStart w:id="66" w:name="P1339"/>
      <w:bookmarkEnd w:id="66"/>
      <w:r>
        <w:t xml:space="preserve">5.6.32 Вертикальные напряжения от внешней нагрузки </w:t>
      </w:r>
      <w:r>
        <w:rPr>
          <w:noProof/>
          <w:position w:val="-10"/>
        </w:rPr>
        <w:drawing>
          <wp:inline distT="0" distB="0" distL="0" distR="0">
            <wp:extent cx="963930" cy="267970"/>
            <wp:effectExtent l="0" t="0" r="0" b="0"/>
            <wp:docPr id="9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963930" cy="267970"/>
                    </a:xfrm>
                    <a:prstGeom prst="rect">
                      <a:avLst/>
                    </a:prstGeom>
                    <a:noFill/>
                    <a:ln>
                      <a:noFill/>
                    </a:ln>
                  </pic:spPr>
                </pic:pic>
              </a:graphicData>
            </a:graphic>
          </wp:inline>
        </w:drawing>
      </w:r>
      <w:r>
        <w:t xml:space="preserve"> зависят от размеров, формы и глубины заложения фундамента, распределения давления на грунт по его подошве и свойств грунтов основания. Для прямоугольных, круглых и ленточных фундаментов значения </w:t>
      </w:r>
      <w:r>
        <w:rPr>
          <w:noProof/>
          <w:position w:val="-10"/>
        </w:rPr>
        <w:drawing>
          <wp:inline distT="0" distB="0" distL="0" distR="0">
            <wp:extent cx="251460" cy="267970"/>
            <wp:effectExtent l="0" t="0" r="0" b="0"/>
            <wp:docPr id="9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69"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r>
        <w:t xml:space="preserve">, кПа, на глубине </w:t>
      </w:r>
      <w:r>
        <w:rPr>
          <w:i/>
        </w:rPr>
        <w:t>z</w:t>
      </w:r>
      <w:r>
        <w:t xml:space="preserve"> от подошвы фундамента по вертикали, проходящей через центр подошвы, вычисляют по формуле</w:t>
      </w:r>
    </w:p>
    <w:p w:rsidR="00E35632" w:rsidRDefault="00E35632">
      <w:pPr>
        <w:pStyle w:val="ConsPlusNormal"/>
        <w:jc w:val="both"/>
      </w:pPr>
    </w:p>
    <w:p w:rsidR="00E35632" w:rsidRDefault="00E35632">
      <w:pPr>
        <w:pStyle w:val="ConsPlusNormal"/>
        <w:jc w:val="center"/>
      </w:pPr>
      <w:bookmarkStart w:id="67" w:name="P1341"/>
      <w:bookmarkEnd w:id="67"/>
      <w:r>
        <w:rPr>
          <w:noProof/>
          <w:position w:val="-10"/>
        </w:rPr>
        <w:drawing>
          <wp:inline distT="0" distB="0" distL="0" distR="0">
            <wp:extent cx="697865" cy="267970"/>
            <wp:effectExtent l="0" t="0" r="0" b="0"/>
            <wp:docPr id="9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697865" cy="267970"/>
                    </a:xfrm>
                    <a:prstGeom prst="rect">
                      <a:avLst/>
                    </a:prstGeom>
                    <a:noFill/>
                    <a:ln>
                      <a:noFill/>
                    </a:ln>
                  </pic:spPr>
                </pic:pic>
              </a:graphicData>
            </a:graphic>
          </wp:inline>
        </w:drawing>
      </w:r>
      <w:r>
        <w:t xml:space="preserve"> (5.17)</w:t>
      </w:r>
    </w:p>
    <w:p w:rsidR="00E35632" w:rsidRDefault="00E35632">
      <w:pPr>
        <w:pStyle w:val="ConsPlusNormal"/>
        <w:jc w:val="both"/>
      </w:pPr>
    </w:p>
    <w:p w:rsidR="00E35632" w:rsidRDefault="00E35632">
      <w:pPr>
        <w:pStyle w:val="ConsPlusNormal"/>
        <w:ind w:firstLine="540"/>
        <w:jc w:val="both"/>
      </w:pPr>
      <w:r>
        <w:lastRenderedPageBreak/>
        <w:t xml:space="preserve">где </w:t>
      </w:r>
      <w:r>
        <w:rPr>
          <w:noProof/>
          <w:position w:val="-1"/>
        </w:rPr>
        <w:drawing>
          <wp:inline distT="0" distB="0" distL="0" distR="0">
            <wp:extent cx="167640" cy="160020"/>
            <wp:effectExtent l="0" t="0" r="0" b="0"/>
            <wp:docPr id="10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67640" cy="160020"/>
                    </a:xfrm>
                    <a:prstGeom prst="rect">
                      <a:avLst/>
                    </a:prstGeom>
                    <a:noFill/>
                    <a:ln>
                      <a:noFill/>
                    </a:ln>
                  </pic:spPr>
                </pic:pic>
              </a:graphicData>
            </a:graphic>
          </wp:inline>
        </w:drawing>
      </w:r>
      <w:r>
        <w:t xml:space="preserve"> - коэффициент, принимаемый по </w:t>
      </w:r>
      <w:hyperlink w:anchor="P1369">
        <w:r>
          <w:rPr>
            <w:color w:val="0000FF"/>
          </w:rPr>
          <w:t>таблице 5.8</w:t>
        </w:r>
      </w:hyperlink>
      <w:r>
        <w:t xml:space="preserve"> в зависимости от относительной глубины </w:t>
      </w:r>
      <w:r>
        <w:rPr>
          <w:noProof/>
          <w:position w:val="-6"/>
        </w:rPr>
        <w:drawing>
          <wp:inline distT="0" distB="0" distL="0" distR="0">
            <wp:extent cx="142240" cy="226060"/>
            <wp:effectExtent l="0" t="0" r="0" b="0"/>
            <wp:docPr id="10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42240" cy="226060"/>
                    </a:xfrm>
                    <a:prstGeom prst="rect">
                      <a:avLst/>
                    </a:prstGeom>
                    <a:noFill/>
                    <a:ln>
                      <a:noFill/>
                    </a:ln>
                  </pic:spPr>
                </pic:pic>
              </a:graphicData>
            </a:graphic>
          </wp:inline>
        </w:drawing>
      </w:r>
      <w:r>
        <w:t>, равной 2</w:t>
      </w:r>
      <w:r>
        <w:rPr>
          <w:i/>
        </w:rPr>
        <w:t>z</w:t>
      </w:r>
      <w:r>
        <w:t>/</w:t>
      </w:r>
      <w:r>
        <w:rPr>
          <w:i/>
        </w:rPr>
        <w:t>b</w:t>
      </w:r>
      <w:r>
        <w:t>;</w:t>
      </w:r>
    </w:p>
    <w:p w:rsidR="00E35632" w:rsidRDefault="00E35632">
      <w:pPr>
        <w:pStyle w:val="ConsPlusNormal"/>
        <w:spacing w:before="220"/>
        <w:ind w:firstLine="540"/>
        <w:jc w:val="both"/>
      </w:pPr>
      <w:r>
        <w:rPr>
          <w:i/>
        </w:rPr>
        <w:t>p</w:t>
      </w:r>
      <w:r>
        <w:t xml:space="preserve"> - среднее давление под подошвой фундамента, кПа.</w:t>
      </w:r>
    </w:p>
    <w:p w:rsidR="00E35632" w:rsidRDefault="00E35632">
      <w:pPr>
        <w:pStyle w:val="ConsPlusNormal"/>
        <w:spacing w:before="220"/>
        <w:ind w:firstLine="540"/>
        <w:jc w:val="both"/>
      </w:pPr>
      <w:bookmarkStart w:id="68" w:name="P1345"/>
      <w:bookmarkEnd w:id="68"/>
      <w:r>
        <w:t xml:space="preserve">5.6.33 Вертикальное напряжение от собственного веса грунта, выбранного при отрывке котлована, на отметке подошвы фундамента </w:t>
      </w:r>
      <w:r>
        <w:rPr>
          <w:noProof/>
          <w:position w:val="-10"/>
        </w:rPr>
        <w:drawing>
          <wp:inline distT="0" distB="0" distL="0" distR="0">
            <wp:extent cx="989330" cy="267970"/>
            <wp:effectExtent l="0" t="0" r="0" b="0"/>
            <wp:docPr id="10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989330" cy="267970"/>
                    </a:xfrm>
                    <a:prstGeom prst="rect">
                      <a:avLst/>
                    </a:prstGeom>
                    <a:noFill/>
                    <a:ln>
                      <a:noFill/>
                    </a:ln>
                  </pic:spPr>
                </pic:pic>
              </a:graphicData>
            </a:graphic>
          </wp:inline>
        </w:drawing>
      </w:r>
      <w:r>
        <w:t xml:space="preserve">, кПа, на глубине </w:t>
      </w:r>
      <w:r>
        <w:rPr>
          <w:i/>
        </w:rPr>
        <w:t>z</w:t>
      </w:r>
      <w:r>
        <w:t xml:space="preserve"> от подошвы прямоугольных, круглых и ленточных фундаментов определяют по формуле</w:t>
      </w:r>
    </w:p>
    <w:p w:rsidR="00E35632" w:rsidRDefault="00E35632">
      <w:pPr>
        <w:pStyle w:val="ConsPlusNormal"/>
        <w:jc w:val="both"/>
      </w:pPr>
      <w:r>
        <w:t xml:space="preserve">(в ред. </w:t>
      </w:r>
      <w:hyperlink r:id="rId374">
        <w:r>
          <w:rPr>
            <w:color w:val="0000FF"/>
          </w:rPr>
          <w:t>Изменения N 2</w:t>
        </w:r>
      </w:hyperlink>
      <w:r>
        <w:t>, утв. Приказом Минстроя России от 24.01.2019 N 43/пр)</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880110" cy="267970"/>
            <wp:effectExtent l="0" t="0" r="0" b="0"/>
            <wp:docPr id="10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880110" cy="267970"/>
                    </a:xfrm>
                    <a:prstGeom prst="rect">
                      <a:avLst/>
                    </a:prstGeom>
                    <a:noFill/>
                    <a:ln>
                      <a:noFill/>
                    </a:ln>
                  </pic:spPr>
                </pic:pic>
              </a:graphicData>
            </a:graphic>
          </wp:inline>
        </w:drawing>
      </w:r>
      <w:r>
        <w:t xml:space="preserve"> (5.18)</w:t>
      </w:r>
    </w:p>
    <w:p w:rsidR="00E35632" w:rsidRDefault="00E35632">
      <w:pPr>
        <w:pStyle w:val="ConsPlusNormal"/>
        <w:jc w:val="both"/>
      </w:pPr>
    </w:p>
    <w:p w:rsidR="00E35632" w:rsidRDefault="00E35632">
      <w:pPr>
        <w:pStyle w:val="ConsPlusNormal"/>
        <w:ind w:firstLine="540"/>
        <w:jc w:val="both"/>
      </w:pPr>
      <w:r>
        <w:t xml:space="preserve">где </w:t>
      </w:r>
      <w:r>
        <w:rPr>
          <w:noProof/>
          <w:position w:val="-1"/>
        </w:rPr>
        <w:drawing>
          <wp:inline distT="0" distB="0" distL="0" distR="0">
            <wp:extent cx="167640" cy="160020"/>
            <wp:effectExtent l="0" t="0" r="0" b="0"/>
            <wp:docPr id="10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167640" cy="160020"/>
                    </a:xfrm>
                    <a:prstGeom prst="rect">
                      <a:avLst/>
                    </a:prstGeom>
                    <a:noFill/>
                    <a:ln>
                      <a:noFill/>
                    </a:ln>
                  </pic:spPr>
                </pic:pic>
              </a:graphicData>
            </a:graphic>
          </wp:inline>
        </w:drawing>
      </w:r>
      <w:r>
        <w:t xml:space="preserve"> - то же, что и в </w:t>
      </w:r>
      <w:hyperlink w:anchor="P1339">
        <w:r>
          <w:rPr>
            <w:color w:val="0000FF"/>
          </w:rPr>
          <w:t>5.6.32</w:t>
        </w:r>
      </w:hyperlink>
      <w:r>
        <w:t>;</w:t>
      </w:r>
    </w:p>
    <w:p w:rsidR="00E35632" w:rsidRDefault="00E35632">
      <w:pPr>
        <w:pStyle w:val="ConsPlusNormal"/>
        <w:spacing w:before="220"/>
        <w:ind w:firstLine="540"/>
        <w:jc w:val="both"/>
      </w:pPr>
      <w:r>
        <w:rPr>
          <w:noProof/>
          <w:position w:val="-10"/>
        </w:rPr>
        <w:drawing>
          <wp:inline distT="0" distB="0" distL="0" distR="0">
            <wp:extent cx="335280" cy="267970"/>
            <wp:effectExtent l="0" t="0" r="0" b="0"/>
            <wp:docPr id="10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35280" cy="267970"/>
                    </a:xfrm>
                    <a:prstGeom prst="rect">
                      <a:avLst/>
                    </a:prstGeom>
                    <a:noFill/>
                    <a:ln>
                      <a:noFill/>
                    </a:ln>
                  </pic:spPr>
                </pic:pic>
              </a:graphicData>
            </a:graphic>
          </wp:inline>
        </w:drawing>
      </w:r>
      <w:r>
        <w:t xml:space="preserve"> - вертикальное напряжение от собственного веса грунта на отметке подошвы фундамента, кПа (при планировке срезкой </w:t>
      </w:r>
      <w:r>
        <w:rPr>
          <w:noProof/>
          <w:position w:val="-10"/>
        </w:rPr>
        <w:drawing>
          <wp:inline distT="0" distB="0" distL="0" distR="0">
            <wp:extent cx="754380" cy="267970"/>
            <wp:effectExtent l="0" t="0" r="0" b="0"/>
            <wp:docPr id="10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754380" cy="267970"/>
                    </a:xfrm>
                    <a:prstGeom prst="rect">
                      <a:avLst/>
                    </a:prstGeom>
                    <a:noFill/>
                    <a:ln>
                      <a:noFill/>
                    </a:ln>
                  </pic:spPr>
                </pic:pic>
              </a:graphicData>
            </a:graphic>
          </wp:inline>
        </w:drawing>
      </w:r>
      <w:r>
        <w:t xml:space="preserve">, при отсутствии планировки и планировке подсыпкой </w:t>
      </w:r>
      <w:r>
        <w:rPr>
          <w:noProof/>
          <w:position w:val="-10"/>
        </w:rPr>
        <w:drawing>
          <wp:inline distT="0" distB="0" distL="0" distR="0">
            <wp:extent cx="796290" cy="267970"/>
            <wp:effectExtent l="0" t="0" r="0" b="0"/>
            <wp:docPr id="10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79" cstate="print">
                      <a:extLst>
                        <a:ext uri="{28A0092B-C50C-407E-A947-70E740481C1C}">
                          <a14:useLocalDpi xmlns:a14="http://schemas.microsoft.com/office/drawing/2010/main" val="0"/>
                        </a:ext>
                      </a:extLst>
                    </a:blip>
                    <a:srcRect/>
                    <a:stretch>
                      <a:fillRect/>
                    </a:stretch>
                  </pic:blipFill>
                  <pic:spPr bwMode="auto">
                    <a:xfrm>
                      <a:off x="0" y="0"/>
                      <a:ext cx="796290" cy="267970"/>
                    </a:xfrm>
                    <a:prstGeom prst="rect">
                      <a:avLst/>
                    </a:prstGeom>
                    <a:noFill/>
                    <a:ln>
                      <a:noFill/>
                    </a:ln>
                  </pic:spPr>
                </pic:pic>
              </a:graphicData>
            </a:graphic>
          </wp:inline>
        </w:drawing>
      </w:r>
      <w:r>
        <w:t xml:space="preserve">, где </w:t>
      </w:r>
      <w:r>
        <w:rPr>
          <w:noProof/>
          <w:position w:val="-6"/>
        </w:rPr>
        <w:drawing>
          <wp:inline distT="0" distB="0" distL="0" distR="0">
            <wp:extent cx="192405" cy="226060"/>
            <wp:effectExtent l="0" t="0" r="0" b="0"/>
            <wp:docPr id="10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192405" cy="226060"/>
                    </a:xfrm>
                    <a:prstGeom prst="rect">
                      <a:avLst/>
                    </a:prstGeom>
                    <a:noFill/>
                    <a:ln>
                      <a:noFill/>
                    </a:ln>
                  </pic:spPr>
                </pic:pic>
              </a:graphicData>
            </a:graphic>
          </wp:inline>
        </w:drawing>
      </w:r>
      <w:r>
        <w:t xml:space="preserve"> - удельный вес грунта, кН/м</w:t>
      </w:r>
      <w:r>
        <w:rPr>
          <w:vertAlign w:val="superscript"/>
        </w:rPr>
        <w:t>3</w:t>
      </w:r>
      <w:r>
        <w:t xml:space="preserve">, расположенного выше подошвы; </w:t>
      </w:r>
      <w:r>
        <w:rPr>
          <w:i/>
        </w:rPr>
        <w:t>d</w:t>
      </w:r>
      <w:r>
        <w:t xml:space="preserve"> и </w:t>
      </w:r>
      <w:r>
        <w:rPr>
          <w:i/>
        </w:rPr>
        <w:t>d</w:t>
      </w:r>
      <w:r>
        <w:rPr>
          <w:i/>
          <w:vertAlign w:val="subscript"/>
        </w:rPr>
        <w:t>n</w:t>
      </w:r>
      <w:r>
        <w:t xml:space="preserve">, м - см. </w:t>
      </w:r>
      <w:hyperlink w:anchor="P1336">
        <w:r>
          <w:rPr>
            <w:color w:val="0000FF"/>
          </w:rPr>
          <w:t>рисунок 5.2</w:t>
        </w:r>
      </w:hyperlink>
      <w:r>
        <w:t>).</w:t>
      </w:r>
    </w:p>
    <w:p w:rsidR="00E35632" w:rsidRDefault="00E35632">
      <w:pPr>
        <w:pStyle w:val="ConsPlusNormal"/>
        <w:spacing w:before="220"/>
        <w:ind w:firstLine="540"/>
        <w:jc w:val="both"/>
      </w:pPr>
      <w:r>
        <w:t xml:space="preserve">При этом в расчете </w:t>
      </w:r>
      <w:r>
        <w:rPr>
          <w:noProof/>
          <w:position w:val="-10"/>
        </w:rPr>
        <w:drawing>
          <wp:inline distT="0" distB="0" distL="0" distR="0">
            <wp:extent cx="267970" cy="267970"/>
            <wp:effectExtent l="0" t="0" r="0" b="0"/>
            <wp:docPr id="10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xml:space="preserve"> используются размеры в плане не фундамента, а котлована.</w:t>
      </w:r>
    </w:p>
    <w:p w:rsidR="00E35632" w:rsidRDefault="00E35632">
      <w:pPr>
        <w:pStyle w:val="ConsPlusNormal"/>
        <w:spacing w:before="220"/>
        <w:ind w:firstLine="540"/>
        <w:jc w:val="both"/>
      </w:pPr>
      <w:r>
        <w:t xml:space="preserve">5.6.34 При расчете осадки фундаментов, возводимых в котлованах глубиной менее 5 м, допускается в </w:t>
      </w:r>
      <w:hyperlink w:anchor="P1300">
        <w:r>
          <w:rPr>
            <w:color w:val="0000FF"/>
          </w:rPr>
          <w:t>формуле (5.16)</w:t>
        </w:r>
      </w:hyperlink>
      <w:r>
        <w:t xml:space="preserve"> не учитывать второе слагаемое.</w:t>
      </w:r>
    </w:p>
    <w:p w:rsidR="00E35632" w:rsidRDefault="00E35632">
      <w:pPr>
        <w:pStyle w:val="ConsPlusNormal"/>
        <w:spacing w:before="220"/>
        <w:ind w:firstLine="540"/>
        <w:jc w:val="both"/>
      </w:pPr>
      <w:r>
        <w:t xml:space="preserve">5.6.35 Если среднее давление под подошвой фундамента </w:t>
      </w:r>
      <w:r>
        <w:rPr>
          <w:noProof/>
          <w:position w:val="-10"/>
        </w:rPr>
        <w:drawing>
          <wp:inline distT="0" distB="0" distL="0" distR="0">
            <wp:extent cx="614680" cy="267970"/>
            <wp:effectExtent l="0" t="0" r="0" b="0"/>
            <wp:docPr id="1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614680" cy="267970"/>
                    </a:xfrm>
                    <a:prstGeom prst="rect">
                      <a:avLst/>
                    </a:prstGeom>
                    <a:noFill/>
                    <a:ln>
                      <a:noFill/>
                    </a:ln>
                  </pic:spPr>
                </pic:pic>
              </a:graphicData>
            </a:graphic>
          </wp:inline>
        </w:drawing>
      </w:r>
      <w:r>
        <w:t xml:space="preserve">, осадку основания фундамента </w:t>
      </w:r>
      <w:r>
        <w:rPr>
          <w:i/>
        </w:rPr>
        <w:t>s</w:t>
      </w:r>
      <w:r>
        <w:t xml:space="preserve"> вычисляют по формуле</w:t>
      </w:r>
    </w:p>
    <w:p w:rsidR="00E35632" w:rsidRDefault="00E35632">
      <w:pPr>
        <w:pStyle w:val="ConsPlusNormal"/>
        <w:jc w:val="both"/>
      </w:pPr>
    </w:p>
    <w:p w:rsidR="00E35632" w:rsidRDefault="00E35632">
      <w:pPr>
        <w:pStyle w:val="ConsPlusNormal"/>
        <w:jc w:val="center"/>
      </w:pPr>
      <w:r>
        <w:rPr>
          <w:noProof/>
          <w:position w:val="-30"/>
        </w:rPr>
        <w:drawing>
          <wp:inline distT="0" distB="0" distL="0" distR="0">
            <wp:extent cx="1099820" cy="521970"/>
            <wp:effectExtent l="0" t="0" r="0" b="0"/>
            <wp:docPr id="1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1099820" cy="521970"/>
                    </a:xfrm>
                    <a:prstGeom prst="rect">
                      <a:avLst/>
                    </a:prstGeom>
                    <a:noFill/>
                    <a:ln>
                      <a:noFill/>
                    </a:ln>
                  </pic:spPr>
                </pic:pic>
              </a:graphicData>
            </a:graphic>
          </wp:inline>
        </w:drawing>
      </w:r>
      <w:r>
        <w:t xml:space="preserve"> (5.19)</w:t>
      </w:r>
    </w:p>
    <w:p w:rsidR="00E35632" w:rsidRDefault="00E35632">
      <w:pPr>
        <w:pStyle w:val="ConsPlusNormal"/>
        <w:jc w:val="both"/>
      </w:pPr>
    </w:p>
    <w:p w:rsidR="00E35632" w:rsidRDefault="00E35632">
      <w:pPr>
        <w:pStyle w:val="ConsPlusNormal"/>
        <w:ind w:firstLine="540"/>
        <w:jc w:val="both"/>
      </w:pPr>
      <w:r>
        <w:t xml:space="preserve">где </w:t>
      </w:r>
      <w:r>
        <w:rPr>
          <w:noProof/>
          <w:position w:val="-6"/>
        </w:rPr>
        <w:drawing>
          <wp:inline distT="0" distB="0" distL="0" distR="0">
            <wp:extent cx="167640" cy="226060"/>
            <wp:effectExtent l="0" t="0" r="0" b="0"/>
            <wp:docPr id="1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167640" cy="226060"/>
                    </a:xfrm>
                    <a:prstGeom prst="rect">
                      <a:avLst/>
                    </a:prstGeom>
                    <a:noFill/>
                    <a:ln>
                      <a:noFill/>
                    </a:ln>
                  </pic:spPr>
                </pic:pic>
              </a:graphicData>
            </a:graphic>
          </wp:inline>
        </w:drawing>
      </w:r>
      <w:r>
        <w:t xml:space="preserve">, </w:t>
      </w:r>
      <w:r>
        <w:rPr>
          <w:noProof/>
          <w:position w:val="-10"/>
        </w:rPr>
        <w:drawing>
          <wp:inline distT="0" distB="0" distL="0" distR="0">
            <wp:extent cx="318135" cy="267970"/>
            <wp:effectExtent l="0" t="0" r="0" b="0"/>
            <wp:docPr id="1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318135" cy="267970"/>
                    </a:xfrm>
                    <a:prstGeom prst="rect">
                      <a:avLst/>
                    </a:prstGeom>
                    <a:noFill/>
                    <a:ln>
                      <a:noFill/>
                    </a:ln>
                  </pic:spPr>
                </pic:pic>
              </a:graphicData>
            </a:graphic>
          </wp:inline>
        </w:drawing>
      </w:r>
      <w:r>
        <w:t xml:space="preserve">, </w:t>
      </w:r>
      <w:r>
        <w:rPr>
          <w:i/>
        </w:rPr>
        <w:t>h</w:t>
      </w:r>
      <w:r>
        <w:rPr>
          <w:i/>
          <w:vertAlign w:val="subscript"/>
        </w:rPr>
        <w:t>i</w:t>
      </w:r>
      <w:r>
        <w:t xml:space="preserve">, </w:t>
      </w:r>
      <w:r>
        <w:rPr>
          <w:i/>
        </w:rPr>
        <w:t>E</w:t>
      </w:r>
      <w:r>
        <w:rPr>
          <w:i/>
          <w:vertAlign w:val="subscript"/>
        </w:rPr>
        <w:t>e,i</w:t>
      </w:r>
      <w:r>
        <w:t xml:space="preserve"> и </w:t>
      </w:r>
      <w:r>
        <w:rPr>
          <w:i/>
        </w:rPr>
        <w:t>n</w:t>
      </w:r>
      <w:r>
        <w:t xml:space="preserve"> - то же, что и в </w:t>
      </w:r>
      <w:hyperlink w:anchor="P1300">
        <w:r>
          <w:rPr>
            <w:color w:val="0000FF"/>
          </w:rPr>
          <w:t>формуле (5.16)</w:t>
        </w:r>
      </w:hyperlink>
      <w:r>
        <w:t>.</w:t>
      </w:r>
    </w:p>
    <w:p w:rsidR="00E35632" w:rsidRDefault="00E35632">
      <w:pPr>
        <w:pStyle w:val="ConsPlusNormal"/>
        <w:spacing w:before="220"/>
        <w:ind w:firstLine="540"/>
        <w:jc w:val="both"/>
      </w:pPr>
      <w:r>
        <w:t xml:space="preserve">5.6.36 Вертикальные напряжения от внешней нагрузки на глубине </w:t>
      </w:r>
      <w:r>
        <w:rPr>
          <w:i/>
        </w:rPr>
        <w:t>z</w:t>
      </w:r>
      <w:r>
        <w:t xml:space="preserve"> от подошвы фундамента </w:t>
      </w:r>
      <w:r>
        <w:rPr>
          <w:noProof/>
          <w:position w:val="-10"/>
        </w:rPr>
        <w:drawing>
          <wp:inline distT="0" distB="0" distL="0" distR="0">
            <wp:extent cx="335280" cy="267970"/>
            <wp:effectExtent l="0" t="0" r="0" b="0"/>
            <wp:docPr id="1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335280" cy="267970"/>
                    </a:xfrm>
                    <a:prstGeom prst="rect">
                      <a:avLst/>
                    </a:prstGeom>
                    <a:noFill/>
                    <a:ln>
                      <a:noFill/>
                    </a:ln>
                  </pic:spPr>
                </pic:pic>
              </a:graphicData>
            </a:graphic>
          </wp:inline>
        </w:drawing>
      </w:r>
      <w:r>
        <w:t>, кПа, по вертикали, проходящей через угловую точку прямоугольного фундамента, вычисляют по формуле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963930" cy="267970"/>
            <wp:effectExtent l="0" t="0" r="0" b="0"/>
            <wp:docPr id="1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963930" cy="267970"/>
                    </a:xfrm>
                    <a:prstGeom prst="rect">
                      <a:avLst/>
                    </a:prstGeom>
                    <a:noFill/>
                    <a:ln>
                      <a:noFill/>
                    </a:ln>
                  </pic:spPr>
                </pic:pic>
              </a:graphicData>
            </a:graphic>
          </wp:inline>
        </w:drawing>
      </w:r>
      <w:r>
        <w:t xml:space="preserve"> (5.20)</w:t>
      </w:r>
    </w:p>
    <w:p w:rsidR="00E35632" w:rsidRDefault="00E35632">
      <w:pPr>
        <w:pStyle w:val="ConsPlusNormal"/>
        <w:jc w:val="both"/>
      </w:pPr>
    </w:p>
    <w:p w:rsidR="00E35632" w:rsidRDefault="00E35632">
      <w:pPr>
        <w:pStyle w:val="ConsPlusNormal"/>
        <w:ind w:firstLine="540"/>
        <w:jc w:val="both"/>
      </w:pPr>
      <w:r>
        <w:t xml:space="preserve">где </w:t>
      </w:r>
      <w:r>
        <w:rPr>
          <w:noProof/>
          <w:position w:val="-1"/>
        </w:rPr>
        <w:drawing>
          <wp:inline distT="0" distB="0" distL="0" distR="0">
            <wp:extent cx="167640" cy="160020"/>
            <wp:effectExtent l="0" t="0" r="0" b="0"/>
            <wp:docPr id="1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67640" cy="160020"/>
                    </a:xfrm>
                    <a:prstGeom prst="rect">
                      <a:avLst/>
                    </a:prstGeom>
                    <a:noFill/>
                    <a:ln>
                      <a:noFill/>
                    </a:ln>
                  </pic:spPr>
                </pic:pic>
              </a:graphicData>
            </a:graphic>
          </wp:inline>
        </w:drawing>
      </w:r>
      <w:r>
        <w:t xml:space="preserve"> - коэффициент, принимаемый по </w:t>
      </w:r>
      <w:hyperlink w:anchor="P1369">
        <w:r>
          <w:rPr>
            <w:color w:val="0000FF"/>
          </w:rPr>
          <w:t>таблице 5.8</w:t>
        </w:r>
      </w:hyperlink>
      <w:r>
        <w:t xml:space="preserve"> в зависимости от значения </w:t>
      </w:r>
      <w:r>
        <w:rPr>
          <w:noProof/>
          <w:position w:val="-6"/>
        </w:rPr>
        <w:drawing>
          <wp:inline distT="0" distB="0" distL="0" distR="0">
            <wp:extent cx="572770" cy="226060"/>
            <wp:effectExtent l="0" t="0" r="0" b="0"/>
            <wp:docPr id="1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572770" cy="226060"/>
                    </a:xfrm>
                    <a:prstGeom prst="rect">
                      <a:avLst/>
                    </a:prstGeom>
                    <a:noFill/>
                    <a:ln>
                      <a:noFill/>
                    </a:ln>
                  </pic:spPr>
                </pic:pic>
              </a:graphicData>
            </a:graphic>
          </wp:inline>
        </w:drawing>
      </w:r>
      <w:r>
        <w:t>;</w:t>
      </w:r>
    </w:p>
    <w:p w:rsidR="00E35632" w:rsidRDefault="00E35632">
      <w:pPr>
        <w:pStyle w:val="ConsPlusNormal"/>
        <w:spacing w:before="220"/>
        <w:ind w:firstLine="540"/>
        <w:jc w:val="both"/>
      </w:pPr>
      <w:r>
        <w:rPr>
          <w:i/>
        </w:rPr>
        <w:t>p</w:t>
      </w:r>
      <w:r>
        <w:t xml:space="preserve"> - то же, что и в </w:t>
      </w:r>
      <w:hyperlink w:anchor="P1341">
        <w:r>
          <w:rPr>
            <w:color w:val="0000FF"/>
          </w:rPr>
          <w:t>формуле (5.17)</w:t>
        </w:r>
      </w:hyperlink>
      <w:r>
        <w:t>.</w:t>
      </w:r>
    </w:p>
    <w:p w:rsidR="00E35632" w:rsidRDefault="00E35632">
      <w:pPr>
        <w:pStyle w:val="ConsPlusNormal"/>
        <w:spacing w:before="220"/>
        <w:ind w:firstLine="540"/>
        <w:jc w:val="both"/>
      </w:pPr>
      <w:bookmarkStart w:id="69" w:name="P1365"/>
      <w:bookmarkEnd w:id="69"/>
      <w:r>
        <w:t xml:space="preserve">5.6.37 Вертикальные напряжения </w:t>
      </w:r>
      <w:r>
        <w:rPr>
          <w:noProof/>
          <w:position w:val="-10"/>
        </w:rPr>
        <w:drawing>
          <wp:inline distT="0" distB="0" distL="0" distR="0">
            <wp:extent cx="335280" cy="267970"/>
            <wp:effectExtent l="0" t="0" r="0" b="0"/>
            <wp:docPr id="1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335280" cy="267970"/>
                    </a:xfrm>
                    <a:prstGeom prst="rect">
                      <a:avLst/>
                    </a:prstGeom>
                    <a:noFill/>
                    <a:ln>
                      <a:noFill/>
                    </a:ln>
                  </pic:spPr>
                </pic:pic>
              </a:graphicData>
            </a:graphic>
          </wp:inline>
        </w:drawing>
      </w:r>
      <w:r>
        <w:t xml:space="preserve">, кПа, на глубине </w:t>
      </w:r>
      <w:r>
        <w:rPr>
          <w:i/>
        </w:rPr>
        <w:t>z</w:t>
      </w:r>
      <w:r>
        <w:t xml:space="preserve"> от подошвы фундамента по вертикали, проходящей через произвольную точку </w:t>
      </w:r>
      <w:r>
        <w:rPr>
          <w:i/>
        </w:rPr>
        <w:t>A</w:t>
      </w:r>
      <w:r>
        <w:t xml:space="preserve"> (в пределах или за пределами рассматриваемого фундамента с давлением по подошве, равным </w:t>
      </w:r>
      <w:r>
        <w:rPr>
          <w:i/>
        </w:rPr>
        <w:t>p)</w:t>
      </w:r>
      <w:r>
        <w:t xml:space="preserve">, вычисляют алгебраическим суммированием напряжений </w:t>
      </w:r>
      <w:r>
        <w:rPr>
          <w:noProof/>
          <w:position w:val="-10"/>
        </w:rPr>
        <w:drawing>
          <wp:inline distT="0" distB="0" distL="0" distR="0">
            <wp:extent cx="370205" cy="267970"/>
            <wp:effectExtent l="0" t="0" r="0" b="0"/>
            <wp:docPr id="1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370205" cy="267970"/>
                    </a:xfrm>
                    <a:prstGeom prst="rect">
                      <a:avLst/>
                    </a:prstGeom>
                    <a:noFill/>
                    <a:ln>
                      <a:noFill/>
                    </a:ln>
                  </pic:spPr>
                </pic:pic>
              </a:graphicData>
            </a:graphic>
          </wp:inline>
        </w:drawing>
      </w:r>
      <w:r>
        <w:t xml:space="preserve">, кПа, в угловых точках четырех фиктивных фундаментов </w:t>
      </w:r>
      <w:hyperlink w:anchor="P1673">
        <w:r>
          <w:rPr>
            <w:color w:val="0000FF"/>
          </w:rPr>
          <w:t>(рисунок 5.3)</w:t>
        </w:r>
      </w:hyperlink>
      <w:r>
        <w:t xml:space="preserve"> по формуле</w:t>
      </w:r>
    </w:p>
    <w:p w:rsidR="00E35632" w:rsidRDefault="00E35632">
      <w:pPr>
        <w:pStyle w:val="ConsPlusNormal"/>
        <w:jc w:val="both"/>
      </w:pPr>
    </w:p>
    <w:p w:rsidR="00E35632" w:rsidRDefault="00E35632">
      <w:pPr>
        <w:pStyle w:val="ConsPlusNormal"/>
        <w:jc w:val="center"/>
      </w:pPr>
      <w:bookmarkStart w:id="70" w:name="P1367"/>
      <w:bookmarkEnd w:id="70"/>
      <w:r>
        <w:rPr>
          <w:noProof/>
          <w:position w:val="-27"/>
        </w:rPr>
        <w:drawing>
          <wp:inline distT="0" distB="0" distL="0" distR="0">
            <wp:extent cx="1073150" cy="486410"/>
            <wp:effectExtent l="0" t="0" r="0" b="0"/>
            <wp:docPr id="1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1073150" cy="486410"/>
                    </a:xfrm>
                    <a:prstGeom prst="rect">
                      <a:avLst/>
                    </a:prstGeom>
                    <a:noFill/>
                    <a:ln>
                      <a:noFill/>
                    </a:ln>
                  </pic:spPr>
                </pic:pic>
              </a:graphicData>
            </a:graphic>
          </wp:inline>
        </w:drawing>
      </w:r>
      <w:r>
        <w:t xml:space="preserve"> (5.21)</w:t>
      </w:r>
    </w:p>
    <w:p w:rsidR="00E35632" w:rsidRDefault="00E35632">
      <w:pPr>
        <w:pStyle w:val="ConsPlusNormal"/>
        <w:jc w:val="both"/>
      </w:pPr>
    </w:p>
    <w:p w:rsidR="00E35632" w:rsidRDefault="00E35632">
      <w:pPr>
        <w:pStyle w:val="ConsPlusNormal"/>
        <w:jc w:val="right"/>
      </w:pPr>
      <w:bookmarkStart w:id="71" w:name="P1369"/>
      <w:bookmarkEnd w:id="71"/>
      <w:r>
        <w:t>Таблица 5.8</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780"/>
        <w:gridCol w:w="1080"/>
        <w:gridCol w:w="998"/>
        <w:gridCol w:w="922"/>
        <w:gridCol w:w="960"/>
        <w:gridCol w:w="984"/>
        <w:gridCol w:w="998"/>
        <w:gridCol w:w="1018"/>
        <w:gridCol w:w="1320"/>
      </w:tblGrid>
      <w:tr w:rsidR="00E35632">
        <w:tc>
          <w:tcPr>
            <w:tcW w:w="780" w:type="dxa"/>
            <w:vMerge w:val="restart"/>
            <w:vAlign w:val="center"/>
          </w:tcPr>
          <w:p w:rsidR="00E35632" w:rsidRDefault="00E35632">
            <w:pPr>
              <w:pStyle w:val="ConsPlusNormal"/>
              <w:jc w:val="center"/>
            </w:pPr>
            <w:r>
              <w:rPr>
                <w:noProof/>
                <w:position w:val="-6"/>
              </w:rPr>
              <w:drawing>
                <wp:inline distT="0" distB="0" distL="0" distR="0">
                  <wp:extent cx="142240" cy="226060"/>
                  <wp:effectExtent l="0" t="0" r="0" b="0"/>
                  <wp:docPr id="1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142240" cy="226060"/>
                          </a:xfrm>
                          <a:prstGeom prst="rect">
                            <a:avLst/>
                          </a:prstGeom>
                          <a:noFill/>
                          <a:ln>
                            <a:noFill/>
                          </a:ln>
                        </pic:spPr>
                      </pic:pic>
                    </a:graphicData>
                  </a:graphic>
                </wp:inline>
              </w:drawing>
            </w:r>
          </w:p>
        </w:tc>
        <w:tc>
          <w:tcPr>
            <w:tcW w:w="8280" w:type="dxa"/>
            <w:gridSpan w:val="8"/>
            <w:vAlign w:val="center"/>
          </w:tcPr>
          <w:p w:rsidR="00E35632" w:rsidRDefault="00E35632">
            <w:pPr>
              <w:pStyle w:val="ConsPlusNormal"/>
              <w:jc w:val="center"/>
            </w:pPr>
            <w:r>
              <w:t xml:space="preserve">Коэффициент </w:t>
            </w:r>
            <w:r>
              <w:rPr>
                <w:noProof/>
                <w:position w:val="-1"/>
              </w:rPr>
              <w:drawing>
                <wp:inline distT="0" distB="0" distL="0" distR="0">
                  <wp:extent cx="167640" cy="160020"/>
                  <wp:effectExtent l="0" t="0" r="0" b="0"/>
                  <wp:docPr id="1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167640" cy="160020"/>
                          </a:xfrm>
                          <a:prstGeom prst="rect">
                            <a:avLst/>
                          </a:prstGeom>
                          <a:noFill/>
                          <a:ln>
                            <a:noFill/>
                          </a:ln>
                        </pic:spPr>
                      </pic:pic>
                    </a:graphicData>
                  </a:graphic>
                </wp:inline>
              </w:drawing>
            </w:r>
            <w:r>
              <w:t xml:space="preserve"> для фундаментов</w:t>
            </w:r>
          </w:p>
        </w:tc>
      </w:tr>
      <w:tr w:rsidR="00E35632">
        <w:tc>
          <w:tcPr>
            <w:tcW w:w="780" w:type="dxa"/>
            <w:vMerge/>
          </w:tcPr>
          <w:p w:rsidR="00E35632" w:rsidRDefault="00E35632">
            <w:pPr>
              <w:pStyle w:val="ConsPlusNormal"/>
            </w:pPr>
          </w:p>
        </w:tc>
        <w:tc>
          <w:tcPr>
            <w:tcW w:w="1080" w:type="dxa"/>
            <w:vMerge w:val="restart"/>
            <w:vAlign w:val="center"/>
          </w:tcPr>
          <w:p w:rsidR="00E35632" w:rsidRDefault="00E35632">
            <w:pPr>
              <w:pStyle w:val="ConsPlusNormal"/>
              <w:jc w:val="center"/>
            </w:pPr>
            <w:r>
              <w:t>круглых</w:t>
            </w:r>
          </w:p>
        </w:tc>
        <w:tc>
          <w:tcPr>
            <w:tcW w:w="5880" w:type="dxa"/>
            <w:gridSpan w:val="6"/>
            <w:vAlign w:val="center"/>
          </w:tcPr>
          <w:p w:rsidR="00E35632" w:rsidRDefault="00E35632">
            <w:pPr>
              <w:pStyle w:val="ConsPlusNormal"/>
              <w:jc w:val="center"/>
            </w:pPr>
            <w:r>
              <w:t xml:space="preserve">прямоугольных с соотношением сторон </w:t>
            </w:r>
            <w:r>
              <w:rPr>
                <w:noProof/>
                <w:position w:val="-6"/>
              </w:rPr>
              <w:drawing>
                <wp:inline distT="0" distB="0" distL="0" distR="0">
                  <wp:extent cx="544830" cy="226060"/>
                  <wp:effectExtent l="0" t="0" r="0" b="0"/>
                  <wp:docPr id="1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544830" cy="226060"/>
                          </a:xfrm>
                          <a:prstGeom prst="rect">
                            <a:avLst/>
                          </a:prstGeom>
                          <a:noFill/>
                          <a:ln>
                            <a:noFill/>
                          </a:ln>
                        </pic:spPr>
                      </pic:pic>
                    </a:graphicData>
                  </a:graphic>
                </wp:inline>
              </w:drawing>
            </w:r>
            <w:r>
              <w:t>, равным</w:t>
            </w:r>
          </w:p>
        </w:tc>
        <w:tc>
          <w:tcPr>
            <w:tcW w:w="1320" w:type="dxa"/>
            <w:vMerge w:val="restart"/>
            <w:vAlign w:val="center"/>
          </w:tcPr>
          <w:p w:rsidR="00E35632" w:rsidRDefault="00E35632">
            <w:pPr>
              <w:pStyle w:val="ConsPlusNormal"/>
              <w:jc w:val="center"/>
            </w:pPr>
            <w:r>
              <w:t>ленточных </w:t>
            </w:r>
            <w:r>
              <w:rPr>
                <w:noProof/>
                <w:position w:val="-6"/>
              </w:rPr>
              <w:drawing>
                <wp:inline distT="0" distB="0" distL="0" distR="0">
                  <wp:extent cx="572770" cy="226060"/>
                  <wp:effectExtent l="0" t="0" r="0" b="0"/>
                  <wp:docPr id="1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572770" cy="226060"/>
                          </a:xfrm>
                          <a:prstGeom prst="rect">
                            <a:avLst/>
                          </a:prstGeom>
                          <a:noFill/>
                          <a:ln>
                            <a:noFill/>
                          </a:ln>
                        </pic:spPr>
                      </pic:pic>
                    </a:graphicData>
                  </a:graphic>
                </wp:inline>
              </w:drawing>
            </w:r>
          </w:p>
        </w:tc>
      </w:tr>
      <w:tr w:rsidR="00E35632">
        <w:tc>
          <w:tcPr>
            <w:tcW w:w="780" w:type="dxa"/>
            <w:vMerge/>
          </w:tcPr>
          <w:p w:rsidR="00E35632" w:rsidRDefault="00E35632">
            <w:pPr>
              <w:pStyle w:val="ConsPlusNormal"/>
            </w:pPr>
          </w:p>
        </w:tc>
        <w:tc>
          <w:tcPr>
            <w:tcW w:w="1080" w:type="dxa"/>
            <w:vMerge/>
          </w:tcPr>
          <w:p w:rsidR="00E35632" w:rsidRDefault="00E35632">
            <w:pPr>
              <w:pStyle w:val="ConsPlusNormal"/>
            </w:pPr>
          </w:p>
        </w:tc>
        <w:tc>
          <w:tcPr>
            <w:tcW w:w="998" w:type="dxa"/>
            <w:vAlign w:val="center"/>
          </w:tcPr>
          <w:p w:rsidR="00E35632" w:rsidRDefault="00E35632">
            <w:pPr>
              <w:pStyle w:val="ConsPlusNormal"/>
              <w:jc w:val="center"/>
            </w:pPr>
            <w:r>
              <w:t>1,0</w:t>
            </w:r>
          </w:p>
        </w:tc>
        <w:tc>
          <w:tcPr>
            <w:tcW w:w="922" w:type="dxa"/>
            <w:vAlign w:val="center"/>
          </w:tcPr>
          <w:p w:rsidR="00E35632" w:rsidRDefault="00E35632">
            <w:pPr>
              <w:pStyle w:val="ConsPlusNormal"/>
              <w:jc w:val="center"/>
            </w:pPr>
            <w:r>
              <w:t>1,4</w:t>
            </w:r>
          </w:p>
        </w:tc>
        <w:tc>
          <w:tcPr>
            <w:tcW w:w="960" w:type="dxa"/>
            <w:vAlign w:val="center"/>
          </w:tcPr>
          <w:p w:rsidR="00E35632" w:rsidRDefault="00E35632">
            <w:pPr>
              <w:pStyle w:val="ConsPlusNormal"/>
              <w:jc w:val="center"/>
            </w:pPr>
            <w:r>
              <w:t>1,8</w:t>
            </w:r>
          </w:p>
        </w:tc>
        <w:tc>
          <w:tcPr>
            <w:tcW w:w="984" w:type="dxa"/>
            <w:vAlign w:val="center"/>
          </w:tcPr>
          <w:p w:rsidR="00E35632" w:rsidRDefault="00E35632">
            <w:pPr>
              <w:pStyle w:val="ConsPlusNormal"/>
              <w:jc w:val="center"/>
            </w:pPr>
            <w:r>
              <w:t>2,4</w:t>
            </w:r>
          </w:p>
        </w:tc>
        <w:tc>
          <w:tcPr>
            <w:tcW w:w="998" w:type="dxa"/>
            <w:vAlign w:val="center"/>
          </w:tcPr>
          <w:p w:rsidR="00E35632" w:rsidRDefault="00E35632">
            <w:pPr>
              <w:pStyle w:val="ConsPlusNormal"/>
              <w:jc w:val="center"/>
            </w:pPr>
            <w:r>
              <w:t>3,2</w:t>
            </w:r>
          </w:p>
        </w:tc>
        <w:tc>
          <w:tcPr>
            <w:tcW w:w="1018" w:type="dxa"/>
            <w:vAlign w:val="center"/>
          </w:tcPr>
          <w:p w:rsidR="00E35632" w:rsidRDefault="00E35632">
            <w:pPr>
              <w:pStyle w:val="ConsPlusNormal"/>
              <w:jc w:val="center"/>
            </w:pPr>
            <w:r>
              <w:t>5</w:t>
            </w:r>
          </w:p>
        </w:tc>
        <w:tc>
          <w:tcPr>
            <w:tcW w:w="1320" w:type="dxa"/>
            <w:vMerge/>
          </w:tcPr>
          <w:p w:rsidR="00E35632" w:rsidRDefault="00E35632">
            <w:pPr>
              <w:pStyle w:val="ConsPlusNormal"/>
            </w:pPr>
          </w:p>
        </w:tc>
      </w:tr>
      <w:tr w:rsidR="00E35632">
        <w:tc>
          <w:tcPr>
            <w:tcW w:w="780" w:type="dxa"/>
          </w:tcPr>
          <w:p w:rsidR="00E35632" w:rsidRDefault="00E35632">
            <w:pPr>
              <w:pStyle w:val="ConsPlusNormal"/>
              <w:jc w:val="center"/>
            </w:pPr>
            <w:r>
              <w:t>0</w:t>
            </w:r>
          </w:p>
        </w:tc>
        <w:tc>
          <w:tcPr>
            <w:tcW w:w="1080" w:type="dxa"/>
          </w:tcPr>
          <w:p w:rsidR="00E35632" w:rsidRDefault="00E35632">
            <w:pPr>
              <w:pStyle w:val="ConsPlusNormal"/>
              <w:jc w:val="center"/>
            </w:pPr>
            <w:r>
              <w:t>1,000</w:t>
            </w:r>
          </w:p>
        </w:tc>
        <w:tc>
          <w:tcPr>
            <w:tcW w:w="998" w:type="dxa"/>
          </w:tcPr>
          <w:p w:rsidR="00E35632" w:rsidRDefault="00E35632">
            <w:pPr>
              <w:pStyle w:val="ConsPlusNormal"/>
              <w:jc w:val="center"/>
            </w:pPr>
            <w:r>
              <w:t>1,000</w:t>
            </w:r>
          </w:p>
        </w:tc>
        <w:tc>
          <w:tcPr>
            <w:tcW w:w="922" w:type="dxa"/>
          </w:tcPr>
          <w:p w:rsidR="00E35632" w:rsidRDefault="00E35632">
            <w:pPr>
              <w:pStyle w:val="ConsPlusNormal"/>
              <w:jc w:val="center"/>
            </w:pPr>
            <w:r>
              <w:t>1,000</w:t>
            </w:r>
          </w:p>
        </w:tc>
        <w:tc>
          <w:tcPr>
            <w:tcW w:w="960" w:type="dxa"/>
          </w:tcPr>
          <w:p w:rsidR="00E35632" w:rsidRDefault="00E35632">
            <w:pPr>
              <w:pStyle w:val="ConsPlusNormal"/>
              <w:jc w:val="center"/>
            </w:pPr>
            <w:r>
              <w:t>1,000</w:t>
            </w:r>
          </w:p>
        </w:tc>
        <w:tc>
          <w:tcPr>
            <w:tcW w:w="984" w:type="dxa"/>
          </w:tcPr>
          <w:p w:rsidR="00E35632" w:rsidRDefault="00E35632">
            <w:pPr>
              <w:pStyle w:val="ConsPlusNormal"/>
              <w:jc w:val="center"/>
            </w:pPr>
            <w:r>
              <w:t>1,000</w:t>
            </w:r>
          </w:p>
        </w:tc>
        <w:tc>
          <w:tcPr>
            <w:tcW w:w="998" w:type="dxa"/>
          </w:tcPr>
          <w:p w:rsidR="00E35632" w:rsidRDefault="00E35632">
            <w:pPr>
              <w:pStyle w:val="ConsPlusNormal"/>
              <w:jc w:val="center"/>
            </w:pPr>
            <w:r>
              <w:t>1,000</w:t>
            </w:r>
          </w:p>
        </w:tc>
        <w:tc>
          <w:tcPr>
            <w:tcW w:w="1018" w:type="dxa"/>
          </w:tcPr>
          <w:p w:rsidR="00E35632" w:rsidRDefault="00E35632">
            <w:pPr>
              <w:pStyle w:val="ConsPlusNormal"/>
              <w:jc w:val="center"/>
            </w:pPr>
            <w:r>
              <w:t>1,000</w:t>
            </w:r>
          </w:p>
        </w:tc>
        <w:tc>
          <w:tcPr>
            <w:tcW w:w="1320" w:type="dxa"/>
          </w:tcPr>
          <w:p w:rsidR="00E35632" w:rsidRDefault="00E35632">
            <w:pPr>
              <w:pStyle w:val="ConsPlusNormal"/>
              <w:jc w:val="center"/>
            </w:pPr>
            <w:r>
              <w:t>1,000</w:t>
            </w:r>
          </w:p>
        </w:tc>
      </w:tr>
      <w:tr w:rsidR="00E35632">
        <w:tc>
          <w:tcPr>
            <w:tcW w:w="780" w:type="dxa"/>
          </w:tcPr>
          <w:p w:rsidR="00E35632" w:rsidRDefault="00E35632">
            <w:pPr>
              <w:pStyle w:val="ConsPlusNormal"/>
              <w:jc w:val="center"/>
            </w:pPr>
            <w:r>
              <w:t>0,4</w:t>
            </w:r>
          </w:p>
        </w:tc>
        <w:tc>
          <w:tcPr>
            <w:tcW w:w="1080" w:type="dxa"/>
          </w:tcPr>
          <w:p w:rsidR="00E35632" w:rsidRDefault="00E35632">
            <w:pPr>
              <w:pStyle w:val="ConsPlusNormal"/>
              <w:jc w:val="center"/>
            </w:pPr>
            <w:r>
              <w:t>0,949</w:t>
            </w:r>
          </w:p>
        </w:tc>
        <w:tc>
          <w:tcPr>
            <w:tcW w:w="998" w:type="dxa"/>
          </w:tcPr>
          <w:p w:rsidR="00E35632" w:rsidRDefault="00E35632">
            <w:pPr>
              <w:pStyle w:val="ConsPlusNormal"/>
              <w:jc w:val="center"/>
            </w:pPr>
            <w:r>
              <w:t>0,960</w:t>
            </w:r>
          </w:p>
        </w:tc>
        <w:tc>
          <w:tcPr>
            <w:tcW w:w="922" w:type="dxa"/>
          </w:tcPr>
          <w:p w:rsidR="00E35632" w:rsidRDefault="00E35632">
            <w:pPr>
              <w:pStyle w:val="ConsPlusNormal"/>
              <w:jc w:val="center"/>
            </w:pPr>
            <w:r>
              <w:t>0,972</w:t>
            </w:r>
          </w:p>
        </w:tc>
        <w:tc>
          <w:tcPr>
            <w:tcW w:w="960" w:type="dxa"/>
          </w:tcPr>
          <w:p w:rsidR="00E35632" w:rsidRDefault="00E35632">
            <w:pPr>
              <w:pStyle w:val="ConsPlusNormal"/>
              <w:jc w:val="center"/>
            </w:pPr>
            <w:r>
              <w:t>0,975</w:t>
            </w:r>
          </w:p>
        </w:tc>
        <w:tc>
          <w:tcPr>
            <w:tcW w:w="984" w:type="dxa"/>
          </w:tcPr>
          <w:p w:rsidR="00E35632" w:rsidRDefault="00E35632">
            <w:pPr>
              <w:pStyle w:val="ConsPlusNormal"/>
              <w:jc w:val="center"/>
            </w:pPr>
            <w:r>
              <w:t>0,976</w:t>
            </w:r>
          </w:p>
        </w:tc>
        <w:tc>
          <w:tcPr>
            <w:tcW w:w="998" w:type="dxa"/>
          </w:tcPr>
          <w:p w:rsidR="00E35632" w:rsidRDefault="00E35632">
            <w:pPr>
              <w:pStyle w:val="ConsPlusNormal"/>
              <w:jc w:val="center"/>
            </w:pPr>
            <w:r>
              <w:t>0,977</w:t>
            </w:r>
          </w:p>
        </w:tc>
        <w:tc>
          <w:tcPr>
            <w:tcW w:w="1018" w:type="dxa"/>
          </w:tcPr>
          <w:p w:rsidR="00E35632" w:rsidRDefault="00E35632">
            <w:pPr>
              <w:pStyle w:val="ConsPlusNormal"/>
              <w:jc w:val="center"/>
            </w:pPr>
            <w:r>
              <w:t>0,977</w:t>
            </w:r>
          </w:p>
        </w:tc>
        <w:tc>
          <w:tcPr>
            <w:tcW w:w="1320" w:type="dxa"/>
          </w:tcPr>
          <w:p w:rsidR="00E35632" w:rsidRDefault="00E35632">
            <w:pPr>
              <w:pStyle w:val="ConsPlusNormal"/>
              <w:jc w:val="center"/>
            </w:pPr>
            <w:r>
              <w:t>0,977</w:t>
            </w:r>
          </w:p>
        </w:tc>
      </w:tr>
      <w:tr w:rsidR="00E35632">
        <w:tc>
          <w:tcPr>
            <w:tcW w:w="780" w:type="dxa"/>
          </w:tcPr>
          <w:p w:rsidR="00E35632" w:rsidRDefault="00E35632">
            <w:pPr>
              <w:pStyle w:val="ConsPlusNormal"/>
              <w:jc w:val="center"/>
            </w:pPr>
            <w:r>
              <w:t>0,8</w:t>
            </w:r>
          </w:p>
        </w:tc>
        <w:tc>
          <w:tcPr>
            <w:tcW w:w="1080" w:type="dxa"/>
          </w:tcPr>
          <w:p w:rsidR="00E35632" w:rsidRDefault="00E35632">
            <w:pPr>
              <w:pStyle w:val="ConsPlusNormal"/>
              <w:jc w:val="center"/>
            </w:pPr>
            <w:r>
              <w:t>0,756</w:t>
            </w:r>
          </w:p>
        </w:tc>
        <w:tc>
          <w:tcPr>
            <w:tcW w:w="998" w:type="dxa"/>
          </w:tcPr>
          <w:p w:rsidR="00E35632" w:rsidRDefault="00E35632">
            <w:pPr>
              <w:pStyle w:val="ConsPlusNormal"/>
              <w:jc w:val="center"/>
            </w:pPr>
            <w:r>
              <w:t>0,800</w:t>
            </w:r>
          </w:p>
        </w:tc>
        <w:tc>
          <w:tcPr>
            <w:tcW w:w="922" w:type="dxa"/>
          </w:tcPr>
          <w:p w:rsidR="00E35632" w:rsidRDefault="00E35632">
            <w:pPr>
              <w:pStyle w:val="ConsPlusNormal"/>
              <w:jc w:val="center"/>
            </w:pPr>
            <w:r>
              <w:t>0,848</w:t>
            </w:r>
          </w:p>
        </w:tc>
        <w:tc>
          <w:tcPr>
            <w:tcW w:w="960" w:type="dxa"/>
          </w:tcPr>
          <w:p w:rsidR="00E35632" w:rsidRDefault="00E35632">
            <w:pPr>
              <w:pStyle w:val="ConsPlusNormal"/>
              <w:jc w:val="center"/>
            </w:pPr>
            <w:r>
              <w:t>0,866</w:t>
            </w:r>
          </w:p>
        </w:tc>
        <w:tc>
          <w:tcPr>
            <w:tcW w:w="984" w:type="dxa"/>
          </w:tcPr>
          <w:p w:rsidR="00E35632" w:rsidRDefault="00E35632">
            <w:pPr>
              <w:pStyle w:val="ConsPlusNormal"/>
              <w:jc w:val="center"/>
            </w:pPr>
            <w:r>
              <w:t>0,876</w:t>
            </w:r>
          </w:p>
        </w:tc>
        <w:tc>
          <w:tcPr>
            <w:tcW w:w="998" w:type="dxa"/>
          </w:tcPr>
          <w:p w:rsidR="00E35632" w:rsidRDefault="00E35632">
            <w:pPr>
              <w:pStyle w:val="ConsPlusNormal"/>
              <w:jc w:val="center"/>
            </w:pPr>
            <w:r>
              <w:t>0,879</w:t>
            </w:r>
          </w:p>
        </w:tc>
        <w:tc>
          <w:tcPr>
            <w:tcW w:w="1018" w:type="dxa"/>
          </w:tcPr>
          <w:p w:rsidR="00E35632" w:rsidRDefault="00E35632">
            <w:pPr>
              <w:pStyle w:val="ConsPlusNormal"/>
              <w:jc w:val="center"/>
            </w:pPr>
            <w:r>
              <w:t>0,881</w:t>
            </w:r>
          </w:p>
        </w:tc>
        <w:tc>
          <w:tcPr>
            <w:tcW w:w="1320" w:type="dxa"/>
          </w:tcPr>
          <w:p w:rsidR="00E35632" w:rsidRDefault="00E35632">
            <w:pPr>
              <w:pStyle w:val="ConsPlusNormal"/>
              <w:jc w:val="center"/>
            </w:pPr>
            <w:r>
              <w:t>0,881</w:t>
            </w:r>
          </w:p>
        </w:tc>
      </w:tr>
      <w:tr w:rsidR="00E35632">
        <w:tc>
          <w:tcPr>
            <w:tcW w:w="780" w:type="dxa"/>
          </w:tcPr>
          <w:p w:rsidR="00E35632" w:rsidRDefault="00E35632">
            <w:pPr>
              <w:pStyle w:val="ConsPlusNormal"/>
              <w:jc w:val="center"/>
            </w:pPr>
            <w:r>
              <w:t>1,2</w:t>
            </w:r>
          </w:p>
        </w:tc>
        <w:tc>
          <w:tcPr>
            <w:tcW w:w="1080" w:type="dxa"/>
          </w:tcPr>
          <w:p w:rsidR="00E35632" w:rsidRDefault="00E35632">
            <w:pPr>
              <w:pStyle w:val="ConsPlusNormal"/>
              <w:jc w:val="center"/>
            </w:pPr>
            <w:r>
              <w:t>0,547</w:t>
            </w:r>
          </w:p>
        </w:tc>
        <w:tc>
          <w:tcPr>
            <w:tcW w:w="998" w:type="dxa"/>
          </w:tcPr>
          <w:p w:rsidR="00E35632" w:rsidRDefault="00E35632">
            <w:pPr>
              <w:pStyle w:val="ConsPlusNormal"/>
              <w:jc w:val="center"/>
            </w:pPr>
            <w:r>
              <w:t>0,606</w:t>
            </w:r>
          </w:p>
        </w:tc>
        <w:tc>
          <w:tcPr>
            <w:tcW w:w="922" w:type="dxa"/>
          </w:tcPr>
          <w:p w:rsidR="00E35632" w:rsidRDefault="00E35632">
            <w:pPr>
              <w:pStyle w:val="ConsPlusNormal"/>
              <w:jc w:val="center"/>
            </w:pPr>
            <w:r>
              <w:t>0,682</w:t>
            </w:r>
          </w:p>
        </w:tc>
        <w:tc>
          <w:tcPr>
            <w:tcW w:w="960" w:type="dxa"/>
          </w:tcPr>
          <w:p w:rsidR="00E35632" w:rsidRDefault="00E35632">
            <w:pPr>
              <w:pStyle w:val="ConsPlusNormal"/>
              <w:jc w:val="center"/>
            </w:pPr>
            <w:r>
              <w:t>0,717</w:t>
            </w:r>
          </w:p>
        </w:tc>
        <w:tc>
          <w:tcPr>
            <w:tcW w:w="984" w:type="dxa"/>
          </w:tcPr>
          <w:p w:rsidR="00E35632" w:rsidRDefault="00E35632">
            <w:pPr>
              <w:pStyle w:val="ConsPlusNormal"/>
              <w:jc w:val="center"/>
            </w:pPr>
            <w:r>
              <w:t>0,739</w:t>
            </w:r>
          </w:p>
        </w:tc>
        <w:tc>
          <w:tcPr>
            <w:tcW w:w="998" w:type="dxa"/>
          </w:tcPr>
          <w:p w:rsidR="00E35632" w:rsidRDefault="00E35632">
            <w:pPr>
              <w:pStyle w:val="ConsPlusNormal"/>
              <w:jc w:val="center"/>
            </w:pPr>
            <w:r>
              <w:t>0,749</w:t>
            </w:r>
          </w:p>
        </w:tc>
        <w:tc>
          <w:tcPr>
            <w:tcW w:w="1018" w:type="dxa"/>
          </w:tcPr>
          <w:p w:rsidR="00E35632" w:rsidRDefault="00E35632">
            <w:pPr>
              <w:pStyle w:val="ConsPlusNormal"/>
              <w:jc w:val="center"/>
            </w:pPr>
            <w:r>
              <w:t>0,754</w:t>
            </w:r>
          </w:p>
        </w:tc>
        <w:tc>
          <w:tcPr>
            <w:tcW w:w="1320" w:type="dxa"/>
          </w:tcPr>
          <w:p w:rsidR="00E35632" w:rsidRDefault="00E35632">
            <w:pPr>
              <w:pStyle w:val="ConsPlusNormal"/>
              <w:jc w:val="center"/>
            </w:pPr>
            <w:r>
              <w:t>0,755</w:t>
            </w:r>
          </w:p>
        </w:tc>
      </w:tr>
      <w:tr w:rsidR="00E35632">
        <w:tc>
          <w:tcPr>
            <w:tcW w:w="780" w:type="dxa"/>
          </w:tcPr>
          <w:p w:rsidR="00E35632" w:rsidRDefault="00E35632">
            <w:pPr>
              <w:pStyle w:val="ConsPlusNormal"/>
              <w:jc w:val="center"/>
            </w:pPr>
            <w:r>
              <w:t>1,6</w:t>
            </w:r>
          </w:p>
        </w:tc>
        <w:tc>
          <w:tcPr>
            <w:tcW w:w="1080" w:type="dxa"/>
          </w:tcPr>
          <w:p w:rsidR="00E35632" w:rsidRDefault="00E35632">
            <w:pPr>
              <w:pStyle w:val="ConsPlusNormal"/>
              <w:jc w:val="center"/>
            </w:pPr>
            <w:r>
              <w:t>0,390</w:t>
            </w:r>
          </w:p>
        </w:tc>
        <w:tc>
          <w:tcPr>
            <w:tcW w:w="998" w:type="dxa"/>
          </w:tcPr>
          <w:p w:rsidR="00E35632" w:rsidRDefault="00E35632">
            <w:pPr>
              <w:pStyle w:val="ConsPlusNormal"/>
              <w:jc w:val="center"/>
            </w:pPr>
            <w:r>
              <w:t>0,449</w:t>
            </w:r>
          </w:p>
        </w:tc>
        <w:tc>
          <w:tcPr>
            <w:tcW w:w="922" w:type="dxa"/>
          </w:tcPr>
          <w:p w:rsidR="00E35632" w:rsidRDefault="00E35632">
            <w:pPr>
              <w:pStyle w:val="ConsPlusNormal"/>
              <w:jc w:val="center"/>
            </w:pPr>
            <w:r>
              <w:t>0,532</w:t>
            </w:r>
          </w:p>
        </w:tc>
        <w:tc>
          <w:tcPr>
            <w:tcW w:w="960" w:type="dxa"/>
          </w:tcPr>
          <w:p w:rsidR="00E35632" w:rsidRDefault="00E35632">
            <w:pPr>
              <w:pStyle w:val="ConsPlusNormal"/>
              <w:jc w:val="center"/>
            </w:pPr>
            <w:r>
              <w:t>0,578</w:t>
            </w:r>
          </w:p>
        </w:tc>
        <w:tc>
          <w:tcPr>
            <w:tcW w:w="984" w:type="dxa"/>
          </w:tcPr>
          <w:p w:rsidR="00E35632" w:rsidRDefault="00E35632">
            <w:pPr>
              <w:pStyle w:val="ConsPlusNormal"/>
              <w:jc w:val="center"/>
            </w:pPr>
            <w:r>
              <w:t>0,612</w:t>
            </w:r>
          </w:p>
        </w:tc>
        <w:tc>
          <w:tcPr>
            <w:tcW w:w="998" w:type="dxa"/>
          </w:tcPr>
          <w:p w:rsidR="00E35632" w:rsidRDefault="00E35632">
            <w:pPr>
              <w:pStyle w:val="ConsPlusNormal"/>
              <w:jc w:val="center"/>
            </w:pPr>
            <w:r>
              <w:t>0,629</w:t>
            </w:r>
          </w:p>
        </w:tc>
        <w:tc>
          <w:tcPr>
            <w:tcW w:w="1018" w:type="dxa"/>
          </w:tcPr>
          <w:p w:rsidR="00E35632" w:rsidRDefault="00E35632">
            <w:pPr>
              <w:pStyle w:val="ConsPlusNormal"/>
              <w:jc w:val="center"/>
            </w:pPr>
            <w:r>
              <w:t>0,639</w:t>
            </w:r>
          </w:p>
        </w:tc>
        <w:tc>
          <w:tcPr>
            <w:tcW w:w="1320" w:type="dxa"/>
          </w:tcPr>
          <w:p w:rsidR="00E35632" w:rsidRDefault="00E35632">
            <w:pPr>
              <w:pStyle w:val="ConsPlusNormal"/>
              <w:jc w:val="center"/>
            </w:pPr>
            <w:r>
              <w:t>0,642</w:t>
            </w:r>
          </w:p>
        </w:tc>
      </w:tr>
      <w:tr w:rsidR="00E35632">
        <w:tc>
          <w:tcPr>
            <w:tcW w:w="780" w:type="dxa"/>
          </w:tcPr>
          <w:p w:rsidR="00E35632" w:rsidRDefault="00E35632">
            <w:pPr>
              <w:pStyle w:val="ConsPlusNormal"/>
              <w:jc w:val="center"/>
            </w:pPr>
            <w:r>
              <w:t>2,0</w:t>
            </w:r>
          </w:p>
        </w:tc>
        <w:tc>
          <w:tcPr>
            <w:tcW w:w="1080" w:type="dxa"/>
          </w:tcPr>
          <w:p w:rsidR="00E35632" w:rsidRDefault="00E35632">
            <w:pPr>
              <w:pStyle w:val="ConsPlusNormal"/>
              <w:jc w:val="center"/>
            </w:pPr>
            <w:r>
              <w:t>0,285</w:t>
            </w:r>
          </w:p>
        </w:tc>
        <w:tc>
          <w:tcPr>
            <w:tcW w:w="998" w:type="dxa"/>
          </w:tcPr>
          <w:p w:rsidR="00E35632" w:rsidRDefault="00E35632">
            <w:pPr>
              <w:pStyle w:val="ConsPlusNormal"/>
              <w:jc w:val="center"/>
            </w:pPr>
            <w:r>
              <w:t>0,336</w:t>
            </w:r>
          </w:p>
        </w:tc>
        <w:tc>
          <w:tcPr>
            <w:tcW w:w="922" w:type="dxa"/>
          </w:tcPr>
          <w:p w:rsidR="00E35632" w:rsidRDefault="00E35632">
            <w:pPr>
              <w:pStyle w:val="ConsPlusNormal"/>
              <w:jc w:val="center"/>
            </w:pPr>
            <w:r>
              <w:t>0,414</w:t>
            </w:r>
          </w:p>
        </w:tc>
        <w:tc>
          <w:tcPr>
            <w:tcW w:w="960" w:type="dxa"/>
          </w:tcPr>
          <w:p w:rsidR="00E35632" w:rsidRDefault="00E35632">
            <w:pPr>
              <w:pStyle w:val="ConsPlusNormal"/>
              <w:jc w:val="center"/>
            </w:pPr>
            <w:r>
              <w:t>0,463</w:t>
            </w:r>
          </w:p>
        </w:tc>
        <w:tc>
          <w:tcPr>
            <w:tcW w:w="984" w:type="dxa"/>
          </w:tcPr>
          <w:p w:rsidR="00E35632" w:rsidRDefault="00E35632">
            <w:pPr>
              <w:pStyle w:val="ConsPlusNormal"/>
              <w:jc w:val="center"/>
            </w:pPr>
            <w:r>
              <w:t>0,505</w:t>
            </w:r>
          </w:p>
        </w:tc>
        <w:tc>
          <w:tcPr>
            <w:tcW w:w="998" w:type="dxa"/>
          </w:tcPr>
          <w:p w:rsidR="00E35632" w:rsidRDefault="00E35632">
            <w:pPr>
              <w:pStyle w:val="ConsPlusNormal"/>
              <w:jc w:val="center"/>
            </w:pPr>
            <w:r>
              <w:t>0,530</w:t>
            </w:r>
          </w:p>
        </w:tc>
        <w:tc>
          <w:tcPr>
            <w:tcW w:w="1018" w:type="dxa"/>
          </w:tcPr>
          <w:p w:rsidR="00E35632" w:rsidRDefault="00E35632">
            <w:pPr>
              <w:pStyle w:val="ConsPlusNormal"/>
              <w:jc w:val="center"/>
            </w:pPr>
            <w:r>
              <w:t>0,545</w:t>
            </w:r>
          </w:p>
        </w:tc>
        <w:tc>
          <w:tcPr>
            <w:tcW w:w="1320" w:type="dxa"/>
          </w:tcPr>
          <w:p w:rsidR="00E35632" w:rsidRDefault="00E35632">
            <w:pPr>
              <w:pStyle w:val="ConsPlusNormal"/>
              <w:jc w:val="center"/>
            </w:pPr>
            <w:r>
              <w:t>0,550</w:t>
            </w:r>
          </w:p>
        </w:tc>
      </w:tr>
      <w:tr w:rsidR="00E35632">
        <w:tc>
          <w:tcPr>
            <w:tcW w:w="780" w:type="dxa"/>
          </w:tcPr>
          <w:p w:rsidR="00E35632" w:rsidRDefault="00E35632">
            <w:pPr>
              <w:pStyle w:val="ConsPlusNormal"/>
              <w:jc w:val="center"/>
            </w:pPr>
            <w:r>
              <w:t>2,4</w:t>
            </w:r>
          </w:p>
        </w:tc>
        <w:tc>
          <w:tcPr>
            <w:tcW w:w="1080" w:type="dxa"/>
          </w:tcPr>
          <w:p w:rsidR="00E35632" w:rsidRDefault="00E35632">
            <w:pPr>
              <w:pStyle w:val="ConsPlusNormal"/>
              <w:jc w:val="center"/>
            </w:pPr>
            <w:r>
              <w:t>0,214</w:t>
            </w:r>
          </w:p>
        </w:tc>
        <w:tc>
          <w:tcPr>
            <w:tcW w:w="998" w:type="dxa"/>
          </w:tcPr>
          <w:p w:rsidR="00E35632" w:rsidRDefault="00E35632">
            <w:pPr>
              <w:pStyle w:val="ConsPlusNormal"/>
              <w:jc w:val="center"/>
            </w:pPr>
            <w:r>
              <w:t>0,257</w:t>
            </w:r>
          </w:p>
        </w:tc>
        <w:tc>
          <w:tcPr>
            <w:tcW w:w="922" w:type="dxa"/>
          </w:tcPr>
          <w:p w:rsidR="00E35632" w:rsidRDefault="00E35632">
            <w:pPr>
              <w:pStyle w:val="ConsPlusNormal"/>
              <w:jc w:val="center"/>
            </w:pPr>
            <w:r>
              <w:t>0,325</w:t>
            </w:r>
          </w:p>
        </w:tc>
        <w:tc>
          <w:tcPr>
            <w:tcW w:w="960" w:type="dxa"/>
          </w:tcPr>
          <w:p w:rsidR="00E35632" w:rsidRDefault="00E35632">
            <w:pPr>
              <w:pStyle w:val="ConsPlusNormal"/>
              <w:jc w:val="center"/>
            </w:pPr>
            <w:r>
              <w:t>0,374</w:t>
            </w:r>
          </w:p>
        </w:tc>
        <w:tc>
          <w:tcPr>
            <w:tcW w:w="984" w:type="dxa"/>
          </w:tcPr>
          <w:p w:rsidR="00E35632" w:rsidRDefault="00E35632">
            <w:pPr>
              <w:pStyle w:val="ConsPlusNormal"/>
              <w:jc w:val="center"/>
            </w:pPr>
            <w:r>
              <w:t>0,419</w:t>
            </w:r>
          </w:p>
        </w:tc>
        <w:tc>
          <w:tcPr>
            <w:tcW w:w="998" w:type="dxa"/>
          </w:tcPr>
          <w:p w:rsidR="00E35632" w:rsidRDefault="00E35632">
            <w:pPr>
              <w:pStyle w:val="ConsPlusNormal"/>
              <w:jc w:val="center"/>
            </w:pPr>
            <w:r>
              <w:t>0,449</w:t>
            </w:r>
          </w:p>
        </w:tc>
        <w:tc>
          <w:tcPr>
            <w:tcW w:w="1018" w:type="dxa"/>
          </w:tcPr>
          <w:p w:rsidR="00E35632" w:rsidRDefault="00E35632">
            <w:pPr>
              <w:pStyle w:val="ConsPlusNormal"/>
              <w:jc w:val="center"/>
            </w:pPr>
            <w:r>
              <w:t>0,470</w:t>
            </w:r>
          </w:p>
        </w:tc>
        <w:tc>
          <w:tcPr>
            <w:tcW w:w="1320" w:type="dxa"/>
          </w:tcPr>
          <w:p w:rsidR="00E35632" w:rsidRDefault="00E35632">
            <w:pPr>
              <w:pStyle w:val="ConsPlusNormal"/>
              <w:jc w:val="center"/>
            </w:pPr>
            <w:r>
              <w:t>0,477</w:t>
            </w:r>
          </w:p>
        </w:tc>
      </w:tr>
      <w:tr w:rsidR="00E35632">
        <w:tc>
          <w:tcPr>
            <w:tcW w:w="780" w:type="dxa"/>
          </w:tcPr>
          <w:p w:rsidR="00E35632" w:rsidRDefault="00E35632">
            <w:pPr>
              <w:pStyle w:val="ConsPlusNormal"/>
              <w:jc w:val="center"/>
            </w:pPr>
            <w:r>
              <w:t>2,8</w:t>
            </w:r>
          </w:p>
        </w:tc>
        <w:tc>
          <w:tcPr>
            <w:tcW w:w="1080" w:type="dxa"/>
          </w:tcPr>
          <w:p w:rsidR="00E35632" w:rsidRDefault="00E35632">
            <w:pPr>
              <w:pStyle w:val="ConsPlusNormal"/>
              <w:jc w:val="center"/>
            </w:pPr>
            <w:r>
              <w:t>0,165</w:t>
            </w:r>
          </w:p>
        </w:tc>
        <w:tc>
          <w:tcPr>
            <w:tcW w:w="998" w:type="dxa"/>
          </w:tcPr>
          <w:p w:rsidR="00E35632" w:rsidRDefault="00E35632">
            <w:pPr>
              <w:pStyle w:val="ConsPlusNormal"/>
              <w:jc w:val="center"/>
            </w:pPr>
            <w:r>
              <w:t>0,201</w:t>
            </w:r>
          </w:p>
        </w:tc>
        <w:tc>
          <w:tcPr>
            <w:tcW w:w="922" w:type="dxa"/>
          </w:tcPr>
          <w:p w:rsidR="00E35632" w:rsidRDefault="00E35632">
            <w:pPr>
              <w:pStyle w:val="ConsPlusNormal"/>
              <w:jc w:val="center"/>
            </w:pPr>
            <w:r>
              <w:t>0,260</w:t>
            </w:r>
          </w:p>
        </w:tc>
        <w:tc>
          <w:tcPr>
            <w:tcW w:w="960" w:type="dxa"/>
          </w:tcPr>
          <w:p w:rsidR="00E35632" w:rsidRDefault="00E35632">
            <w:pPr>
              <w:pStyle w:val="ConsPlusNormal"/>
              <w:jc w:val="center"/>
            </w:pPr>
            <w:r>
              <w:t>0,304</w:t>
            </w:r>
          </w:p>
        </w:tc>
        <w:tc>
          <w:tcPr>
            <w:tcW w:w="984" w:type="dxa"/>
          </w:tcPr>
          <w:p w:rsidR="00E35632" w:rsidRDefault="00E35632">
            <w:pPr>
              <w:pStyle w:val="ConsPlusNormal"/>
              <w:jc w:val="center"/>
            </w:pPr>
            <w:r>
              <w:t>0,349</w:t>
            </w:r>
          </w:p>
        </w:tc>
        <w:tc>
          <w:tcPr>
            <w:tcW w:w="998" w:type="dxa"/>
          </w:tcPr>
          <w:p w:rsidR="00E35632" w:rsidRDefault="00E35632">
            <w:pPr>
              <w:pStyle w:val="ConsPlusNormal"/>
              <w:jc w:val="center"/>
            </w:pPr>
            <w:r>
              <w:t>0,383</w:t>
            </w:r>
          </w:p>
        </w:tc>
        <w:tc>
          <w:tcPr>
            <w:tcW w:w="1018" w:type="dxa"/>
          </w:tcPr>
          <w:p w:rsidR="00E35632" w:rsidRDefault="00E35632">
            <w:pPr>
              <w:pStyle w:val="ConsPlusNormal"/>
              <w:jc w:val="center"/>
            </w:pPr>
            <w:r>
              <w:t>0,410</w:t>
            </w:r>
          </w:p>
        </w:tc>
        <w:tc>
          <w:tcPr>
            <w:tcW w:w="1320" w:type="dxa"/>
          </w:tcPr>
          <w:p w:rsidR="00E35632" w:rsidRDefault="00E35632">
            <w:pPr>
              <w:pStyle w:val="ConsPlusNormal"/>
              <w:jc w:val="center"/>
            </w:pPr>
            <w:r>
              <w:t>0,420</w:t>
            </w:r>
          </w:p>
        </w:tc>
      </w:tr>
      <w:tr w:rsidR="00E35632">
        <w:tc>
          <w:tcPr>
            <w:tcW w:w="780" w:type="dxa"/>
          </w:tcPr>
          <w:p w:rsidR="00E35632" w:rsidRDefault="00E35632">
            <w:pPr>
              <w:pStyle w:val="ConsPlusNormal"/>
              <w:jc w:val="center"/>
            </w:pPr>
            <w:r>
              <w:t>3,2</w:t>
            </w:r>
          </w:p>
        </w:tc>
        <w:tc>
          <w:tcPr>
            <w:tcW w:w="1080" w:type="dxa"/>
          </w:tcPr>
          <w:p w:rsidR="00E35632" w:rsidRDefault="00E35632">
            <w:pPr>
              <w:pStyle w:val="ConsPlusNormal"/>
              <w:jc w:val="center"/>
            </w:pPr>
            <w:r>
              <w:t>0,130</w:t>
            </w:r>
          </w:p>
        </w:tc>
        <w:tc>
          <w:tcPr>
            <w:tcW w:w="998" w:type="dxa"/>
          </w:tcPr>
          <w:p w:rsidR="00E35632" w:rsidRDefault="00E35632">
            <w:pPr>
              <w:pStyle w:val="ConsPlusNormal"/>
              <w:jc w:val="center"/>
            </w:pPr>
            <w:r>
              <w:t>0,160</w:t>
            </w:r>
          </w:p>
        </w:tc>
        <w:tc>
          <w:tcPr>
            <w:tcW w:w="922" w:type="dxa"/>
          </w:tcPr>
          <w:p w:rsidR="00E35632" w:rsidRDefault="00E35632">
            <w:pPr>
              <w:pStyle w:val="ConsPlusNormal"/>
              <w:jc w:val="center"/>
            </w:pPr>
            <w:r>
              <w:t>0,210</w:t>
            </w:r>
          </w:p>
        </w:tc>
        <w:tc>
          <w:tcPr>
            <w:tcW w:w="960" w:type="dxa"/>
          </w:tcPr>
          <w:p w:rsidR="00E35632" w:rsidRDefault="00E35632">
            <w:pPr>
              <w:pStyle w:val="ConsPlusNormal"/>
              <w:jc w:val="center"/>
            </w:pPr>
            <w:r>
              <w:t>0,251</w:t>
            </w:r>
          </w:p>
        </w:tc>
        <w:tc>
          <w:tcPr>
            <w:tcW w:w="984" w:type="dxa"/>
          </w:tcPr>
          <w:p w:rsidR="00E35632" w:rsidRDefault="00E35632">
            <w:pPr>
              <w:pStyle w:val="ConsPlusNormal"/>
              <w:jc w:val="center"/>
            </w:pPr>
            <w:r>
              <w:t>0,294</w:t>
            </w:r>
          </w:p>
        </w:tc>
        <w:tc>
          <w:tcPr>
            <w:tcW w:w="998" w:type="dxa"/>
          </w:tcPr>
          <w:p w:rsidR="00E35632" w:rsidRDefault="00E35632">
            <w:pPr>
              <w:pStyle w:val="ConsPlusNormal"/>
              <w:jc w:val="center"/>
            </w:pPr>
            <w:r>
              <w:t>0,329</w:t>
            </w:r>
          </w:p>
        </w:tc>
        <w:tc>
          <w:tcPr>
            <w:tcW w:w="1018" w:type="dxa"/>
          </w:tcPr>
          <w:p w:rsidR="00E35632" w:rsidRDefault="00E35632">
            <w:pPr>
              <w:pStyle w:val="ConsPlusNormal"/>
              <w:jc w:val="center"/>
            </w:pPr>
            <w:r>
              <w:t>0,360</w:t>
            </w:r>
          </w:p>
        </w:tc>
        <w:tc>
          <w:tcPr>
            <w:tcW w:w="1320" w:type="dxa"/>
          </w:tcPr>
          <w:p w:rsidR="00E35632" w:rsidRDefault="00E35632">
            <w:pPr>
              <w:pStyle w:val="ConsPlusNormal"/>
              <w:jc w:val="center"/>
            </w:pPr>
            <w:r>
              <w:t>0,374</w:t>
            </w:r>
          </w:p>
        </w:tc>
      </w:tr>
      <w:tr w:rsidR="00E35632">
        <w:tc>
          <w:tcPr>
            <w:tcW w:w="780" w:type="dxa"/>
          </w:tcPr>
          <w:p w:rsidR="00E35632" w:rsidRDefault="00E35632">
            <w:pPr>
              <w:pStyle w:val="ConsPlusNormal"/>
              <w:jc w:val="center"/>
            </w:pPr>
            <w:r>
              <w:t>3,6</w:t>
            </w:r>
          </w:p>
        </w:tc>
        <w:tc>
          <w:tcPr>
            <w:tcW w:w="1080" w:type="dxa"/>
          </w:tcPr>
          <w:p w:rsidR="00E35632" w:rsidRDefault="00E35632">
            <w:pPr>
              <w:pStyle w:val="ConsPlusNormal"/>
              <w:jc w:val="center"/>
            </w:pPr>
            <w:r>
              <w:t>0,106</w:t>
            </w:r>
          </w:p>
        </w:tc>
        <w:tc>
          <w:tcPr>
            <w:tcW w:w="998" w:type="dxa"/>
          </w:tcPr>
          <w:p w:rsidR="00E35632" w:rsidRDefault="00E35632">
            <w:pPr>
              <w:pStyle w:val="ConsPlusNormal"/>
              <w:jc w:val="center"/>
            </w:pPr>
            <w:r>
              <w:t>0,131</w:t>
            </w:r>
          </w:p>
        </w:tc>
        <w:tc>
          <w:tcPr>
            <w:tcW w:w="922" w:type="dxa"/>
          </w:tcPr>
          <w:p w:rsidR="00E35632" w:rsidRDefault="00E35632">
            <w:pPr>
              <w:pStyle w:val="ConsPlusNormal"/>
              <w:jc w:val="center"/>
            </w:pPr>
            <w:r>
              <w:t>0,173</w:t>
            </w:r>
          </w:p>
        </w:tc>
        <w:tc>
          <w:tcPr>
            <w:tcW w:w="960" w:type="dxa"/>
          </w:tcPr>
          <w:p w:rsidR="00E35632" w:rsidRDefault="00E35632">
            <w:pPr>
              <w:pStyle w:val="ConsPlusNormal"/>
              <w:jc w:val="center"/>
            </w:pPr>
            <w:r>
              <w:t>0,209</w:t>
            </w:r>
          </w:p>
        </w:tc>
        <w:tc>
          <w:tcPr>
            <w:tcW w:w="984" w:type="dxa"/>
          </w:tcPr>
          <w:p w:rsidR="00E35632" w:rsidRDefault="00E35632">
            <w:pPr>
              <w:pStyle w:val="ConsPlusNormal"/>
              <w:jc w:val="center"/>
            </w:pPr>
            <w:r>
              <w:t>0,250</w:t>
            </w:r>
          </w:p>
        </w:tc>
        <w:tc>
          <w:tcPr>
            <w:tcW w:w="998" w:type="dxa"/>
          </w:tcPr>
          <w:p w:rsidR="00E35632" w:rsidRDefault="00E35632">
            <w:pPr>
              <w:pStyle w:val="ConsPlusNormal"/>
              <w:jc w:val="center"/>
            </w:pPr>
            <w:r>
              <w:t>0,285</w:t>
            </w:r>
          </w:p>
        </w:tc>
        <w:tc>
          <w:tcPr>
            <w:tcW w:w="1018" w:type="dxa"/>
          </w:tcPr>
          <w:p w:rsidR="00E35632" w:rsidRDefault="00E35632">
            <w:pPr>
              <w:pStyle w:val="ConsPlusNormal"/>
              <w:jc w:val="center"/>
            </w:pPr>
            <w:r>
              <w:t>0,319</w:t>
            </w:r>
          </w:p>
        </w:tc>
        <w:tc>
          <w:tcPr>
            <w:tcW w:w="1320" w:type="dxa"/>
          </w:tcPr>
          <w:p w:rsidR="00E35632" w:rsidRDefault="00E35632">
            <w:pPr>
              <w:pStyle w:val="ConsPlusNormal"/>
              <w:jc w:val="center"/>
            </w:pPr>
            <w:r>
              <w:t>0,337</w:t>
            </w:r>
          </w:p>
        </w:tc>
      </w:tr>
      <w:tr w:rsidR="00E35632">
        <w:tc>
          <w:tcPr>
            <w:tcW w:w="780" w:type="dxa"/>
          </w:tcPr>
          <w:p w:rsidR="00E35632" w:rsidRDefault="00E35632">
            <w:pPr>
              <w:pStyle w:val="ConsPlusNormal"/>
              <w:jc w:val="center"/>
            </w:pPr>
            <w:r>
              <w:t>4,0</w:t>
            </w:r>
          </w:p>
        </w:tc>
        <w:tc>
          <w:tcPr>
            <w:tcW w:w="1080" w:type="dxa"/>
          </w:tcPr>
          <w:p w:rsidR="00E35632" w:rsidRDefault="00E35632">
            <w:pPr>
              <w:pStyle w:val="ConsPlusNormal"/>
              <w:jc w:val="center"/>
            </w:pPr>
            <w:r>
              <w:t>0,087</w:t>
            </w:r>
          </w:p>
        </w:tc>
        <w:tc>
          <w:tcPr>
            <w:tcW w:w="998" w:type="dxa"/>
          </w:tcPr>
          <w:p w:rsidR="00E35632" w:rsidRDefault="00E35632">
            <w:pPr>
              <w:pStyle w:val="ConsPlusNormal"/>
              <w:jc w:val="center"/>
            </w:pPr>
            <w:r>
              <w:t>0,108</w:t>
            </w:r>
          </w:p>
        </w:tc>
        <w:tc>
          <w:tcPr>
            <w:tcW w:w="922" w:type="dxa"/>
          </w:tcPr>
          <w:p w:rsidR="00E35632" w:rsidRDefault="00E35632">
            <w:pPr>
              <w:pStyle w:val="ConsPlusNormal"/>
              <w:jc w:val="center"/>
            </w:pPr>
            <w:r>
              <w:t>0,145</w:t>
            </w:r>
          </w:p>
        </w:tc>
        <w:tc>
          <w:tcPr>
            <w:tcW w:w="960" w:type="dxa"/>
          </w:tcPr>
          <w:p w:rsidR="00E35632" w:rsidRDefault="00E35632">
            <w:pPr>
              <w:pStyle w:val="ConsPlusNormal"/>
              <w:jc w:val="center"/>
            </w:pPr>
            <w:r>
              <w:t>0,176</w:t>
            </w:r>
          </w:p>
        </w:tc>
        <w:tc>
          <w:tcPr>
            <w:tcW w:w="984" w:type="dxa"/>
          </w:tcPr>
          <w:p w:rsidR="00E35632" w:rsidRDefault="00E35632">
            <w:pPr>
              <w:pStyle w:val="ConsPlusNormal"/>
              <w:jc w:val="center"/>
            </w:pPr>
            <w:r>
              <w:t>0,214</w:t>
            </w:r>
          </w:p>
        </w:tc>
        <w:tc>
          <w:tcPr>
            <w:tcW w:w="998" w:type="dxa"/>
          </w:tcPr>
          <w:p w:rsidR="00E35632" w:rsidRDefault="00E35632">
            <w:pPr>
              <w:pStyle w:val="ConsPlusNormal"/>
              <w:jc w:val="center"/>
            </w:pPr>
            <w:r>
              <w:t>0,248</w:t>
            </w:r>
          </w:p>
        </w:tc>
        <w:tc>
          <w:tcPr>
            <w:tcW w:w="1018" w:type="dxa"/>
          </w:tcPr>
          <w:p w:rsidR="00E35632" w:rsidRDefault="00E35632">
            <w:pPr>
              <w:pStyle w:val="ConsPlusNormal"/>
              <w:jc w:val="center"/>
            </w:pPr>
            <w:r>
              <w:t>0,285</w:t>
            </w:r>
          </w:p>
        </w:tc>
        <w:tc>
          <w:tcPr>
            <w:tcW w:w="1320" w:type="dxa"/>
          </w:tcPr>
          <w:p w:rsidR="00E35632" w:rsidRDefault="00E35632">
            <w:pPr>
              <w:pStyle w:val="ConsPlusNormal"/>
              <w:jc w:val="center"/>
            </w:pPr>
            <w:r>
              <w:t>0,306</w:t>
            </w:r>
          </w:p>
        </w:tc>
      </w:tr>
      <w:tr w:rsidR="00E35632">
        <w:tc>
          <w:tcPr>
            <w:tcW w:w="780" w:type="dxa"/>
          </w:tcPr>
          <w:p w:rsidR="00E35632" w:rsidRDefault="00E35632">
            <w:pPr>
              <w:pStyle w:val="ConsPlusNormal"/>
              <w:jc w:val="center"/>
            </w:pPr>
            <w:r>
              <w:t>4,4</w:t>
            </w:r>
          </w:p>
        </w:tc>
        <w:tc>
          <w:tcPr>
            <w:tcW w:w="1080" w:type="dxa"/>
          </w:tcPr>
          <w:p w:rsidR="00E35632" w:rsidRDefault="00E35632">
            <w:pPr>
              <w:pStyle w:val="ConsPlusNormal"/>
              <w:jc w:val="center"/>
            </w:pPr>
            <w:r>
              <w:t>0,073</w:t>
            </w:r>
          </w:p>
        </w:tc>
        <w:tc>
          <w:tcPr>
            <w:tcW w:w="998" w:type="dxa"/>
          </w:tcPr>
          <w:p w:rsidR="00E35632" w:rsidRDefault="00E35632">
            <w:pPr>
              <w:pStyle w:val="ConsPlusNormal"/>
              <w:jc w:val="center"/>
            </w:pPr>
            <w:r>
              <w:t>0,091</w:t>
            </w:r>
          </w:p>
        </w:tc>
        <w:tc>
          <w:tcPr>
            <w:tcW w:w="922" w:type="dxa"/>
          </w:tcPr>
          <w:p w:rsidR="00E35632" w:rsidRDefault="00E35632">
            <w:pPr>
              <w:pStyle w:val="ConsPlusNormal"/>
              <w:jc w:val="center"/>
            </w:pPr>
            <w:r>
              <w:t>0,123</w:t>
            </w:r>
          </w:p>
        </w:tc>
        <w:tc>
          <w:tcPr>
            <w:tcW w:w="960" w:type="dxa"/>
          </w:tcPr>
          <w:p w:rsidR="00E35632" w:rsidRDefault="00E35632">
            <w:pPr>
              <w:pStyle w:val="ConsPlusNormal"/>
              <w:jc w:val="center"/>
            </w:pPr>
            <w:r>
              <w:t>0,150</w:t>
            </w:r>
          </w:p>
        </w:tc>
        <w:tc>
          <w:tcPr>
            <w:tcW w:w="984" w:type="dxa"/>
          </w:tcPr>
          <w:p w:rsidR="00E35632" w:rsidRDefault="00E35632">
            <w:pPr>
              <w:pStyle w:val="ConsPlusNormal"/>
              <w:jc w:val="center"/>
            </w:pPr>
            <w:r>
              <w:t>0,185</w:t>
            </w:r>
          </w:p>
        </w:tc>
        <w:tc>
          <w:tcPr>
            <w:tcW w:w="998" w:type="dxa"/>
          </w:tcPr>
          <w:p w:rsidR="00E35632" w:rsidRDefault="00E35632">
            <w:pPr>
              <w:pStyle w:val="ConsPlusNormal"/>
              <w:jc w:val="center"/>
            </w:pPr>
            <w:r>
              <w:t>0,218</w:t>
            </w:r>
          </w:p>
        </w:tc>
        <w:tc>
          <w:tcPr>
            <w:tcW w:w="1018" w:type="dxa"/>
          </w:tcPr>
          <w:p w:rsidR="00E35632" w:rsidRDefault="00E35632">
            <w:pPr>
              <w:pStyle w:val="ConsPlusNormal"/>
              <w:jc w:val="center"/>
            </w:pPr>
            <w:r>
              <w:t>0,255</w:t>
            </w:r>
          </w:p>
        </w:tc>
        <w:tc>
          <w:tcPr>
            <w:tcW w:w="1320" w:type="dxa"/>
          </w:tcPr>
          <w:p w:rsidR="00E35632" w:rsidRDefault="00E35632">
            <w:pPr>
              <w:pStyle w:val="ConsPlusNormal"/>
              <w:jc w:val="center"/>
            </w:pPr>
            <w:r>
              <w:t>0,280</w:t>
            </w:r>
          </w:p>
        </w:tc>
      </w:tr>
      <w:tr w:rsidR="00E35632">
        <w:tc>
          <w:tcPr>
            <w:tcW w:w="780" w:type="dxa"/>
          </w:tcPr>
          <w:p w:rsidR="00E35632" w:rsidRDefault="00E35632">
            <w:pPr>
              <w:pStyle w:val="ConsPlusNormal"/>
              <w:jc w:val="center"/>
            </w:pPr>
            <w:r>
              <w:t>4,8</w:t>
            </w:r>
          </w:p>
        </w:tc>
        <w:tc>
          <w:tcPr>
            <w:tcW w:w="1080" w:type="dxa"/>
          </w:tcPr>
          <w:p w:rsidR="00E35632" w:rsidRDefault="00E35632">
            <w:pPr>
              <w:pStyle w:val="ConsPlusNormal"/>
              <w:jc w:val="center"/>
            </w:pPr>
            <w:r>
              <w:t>0,062</w:t>
            </w:r>
          </w:p>
        </w:tc>
        <w:tc>
          <w:tcPr>
            <w:tcW w:w="998" w:type="dxa"/>
          </w:tcPr>
          <w:p w:rsidR="00E35632" w:rsidRDefault="00E35632">
            <w:pPr>
              <w:pStyle w:val="ConsPlusNormal"/>
              <w:jc w:val="center"/>
            </w:pPr>
            <w:r>
              <w:t>0,077</w:t>
            </w:r>
          </w:p>
        </w:tc>
        <w:tc>
          <w:tcPr>
            <w:tcW w:w="922" w:type="dxa"/>
          </w:tcPr>
          <w:p w:rsidR="00E35632" w:rsidRDefault="00E35632">
            <w:pPr>
              <w:pStyle w:val="ConsPlusNormal"/>
              <w:jc w:val="center"/>
            </w:pPr>
            <w:r>
              <w:t>0,105</w:t>
            </w:r>
          </w:p>
        </w:tc>
        <w:tc>
          <w:tcPr>
            <w:tcW w:w="960" w:type="dxa"/>
          </w:tcPr>
          <w:p w:rsidR="00E35632" w:rsidRDefault="00E35632">
            <w:pPr>
              <w:pStyle w:val="ConsPlusNormal"/>
              <w:jc w:val="center"/>
            </w:pPr>
            <w:r>
              <w:t>0,130</w:t>
            </w:r>
          </w:p>
        </w:tc>
        <w:tc>
          <w:tcPr>
            <w:tcW w:w="984" w:type="dxa"/>
          </w:tcPr>
          <w:p w:rsidR="00E35632" w:rsidRDefault="00E35632">
            <w:pPr>
              <w:pStyle w:val="ConsPlusNormal"/>
              <w:jc w:val="center"/>
            </w:pPr>
            <w:r>
              <w:t>0,161</w:t>
            </w:r>
          </w:p>
        </w:tc>
        <w:tc>
          <w:tcPr>
            <w:tcW w:w="998" w:type="dxa"/>
          </w:tcPr>
          <w:p w:rsidR="00E35632" w:rsidRDefault="00E35632">
            <w:pPr>
              <w:pStyle w:val="ConsPlusNormal"/>
              <w:jc w:val="center"/>
            </w:pPr>
            <w:r>
              <w:t>0,192</w:t>
            </w:r>
          </w:p>
        </w:tc>
        <w:tc>
          <w:tcPr>
            <w:tcW w:w="1018" w:type="dxa"/>
          </w:tcPr>
          <w:p w:rsidR="00E35632" w:rsidRDefault="00E35632">
            <w:pPr>
              <w:pStyle w:val="ConsPlusNormal"/>
              <w:jc w:val="center"/>
            </w:pPr>
            <w:r>
              <w:t>0,230</w:t>
            </w:r>
          </w:p>
        </w:tc>
        <w:tc>
          <w:tcPr>
            <w:tcW w:w="1320" w:type="dxa"/>
          </w:tcPr>
          <w:p w:rsidR="00E35632" w:rsidRDefault="00E35632">
            <w:pPr>
              <w:pStyle w:val="ConsPlusNormal"/>
              <w:jc w:val="center"/>
            </w:pPr>
            <w:r>
              <w:t>0,258</w:t>
            </w:r>
          </w:p>
        </w:tc>
      </w:tr>
      <w:tr w:rsidR="00E35632">
        <w:tc>
          <w:tcPr>
            <w:tcW w:w="780" w:type="dxa"/>
          </w:tcPr>
          <w:p w:rsidR="00E35632" w:rsidRDefault="00E35632">
            <w:pPr>
              <w:pStyle w:val="ConsPlusNormal"/>
              <w:jc w:val="center"/>
            </w:pPr>
            <w:r>
              <w:t>5,2</w:t>
            </w:r>
          </w:p>
        </w:tc>
        <w:tc>
          <w:tcPr>
            <w:tcW w:w="1080" w:type="dxa"/>
          </w:tcPr>
          <w:p w:rsidR="00E35632" w:rsidRDefault="00E35632">
            <w:pPr>
              <w:pStyle w:val="ConsPlusNormal"/>
              <w:jc w:val="center"/>
            </w:pPr>
            <w:r>
              <w:t>0,053</w:t>
            </w:r>
          </w:p>
        </w:tc>
        <w:tc>
          <w:tcPr>
            <w:tcW w:w="998" w:type="dxa"/>
          </w:tcPr>
          <w:p w:rsidR="00E35632" w:rsidRDefault="00E35632">
            <w:pPr>
              <w:pStyle w:val="ConsPlusNormal"/>
              <w:jc w:val="center"/>
            </w:pPr>
            <w:r>
              <w:t>0,067</w:t>
            </w:r>
          </w:p>
        </w:tc>
        <w:tc>
          <w:tcPr>
            <w:tcW w:w="922" w:type="dxa"/>
          </w:tcPr>
          <w:p w:rsidR="00E35632" w:rsidRDefault="00E35632">
            <w:pPr>
              <w:pStyle w:val="ConsPlusNormal"/>
              <w:jc w:val="center"/>
            </w:pPr>
            <w:r>
              <w:t>0,091</w:t>
            </w:r>
          </w:p>
        </w:tc>
        <w:tc>
          <w:tcPr>
            <w:tcW w:w="960" w:type="dxa"/>
          </w:tcPr>
          <w:p w:rsidR="00E35632" w:rsidRDefault="00E35632">
            <w:pPr>
              <w:pStyle w:val="ConsPlusNormal"/>
              <w:jc w:val="center"/>
            </w:pPr>
            <w:r>
              <w:t>0,113</w:t>
            </w:r>
          </w:p>
        </w:tc>
        <w:tc>
          <w:tcPr>
            <w:tcW w:w="984" w:type="dxa"/>
          </w:tcPr>
          <w:p w:rsidR="00E35632" w:rsidRDefault="00E35632">
            <w:pPr>
              <w:pStyle w:val="ConsPlusNormal"/>
              <w:jc w:val="center"/>
            </w:pPr>
            <w:r>
              <w:t>0,141</w:t>
            </w:r>
          </w:p>
        </w:tc>
        <w:tc>
          <w:tcPr>
            <w:tcW w:w="998" w:type="dxa"/>
          </w:tcPr>
          <w:p w:rsidR="00E35632" w:rsidRDefault="00E35632">
            <w:pPr>
              <w:pStyle w:val="ConsPlusNormal"/>
              <w:jc w:val="center"/>
            </w:pPr>
            <w:r>
              <w:t>0,170</w:t>
            </w:r>
          </w:p>
        </w:tc>
        <w:tc>
          <w:tcPr>
            <w:tcW w:w="1018" w:type="dxa"/>
          </w:tcPr>
          <w:p w:rsidR="00E35632" w:rsidRDefault="00E35632">
            <w:pPr>
              <w:pStyle w:val="ConsPlusNormal"/>
              <w:jc w:val="center"/>
            </w:pPr>
            <w:r>
              <w:t>0,208</w:t>
            </w:r>
          </w:p>
        </w:tc>
        <w:tc>
          <w:tcPr>
            <w:tcW w:w="1320" w:type="dxa"/>
          </w:tcPr>
          <w:p w:rsidR="00E35632" w:rsidRDefault="00E35632">
            <w:pPr>
              <w:pStyle w:val="ConsPlusNormal"/>
              <w:jc w:val="center"/>
            </w:pPr>
            <w:r>
              <w:t>0,239</w:t>
            </w:r>
          </w:p>
        </w:tc>
      </w:tr>
      <w:tr w:rsidR="00E35632">
        <w:tc>
          <w:tcPr>
            <w:tcW w:w="780" w:type="dxa"/>
          </w:tcPr>
          <w:p w:rsidR="00E35632" w:rsidRDefault="00E35632">
            <w:pPr>
              <w:pStyle w:val="ConsPlusNormal"/>
              <w:jc w:val="center"/>
            </w:pPr>
            <w:r>
              <w:t>5,6</w:t>
            </w:r>
          </w:p>
        </w:tc>
        <w:tc>
          <w:tcPr>
            <w:tcW w:w="1080" w:type="dxa"/>
          </w:tcPr>
          <w:p w:rsidR="00E35632" w:rsidRDefault="00E35632">
            <w:pPr>
              <w:pStyle w:val="ConsPlusNormal"/>
              <w:jc w:val="center"/>
            </w:pPr>
            <w:r>
              <w:t>0,046</w:t>
            </w:r>
          </w:p>
        </w:tc>
        <w:tc>
          <w:tcPr>
            <w:tcW w:w="998" w:type="dxa"/>
          </w:tcPr>
          <w:p w:rsidR="00E35632" w:rsidRDefault="00E35632">
            <w:pPr>
              <w:pStyle w:val="ConsPlusNormal"/>
              <w:jc w:val="center"/>
            </w:pPr>
            <w:r>
              <w:t>0,058</w:t>
            </w:r>
          </w:p>
        </w:tc>
        <w:tc>
          <w:tcPr>
            <w:tcW w:w="922" w:type="dxa"/>
          </w:tcPr>
          <w:p w:rsidR="00E35632" w:rsidRDefault="00E35632">
            <w:pPr>
              <w:pStyle w:val="ConsPlusNormal"/>
              <w:jc w:val="center"/>
            </w:pPr>
            <w:r>
              <w:t>0,079</w:t>
            </w:r>
          </w:p>
        </w:tc>
        <w:tc>
          <w:tcPr>
            <w:tcW w:w="960" w:type="dxa"/>
          </w:tcPr>
          <w:p w:rsidR="00E35632" w:rsidRDefault="00E35632">
            <w:pPr>
              <w:pStyle w:val="ConsPlusNormal"/>
              <w:jc w:val="center"/>
            </w:pPr>
            <w:r>
              <w:t>0,099</w:t>
            </w:r>
          </w:p>
        </w:tc>
        <w:tc>
          <w:tcPr>
            <w:tcW w:w="984" w:type="dxa"/>
          </w:tcPr>
          <w:p w:rsidR="00E35632" w:rsidRDefault="00E35632">
            <w:pPr>
              <w:pStyle w:val="ConsPlusNormal"/>
              <w:jc w:val="center"/>
            </w:pPr>
            <w:r>
              <w:t>0,124</w:t>
            </w:r>
          </w:p>
        </w:tc>
        <w:tc>
          <w:tcPr>
            <w:tcW w:w="998" w:type="dxa"/>
          </w:tcPr>
          <w:p w:rsidR="00E35632" w:rsidRDefault="00E35632">
            <w:pPr>
              <w:pStyle w:val="ConsPlusNormal"/>
              <w:jc w:val="center"/>
            </w:pPr>
            <w:r>
              <w:t>0,152</w:t>
            </w:r>
          </w:p>
        </w:tc>
        <w:tc>
          <w:tcPr>
            <w:tcW w:w="1018" w:type="dxa"/>
          </w:tcPr>
          <w:p w:rsidR="00E35632" w:rsidRDefault="00E35632">
            <w:pPr>
              <w:pStyle w:val="ConsPlusNormal"/>
              <w:jc w:val="center"/>
            </w:pPr>
            <w:r>
              <w:t>0,189</w:t>
            </w:r>
          </w:p>
        </w:tc>
        <w:tc>
          <w:tcPr>
            <w:tcW w:w="1320" w:type="dxa"/>
          </w:tcPr>
          <w:p w:rsidR="00E35632" w:rsidRDefault="00E35632">
            <w:pPr>
              <w:pStyle w:val="ConsPlusNormal"/>
              <w:jc w:val="center"/>
            </w:pPr>
            <w:r>
              <w:t>0,223</w:t>
            </w:r>
          </w:p>
        </w:tc>
      </w:tr>
      <w:tr w:rsidR="00E35632">
        <w:tc>
          <w:tcPr>
            <w:tcW w:w="780" w:type="dxa"/>
          </w:tcPr>
          <w:p w:rsidR="00E35632" w:rsidRDefault="00E35632">
            <w:pPr>
              <w:pStyle w:val="ConsPlusNormal"/>
              <w:jc w:val="center"/>
            </w:pPr>
            <w:r>
              <w:t>6,0</w:t>
            </w:r>
          </w:p>
        </w:tc>
        <w:tc>
          <w:tcPr>
            <w:tcW w:w="1080" w:type="dxa"/>
          </w:tcPr>
          <w:p w:rsidR="00E35632" w:rsidRDefault="00E35632">
            <w:pPr>
              <w:pStyle w:val="ConsPlusNormal"/>
              <w:jc w:val="center"/>
            </w:pPr>
            <w:r>
              <w:t>0,040</w:t>
            </w:r>
          </w:p>
        </w:tc>
        <w:tc>
          <w:tcPr>
            <w:tcW w:w="998" w:type="dxa"/>
          </w:tcPr>
          <w:p w:rsidR="00E35632" w:rsidRDefault="00E35632">
            <w:pPr>
              <w:pStyle w:val="ConsPlusNormal"/>
              <w:jc w:val="center"/>
            </w:pPr>
            <w:r>
              <w:t>0,051</w:t>
            </w:r>
          </w:p>
        </w:tc>
        <w:tc>
          <w:tcPr>
            <w:tcW w:w="922" w:type="dxa"/>
          </w:tcPr>
          <w:p w:rsidR="00E35632" w:rsidRDefault="00E35632">
            <w:pPr>
              <w:pStyle w:val="ConsPlusNormal"/>
              <w:jc w:val="center"/>
            </w:pPr>
            <w:r>
              <w:t>0,070</w:t>
            </w:r>
          </w:p>
        </w:tc>
        <w:tc>
          <w:tcPr>
            <w:tcW w:w="960" w:type="dxa"/>
          </w:tcPr>
          <w:p w:rsidR="00E35632" w:rsidRDefault="00E35632">
            <w:pPr>
              <w:pStyle w:val="ConsPlusNormal"/>
              <w:jc w:val="center"/>
            </w:pPr>
            <w:r>
              <w:t>0,087</w:t>
            </w:r>
          </w:p>
        </w:tc>
        <w:tc>
          <w:tcPr>
            <w:tcW w:w="984" w:type="dxa"/>
          </w:tcPr>
          <w:p w:rsidR="00E35632" w:rsidRDefault="00E35632">
            <w:pPr>
              <w:pStyle w:val="ConsPlusNormal"/>
              <w:jc w:val="center"/>
            </w:pPr>
            <w:r>
              <w:t>0,110</w:t>
            </w:r>
          </w:p>
        </w:tc>
        <w:tc>
          <w:tcPr>
            <w:tcW w:w="998" w:type="dxa"/>
          </w:tcPr>
          <w:p w:rsidR="00E35632" w:rsidRDefault="00E35632">
            <w:pPr>
              <w:pStyle w:val="ConsPlusNormal"/>
              <w:jc w:val="center"/>
            </w:pPr>
            <w:r>
              <w:t>0,136</w:t>
            </w:r>
          </w:p>
        </w:tc>
        <w:tc>
          <w:tcPr>
            <w:tcW w:w="1018" w:type="dxa"/>
          </w:tcPr>
          <w:p w:rsidR="00E35632" w:rsidRDefault="00E35632">
            <w:pPr>
              <w:pStyle w:val="ConsPlusNormal"/>
              <w:jc w:val="center"/>
            </w:pPr>
            <w:r>
              <w:t>0,173</w:t>
            </w:r>
          </w:p>
        </w:tc>
        <w:tc>
          <w:tcPr>
            <w:tcW w:w="1320" w:type="dxa"/>
          </w:tcPr>
          <w:p w:rsidR="00E35632" w:rsidRDefault="00E35632">
            <w:pPr>
              <w:pStyle w:val="ConsPlusNormal"/>
              <w:jc w:val="center"/>
            </w:pPr>
            <w:r>
              <w:t>0,208</w:t>
            </w:r>
          </w:p>
        </w:tc>
      </w:tr>
      <w:tr w:rsidR="00E35632">
        <w:tc>
          <w:tcPr>
            <w:tcW w:w="780" w:type="dxa"/>
          </w:tcPr>
          <w:p w:rsidR="00E35632" w:rsidRDefault="00E35632">
            <w:pPr>
              <w:pStyle w:val="ConsPlusNormal"/>
              <w:jc w:val="center"/>
            </w:pPr>
            <w:r>
              <w:t>6,4</w:t>
            </w:r>
          </w:p>
        </w:tc>
        <w:tc>
          <w:tcPr>
            <w:tcW w:w="1080" w:type="dxa"/>
          </w:tcPr>
          <w:p w:rsidR="00E35632" w:rsidRDefault="00E35632">
            <w:pPr>
              <w:pStyle w:val="ConsPlusNormal"/>
              <w:jc w:val="center"/>
            </w:pPr>
            <w:r>
              <w:t>0,036</w:t>
            </w:r>
          </w:p>
        </w:tc>
        <w:tc>
          <w:tcPr>
            <w:tcW w:w="998" w:type="dxa"/>
          </w:tcPr>
          <w:p w:rsidR="00E35632" w:rsidRDefault="00E35632">
            <w:pPr>
              <w:pStyle w:val="ConsPlusNormal"/>
              <w:jc w:val="center"/>
            </w:pPr>
            <w:r>
              <w:t>0,045</w:t>
            </w:r>
          </w:p>
        </w:tc>
        <w:tc>
          <w:tcPr>
            <w:tcW w:w="922" w:type="dxa"/>
          </w:tcPr>
          <w:p w:rsidR="00E35632" w:rsidRDefault="00E35632">
            <w:pPr>
              <w:pStyle w:val="ConsPlusNormal"/>
              <w:jc w:val="center"/>
            </w:pPr>
            <w:r>
              <w:t>0,062</w:t>
            </w:r>
          </w:p>
        </w:tc>
        <w:tc>
          <w:tcPr>
            <w:tcW w:w="960" w:type="dxa"/>
          </w:tcPr>
          <w:p w:rsidR="00E35632" w:rsidRDefault="00E35632">
            <w:pPr>
              <w:pStyle w:val="ConsPlusNormal"/>
              <w:jc w:val="center"/>
            </w:pPr>
            <w:r>
              <w:t>0,077</w:t>
            </w:r>
          </w:p>
        </w:tc>
        <w:tc>
          <w:tcPr>
            <w:tcW w:w="984" w:type="dxa"/>
          </w:tcPr>
          <w:p w:rsidR="00E35632" w:rsidRDefault="00E35632">
            <w:pPr>
              <w:pStyle w:val="ConsPlusNormal"/>
              <w:jc w:val="center"/>
            </w:pPr>
            <w:r>
              <w:t>0,099</w:t>
            </w:r>
          </w:p>
        </w:tc>
        <w:tc>
          <w:tcPr>
            <w:tcW w:w="998" w:type="dxa"/>
          </w:tcPr>
          <w:p w:rsidR="00E35632" w:rsidRDefault="00E35632">
            <w:pPr>
              <w:pStyle w:val="ConsPlusNormal"/>
              <w:jc w:val="center"/>
            </w:pPr>
            <w:r>
              <w:t>0,122</w:t>
            </w:r>
          </w:p>
        </w:tc>
        <w:tc>
          <w:tcPr>
            <w:tcW w:w="1018" w:type="dxa"/>
          </w:tcPr>
          <w:p w:rsidR="00E35632" w:rsidRDefault="00E35632">
            <w:pPr>
              <w:pStyle w:val="ConsPlusNormal"/>
              <w:jc w:val="center"/>
            </w:pPr>
            <w:r>
              <w:t>0,158</w:t>
            </w:r>
          </w:p>
        </w:tc>
        <w:tc>
          <w:tcPr>
            <w:tcW w:w="1320" w:type="dxa"/>
          </w:tcPr>
          <w:p w:rsidR="00E35632" w:rsidRDefault="00E35632">
            <w:pPr>
              <w:pStyle w:val="ConsPlusNormal"/>
              <w:jc w:val="center"/>
            </w:pPr>
            <w:r>
              <w:t>0,196</w:t>
            </w:r>
          </w:p>
        </w:tc>
      </w:tr>
      <w:tr w:rsidR="00E35632">
        <w:tc>
          <w:tcPr>
            <w:tcW w:w="780" w:type="dxa"/>
          </w:tcPr>
          <w:p w:rsidR="00E35632" w:rsidRDefault="00E35632">
            <w:pPr>
              <w:pStyle w:val="ConsPlusNormal"/>
              <w:jc w:val="center"/>
            </w:pPr>
            <w:r>
              <w:t>6,8</w:t>
            </w:r>
          </w:p>
        </w:tc>
        <w:tc>
          <w:tcPr>
            <w:tcW w:w="1080" w:type="dxa"/>
          </w:tcPr>
          <w:p w:rsidR="00E35632" w:rsidRDefault="00E35632">
            <w:pPr>
              <w:pStyle w:val="ConsPlusNormal"/>
              <w:jc w:val="center"/>
            </w:pPr>
            <w:r>
              <w:t>0,031</w:t>
            </w:r>
          </w:p>
        </w:tc>
        <w:tc>
          <w:tcPr>
            <w:tcW w:w="998" w:type="dxa"/>
          </w:tcPr>
          <w:p w:rsidR="00E35632" w:rsidRDefault="00E35632">
            <w:pPr>
              <w:pStyle w:val="ConsPlusNormal"/>
              <w:jc w:val="center"/>
            </w:pPr>
            <w:r>
              <w:t>0,040</w:t>
            </w:r>
          </w:p>
        </w:tc>
        <w:tc>
          <w:tcPr>
            <w:tcW w:w="922" w:type="dxa"/>
          </w:tcPr>
          <w:p w:rsidR="00E35632" w:rsidRDefault="00E35632">
            <w:pPr>
              <w:pStyle w:val="ConsPlusNormal"/>
              <w:jc w:val="center"/>
            </w:pPr>
            <w:r>
              <w:t>0,055</w:t>
            </w:r>
          </w:p>
        </w:tc>
        <w:tc>
          <w:tcPr>
            <w:tcW w:w="960" w:type="dxa"/>
          </w:tcPr>
          <w:p w:rsidR="00E35632" w:rsidRDefault="00E35632">
            <w:pPr>
              <w:pStyle w:val="ConsPlusNormal"/>
              <w:jc w:val="center"/>
            </w:pPr>
            <w:r>
              <w:t>0,069</w:t>
            </w:r>
          </w:p>
        </w:tc>
        <w:tc>
          <w:tcPr>
            <w:tcW w:w="984" w:type="dxa"/>
          </w:tcPr>
          <w:p w:rsidR="00E35632" w:rsidRDefault="00E35632">
            <w:pPr>
              <w:pStyle w:val="ConsPlusNormal"/>
              <w:jc w:val="center"/>
            </w:pPr>
            <w:r>
              <w:t>0,088</w:t>
            </w:r>
          </w:p>
        </w:tc>
        <w:tc>
          <w:tcPr>
            <w:tcW w:w="998" w:type="dxa"/>
          </w:tcPr>
          <w:p w:rsidR="00E35632" w:rsidRDefault="00E35632">
            <w:pPr>
              <w:pStyle w:val="ConsPlusNormal"/>
              <w:jc w:val="center"/>
            </w:pPr>
            <w:r>
              <w:t>0,110</w:t>
            </w:r>
          </w:p>
        </w:tc>
        <w:tc>
          <w:tcPr>
            <w:tcW w:w="1018" w:type="dxa"/>
          </w:tcPr>
          <w:p w:rsidR="00E35632" w:rsidRDefault="00E35632">
            <w:pPr>
              <w:pStyle w:val="ConsPlusNormal"/>
              <w:jc w:val="center"/>
            </w:pPr>
            <w:r>
              <w:t>0,145</w:t>
            </w:r>
          </w:p>
        </w:tc>
        <w:tc>
          <w:tcPr>
            <w:tcW w:w="1320" w:type="dxa"/>
          </w:tcPr>
          <w:p w:rsidR="00E35632" w:rsidRDefault="00E35632">
            <w:pPr>
              <w:pStyle w:val="ConsPlusNormal"/>
              <w:jc w:val="center"/>
            </w:pPr>
            <w:r>
              <w:t>0,185</w:t>
            </w:r>
          </w:p>
        </w:tc>
      </w:tr>
      <w:tr w:rsidR="00E35632">
        <w:tc>
          <w:tcPr>
            <w:tcW w:w="780" w:type="dxa"/>
          </w:tcPr>
          <w:p w:rsidR="00E35632" w:rsidRDefault="00E35632">
            <w:pPr>
              <w:pStyle w:val="ConsPlusNormal"/>
              <w:jc w:val="center"/>
            </w:pPr>
            <w:r>
              <w:t>7,2</w:t>
            </w:r>
          </w:p>
        </w:tc>
        <w:tc>
          <w:tcPr>
            <w:tcW w:w="1080" w:type="dxa"/>
          </w:tcPr>
          <w:p w:rsidR="00E35632" w:rsidRDefault="00E35632">
            <w:pPr>
              <w:pStyle w:val="ConsPlusNormal"/>
              <w:jc w:val="center"/>
            </w:pPr>
            <w:r>
              <w:t>0,028</w:t>
            </w:r>
          </w:p>
        </w:tc>
        <w:tc>
          <w:tcPr>
            <w:tcW w:w="998" w:type="dxa"/>
          </w:tcPr>
          <w:p w:rsidR="00E35632" w:rsidRDefault="00E35632">
            <w:pPr>
              <w:pStyle w:val="ConsPlusNormal"/>
              <w:jc w:val="center"/>
            </w:pPr>
            <w:r>
              <w:t>0,036</w:t>
            </w:r>
          </w:p>
        </w:tc>
        <w:tc>
          <w:tcPr>
            <w:tcW w:w="922" w:type="dxa"/>
          </w:tcPr>
          <w:p w:rsidR="00E35632" w:rsidRDefault="00E35632">
            <w:pPr>
              <w:pStyle w:val="ConsPlusNormal"/>
              <w:jc w:val="center"/>
            </w:pPr>
            <w:r>
              <w:t>0,049</w:t>
            </w:r>
          </w:p>
        </w:tc>
        <w:tc>
          <w:tcPr>
            <w:tcW w:w="960" w:type="dxa"/>
          </w:tcPr>
          <w:p w:rsidR="00E35632" w:rsidRDefault="00E35632">
            <w:pPr>
              <w:pStyle w:val="ConsPlusNormal"/>
              <w:jc w:val="center"/>
            </w:pPr>
            <w:r>
              <w:t>0,062</w:t>
            </w:r>
          </w:p>
        </w:tc>
        <w:tc>
          <w:tcPr>
            <w:tcW w:w="984" w:type="dxa"/>
          </w:tcPr>
          <w:p w:rsidR="00E35632" w:rsidRDefault="00E35632">
            <w:pPr>
              <w:pStyle w:val="ConsPlusNormal"/>
              <w:jc w:val="center"/>
            </w:pPr>
            <w:r>
              <w:t>0,080</w:t>
            </w:r>
          </w:p>
        </w:tc>
        <w:tc>
          <w:tcPr>
            <w:tcW w:w="998" w:type="dxa"/>
          </w:tcPr>
          <w:p w:rsidR="00E35632" w:rsidRDefault="00E35632">
            <w:pPr>
              <w:pStyle w:val="ConsPlusNormal"/>
              <w:jc w:val="center"/>
            </w:pPr>
            <w:r>
              <w:t>0,100</w:t>
            </w:r>
          </w:p>
        </w:tc>
        <w:tc>
          <w:tcPr>
            <w:tcW w:w="1018" w:type="dxa"/>
          </w:tcPr>
          <w:p w:rsidR="00E35632" w:rsidRDefault="00E35632">
            <w:pPr>
              <w:pStyle w:val="ConsPlusNormal"/>
              <w:jc w:val="center"/>
            </w:pPr>
            <w:r>
              <w:t>0,133</w:t>
            </w:r>
          </w:p>
        </w:tc>
        <w:tc>
          <w:tcPr>
            <w:tcW w:w="1320" w:type="dxa"/>
          </w:tcPr>
          <w:p w:rsidR="00E35632" w:rsidRDefault="00E35632">
            <w:pPr>
              <w:pStyle w:val="ConsPlusNormal"/>
              <w:jc w:val="center"/>
            </w:pPr>
            <w:r>
              <w:t>0,175</w:t>
            </w:r>
          </w:p>
        </w:tc>
      </w:tr>
      <w:tr w:rsidR="00E35632">
        <w:tc>
          <w:tcPr>
            <w:tcW w:w="780" w:type="dxa"/>
          </w:tcPr>
          <w:p w:rsidR="00E35632" w:rsidRDefault="00E35632">
            <w:pPr>
              <w:pStyle w:val="ConsPlusNormal"/>
              <w:jc w:val="center"/>
            </w:pPr>
            <w:r>
              <w:t>7,6</w:t>
            </w:r>
          </w:p>
        </w:tc>
        <w:tc>
          <w:tcPr>
            <w:tcW w:w="1080" w:type="dxa"/>
          </w:tcPr>
          <w:p w:rsidR="00E35632" w:rsidRDefault="00E35632">
            <w:pPr>
              <w:pStyle w:val="ConsPlusNormal"/>
              <w:jc w:val="center"/>
            </w:pPr>
            <w:r>
              <w:t>0,024</w:t>
            </w:r>
          </w:p>
        </w:tc>
        <w:tc>
          <w:tcPr>
            <w:tcW w:w="998" w:type="dxa"/>
          </w:tcPr>
          <w:p w:rsidR="00E35632" w:rsidRDefault="00E35632">
            <w:pPr>
              <w:pStyle w:val="ConsPlusNormal"/>
              <w:jc w:val="center"/>
            </w:pPr>
            <w:r>
              <w:t>0,032</w:t>
            </w:r>
          </w:p>
        </w:tc>
        <w:tc>
          <w:tcPr>
            <w:tcW w:w="922" w:type="dxa"/>
          </w:tcPr>
          <w:p w:rsidR="00E35632" w:rsidRDefault="00E35632">
            <w:pPr>
              <w:pStyle w:val="ConsPlusNormal"/>
              <w:jc w:val="center"/>
            </w:pPr>
            <w:r>
              <w:t>0,044</w:t>
            </w:r>
          </w:p>
        </w:tc>
        <w:tc>
          <w:tcPr>
            <w:tcW w:w="960" w:type="dxa"/>
          </w:tcPr>
          <w:p w:rsidR="00E35632" w:rsidRDefault="00E35632">
            <w:pPr>
              <w:pStyle w:val="ConsPlusNormal"/>
              <w:jc w:val="center"/>
            </w:pPr>
            <w:r>
              <w:t>0,056</w:t>
            </w:r>
          </w:p>
        </w:tc>
        <w:tc>
          <w:tcPr>
            <w:tcW w:w="984" w:type="dxa"/>
          </w:tcPr>
          <w:p w:rsidR="00E35632" w:rsidRDefault="00E35632">
            <w:pPr>
              <w:pStyle w:val="ConsPlusNormal"/>
              <w:jc w:val="center"/>
            </w:pPr>
            <w:r>
              <w:t>0,072</w:t>
            </w:r>
          </w:p>
        </w:tc>
        <w:tc>
          <w:tcPr>
            <w:tcW w:w="998" w:type="dxa"/>
          </w:tcPr>
          <w:p w:rsidR="00E35632" w:rsidRDefault="00E35632">
            <w:pPr>
              <w:pStyle w:val="ConsPlusNormal"/>
              <w:jc w:val="center"/>
            </w:pPr>
            <w:r>
              <w:t>0,091</w:t>
            </w:r>
          </w:p>
        </w:tc>
        <w:tc>
          <w:tcPr>
            <w:tcW w:w="1018" w:type="dxa"/>
          </w:tcPr>
          <w:p w:rsidR="00E35632" w:rsidRDefault="00E35632">
            <w:pPr>
              <w:pStyle w:val="ConsPlusNormal"/>
              <w:jc w:val="center"/>
            </w:pPr>
            <w:r>
              <w:t>0,123</w:t>
            </w:r>
          </w:p>
        </w:tc>
        <w:tc>
          <w:tcPr>
            <w:tcW w:w="1320" w:type="dxa"/>
          </w:tcPr>
          <w:p w:rsidR="00E35632" w:rsidRDefault="00E35632">
            <w:pPr>
              <w:pStyle w:val="ConsPlusNormal"/>
              <w:jc w:val="center"/>
            </w:pPr>
            <w:r>
              <w:t>0,166</w:t>
            </w:r>
          </w:p>
        </w:tc>
      </w:tr>
      <w:tr w:rsidR="00E35632">
        <w:tc>
          <w:tcPr>
            <w:tcW w:w="780" w:type="dxa"/>
          </w:tcPr>
          <w:p w:rsidR="00E35632" w:rsidRDefault="00E35632">
            <w:pPr>
              <w:pStyle w:val="ConsPlusNormal"/>
              <w:jc w:val="center"/>
            </w:pPr>
            <w:r>
              <w:t>8,0</w:t>
            </w:r>
          </w:p>
        </w:tc>
        <w:tc>
          <w:tcPr>
            <w:tcW w:w="1080" w:type="dxa"/>
          </w:tcPr>
          <w:p w:rsidR="00E35632" w:rsidRDefault="00E35632">
            <w:pPr>
              <w:pStyle w:val="ConsPlusNormal"/>
              <w:jc w:val="center"/>
            </w:pPr>
            <w:r>
              <w:t>0,022</w:t>
            </w:r>
          </w:p>
        </w:tc>
        <w:tc>
          <w:tcPr>
            <w:tcW w:w="998" w:type="dxa"/>
          </w:tcPr>
          <w:p w:rsidR="00E35632" w:rsidRDefault="00E35632">
            <w:pPr>
              <w:pStyle w:val="ConsPlusNormal"/>
              <w:jc w:val="center"/>
            </w:pPr>
            <w:r>
              <w:t>0,029</w:t>
            </w:r>
          </w:p>
        </w:tc>
        <w:tc>
          <w:tcPr>
            <w:tcW w:w="922" w:type="dxa"/>
          </w:tcPr>
          <w:p w:rsidR="00E35632" w:rsidRDefault="00E35632">
            <w:pPr>
              <w:pStyle w:val="ConsPlusNormal"/>
              <w:jc w:val="center"/>
            </w:pPr>
            <w:r>
              <w:t>0,040</w:t>
            </w:r>
          </w:p>
        </w:tc>
        <w:tc>
          <w:tcPr>
            <w:tcW w:w="960" w:type="dxa"/>
          </w:tcPr>
          <w:p w:rsidR="00E35632" w:rsidRDefault="00E35632">
            <w:pPr>
              <w:pStyle w:val="ConsPlusNormal"/>
              <w:jc w:val="center"/>
            </w:pPr>
            <w:r>
              <w:t>0,051</w:t>
            </w:r>
          </w:p>
        </w:tc>
        <w:tc>
          <w:tcPr>
            <w:tcW w:w="984" w:type="dxa"/>
          </w:tcPr>
          <w:p w:rsidR="00E35632" w:rsidRDefault="00E35632">
            <w:pPr>
              <w:pStyle w:val="ConsPlusNormal"/>
              <w:jc w:val="center"/>
            </w:pPr>
            <w:r>
              <w:t>0,066</w:t>
            </w:r>
          </w:p>
        </w:tc>
        <w:tc>
          <w:tcPr>
            <w:tcW w:w="998" w:type="dxa"/>
          </w:tcPr>
          <w:p w:rsidR="00E35632" w:rsidRDefault="00E35632">
            <w:pPr>
              <w:pStyle w:val="ConsPlusNormal"/>
              <w:jc w:val="center"/>
            </w:pPr>
            <w:r>
              <w:t>0,084</w:t>
            </w:r>
          </w:p>
        </w:tc>
        <w:tc>
          <w:tcPr>
            <w:tcW w:w="1018" w:type="dxa"/>
          </w:tcPr>
          <w:p w:rsidR="00E35632" w:rsidRDefault="00E35632">
            <w:pPr>
              <w:pStyle w:val="ConsPlusNormal"/>
              <w:jc w:val="center"/>
            </w:pPr>
            <w:r>
              <w:t>0,113</w:t>
            </w:r>
          </w:p>
        </w:tc>
        <w:tc>
          <w:tcPr>
            <w:tcW w:w="1320" w:type="dxa"/>
          </w:tcPr>
          <w:p w:rsidR="00E35632" w:rsidRDefault="00E35632">
            <w:pPr>
              <w:pStyle w:val="ConsPlusNormal"/>
              <w:jc w:val="center"/>
            </w:pPr>
            <w:r>
              <w:t>0,158</w:t>
            </w:r>
          </w:p>
        </w:tc>
      </w:tr>
      <w:tr w:rsidR="00E35632">
        <w:tc>
          <w:tcPr>
            <w:tcW w:w="780" w:type="dxa"/>
          </w:tcPr>
          <w:p w:rsidR="00E35632" w:rsidRDefault="00E35632">
            <w:pPr>
              <w:pStyle w:val="ConsPlusNormal"/>
              <w:jc w:val="center"/>
            </w:pPr>
            <w:r>
              <w:t>8,4</w:t>
            </w:r>
          </w:p>
        </w:tc>
        <w:tc>
          <w:tcPr>
            <w:tcW w:w="1080" w:type="dxa"/>
          </w:tcPr>
          <w:p w:rsidR="00E35632" w:rsidRDefault="00E35632">
            <w:pPr>
              <w:pStyle w:val="ConsPlusNormal"/>
              <w:jc w:val="center"/>
            </w:pPr>
            <w:r>
              <w:t>0,021</w:t>
            </w:r>
          </w:p>
        </w:tc>
        <w:tc>
          <w:tcPr>
            <w:tcW w:w="998" w:type="dxa"/>
          </w:tcPr>
          <w:p w:rsidR="00E35632" w:rsidRDefault="00E35632">
            <w:pPr>
              <w:pStyle w:val="ConsPlusNormal"/>
              <w:jc w:val="center"/>
            </w:pPr>
            <w:r>
              <w:t>0,026</w:t>
            </w:r>
          </w:p>
        </w:tc>
        <w:tc>
          <w:tcPr>
            <w:tcW w:w="922" w:type="dxa"/>
          </w:tcPr>
          <w:p w:rsidR="00E35632" w:rsidRDefault="00E35632">
            <w:pPr>
              <w:pStyle w:val="ConsPlusNormal"/>
              <w:jc w:val="center"/>
            </w:pPr>
            <w:r>
              <w:t>0,037</w:t>
            </w:r>
          </w:p>
        </w:tc>
        <w:tc>
          <w:tcPr>
            <w:tcW w:w="960" w:type="dxa"/>
          </w:tcPr>
          <w:p w:rsidR="00E35632" w:rsidRDefault="00E35632">
            <w:pPr>
              <w:pStyle w:val="ConsPlusNormal"/>
              <w:jc w:val="center"/>
            </w:pPr>
            <w:r>
              <w:t>0,046</w:t>
            </w:r>
          </w:p>
        </w:tc>
        <w:tc>
          <w:tcPr>
            <w:tcW w:w="984" w:type="dxa"/>
          </w:tcPr>
          <w:p w:rsidR="00E35632" w:rsidRDefault="00E35632">
            <w:pPr>
              <w:pStyle w:val="ConsPlusNormal"/>
              <w:jc w:val="center"/>
            </w:pPr>
            <w:r>
              <w:t>0,060</w:t>
            </w:r>
          </w:p>
        </w:tc>
        <w:tc>
          <w:tcPr>
            <w:tcW w:w="998" w:type="dxa"/>
          </w:tcPr>
          <w:p w:rsidR="00E35632" w:rsidRDefault="00E35632">
            <w:pPr>
              <w:pStyle w:val="ConsPlusNormal"/>
              <w:jc w:val="center"/>
            </w:pPr>
            <w:r>
              <w:t>0,077</w:t>
            </w:r>
          </w:p>
        </w:tc>
        <w:tc>
          <w:tcPr>
            <w:tcW w:w="1018" w:type="dxa"/>
          </w:tcPr>
          <w:p w:rsidR="00E35632" w:rsidRDefault="00E35632">
            <w:pPr>
              <w:pStyle w:val="ConsPlusNormal"/>
              <w:jc w:val="center"/>
            </w:pPr>
            <w:r>
              <w:t>0,105</w:t>
            </w:r>
          </w:p>
        </w:tc>
        <w:tc>
          <w:tcPr>
            <w:tcW w:w="1320" w:type="dxa"/>
          </w:tcPr>
          <w:p w:rsidR="00E35632" w:rsidRDefault="00E35632">
            <w:pPr>
              <w:pStyle w:val="ConsPlusNormal"/>
              <w:jc w:val="center"/>
            </w:pPr>
            <w:r>
              <w:t>0,150</w:t>
            </w:r>
          </w:p>
        </w:tc>
      </w:tr>
      <w:tr w:rsidR="00E35632">
        <w:tc>
          <w:tcPr>
            <w:tcW w:w="780" w:type="dxa"/>
          </w:tcPr>
          <w:p w:rsidR="00E35632" w:rsidRDefault="00E35632">
            <w:pPr>
              <w:pStyle w:val="ConsPlusNormal"/>
              <w:jc w:val="center"/>
            </w:pPr>
            <w:r>
              <w:t>8,8</w:t>
            </w:r>
          </w:p>
        </w:tc>
        <w:tc>
          <w:tcPr>
            <w:tcW w:w="1080" w:type="dxa"/>
          </w:tcPr>
          <w:p w:rsidR="00E35632" w:rsidRDefault="00E35632">
            <w:pPr>
              <w:pStyle w:val="ConsPlusNormal"/>
              <w:jc w:val="center"/>
            </w:pPr>
            <w:r>
              <w:t>0,019</w:t>
            </w:r>
          </w:p>
        </w:tc>
        <w:tc>
          <w:tcPr>
            <w:tcW w:w="998" w:type="dxa"/>
          </w:tcPr>
          <w:p w:rsidR="00E35632" w:rsidRDefault="00E35632">
            <w:pPr>
              <w:pStyle w:val="ConsPlusNormal"/>
              <w:jc w:val="center"/>
            </w:pPr>
            <w:r>
              <w:t>0,024</w:t>
            </w:r>
          </w:p>
        </w:tc>
        <w:tc>
          <w:tcPr>
            <w:tcW w:w="922" w:type="dxa"/>
          </w:tcPr>
          <w:p w:rsidR="00E35632" w:rsidRDefault="00E35632">
            <w:pPr>
              <w:pStyle w:val="ConsPlusNormal"/>
              <w:jc w:val="center"/>
            </w:pPr>
            <w:r>
              <w:t>0,033</w:t>
            </w:r>
          </w:p>
        </w:tc>
        <w:tc>
          <w:tcPr>
            <w:tcW w:w="960" w:type="dxa"/>
          </w:tcPr>
          <w:p w:rsidR="00E35632" w:rsidRDefault="00E35632">
            <w:pPr>
              <w:pStyle w:val="ConsPlusNormal"/>
              <w:jc w:val="center"/>
            </w:pPr>
            <w:r>
              <w:t>0,042</w:t>
            </w:r>
          </w:p>
        </w:tc>
        <w:tc>
          <w:tcPr>
            <w:tcW w:w="984" w:type="dxa"/>
          </w:tcPr>
          <w:p w:rsidR="00E35632" w:rsidRDefault="00E35632">
            <w:pPr>
              <w:pStyle w:val="ConsPlusNormal"/>
              <w:jc w:val="center"/>
            </w:pPr>
            <w:r>
              <w:t>0,055</w:t>
            </w:r>
          </w:p>
        </w:tc>
        <w:tc>
          <w:tcPr>
            <w:tcW w:w="998" w:type="dxa"/>
          </w:tcPr>
          <w:p w:rsidR="00E35632" w:rsidRDefault="00E35632">
            <w:pPr>
              <w:pStyle w:val="ConsPlusNormal"/>
              <w:jc w:val="center"/>
            </w:pPr>
            <w:r>
              <w:t>0,071</w:t>
            </w:r>
          </w:p>
        </w:tc>
        <w:tc>
          <w:tcPr>
            <w:tcW w:w="1018" w:type="dxa"/>
          </w:tcPr>
          <w:p w:rsidR="00E35632" w:rsidRDefault="00E35632">
            <w:pPr>
              <w:pStyle w:val="ConsPlusNormal"/>
              <w:jc w:val="center"/>
            </w:pPr>
            <w:r>
              <w:t>0,098</w:t>
            </w:r>
          </w:p>
        </w:tc>
        <w:tc>
          <w:tcPr>
            <w:tcW w:w="1320" w:type="dxa"/>
          </w:tcPr>
          <w:p w:rsidR="00E35632" w:rsidRDefault="00E35632">
            <w:pPr>
              <w:pStyle w:val="ConsPlusNormal"/>
              <w:jc w:val="center"/>
            </w:pPr>
            <w:r>
              <w:t>0,143</w:t>
            </w:r>
          </w:p>
        </w:tc>
      </w:tr>
      <w:tr w:rsidR="00E35632">
        <w:tc>
          <w:tcPr>
            <w:tcW w:w="780" w:type="dxa"/>
          </w:tcPr>
          <w:p w:rsidR="00E35632" w:rsidRDefault="00E35632">
            <w:pPr>
              <w:pStyle w:val="ConsPlusNormal"/>
              <w:jc w:val="center"/>
            </w:pPr>
            <w:r>
              <w:lastRenderedPageBreak/>
              <w:t>9,2</w:t>
            </w:r>
          </w:p>
        </w:tc>
        <w:tc>
          <w:tcPr>
            <w:tcW w:w="1080" w:type="dxa"/>
          </w:tcPr>
          <w:p w:rsidR="00E35632" w:rsidRDefault="00E35632">
            <w:pPr>
              <w:pStyle w:val="ConsPlusNormal"/>
              <w:jc w:val="center"/>
            </w:pPr>
            <w:r>
              <w:t>0,017</w:t>
            </w:r>
          </w:p>
        </w:tc>
        <w:tc>
          <w:tcPr>
            <w:tcW w:w="998" w:type="dxa"/>
          </w:tcPr>
          <w:p w:rsidR="00E35632" w:rsidRDefault="00E35632">
            <w:pPr>
              <w:pStyle w:val="ConsPlusNormal"/>
              <w:jc w:val="center"/>
            </w:pPr>
            <w:r>
              <w:t>0,022</w:t>
            </w:r>
          </w:p>
        </w:tc>
        <w:tc>
          <w:tcPr>
            <w:tcW w:w="922" w:type="dxa"/>
          </w:tcPr>
          <w:p w:rsidR="00E35632" w:rsidRDefault="00E35632">
            <w:pPr>
              <w:pStyle w:val="ConsPlusNormal"/>
              <w:jc w:val="center"/>
            </w:pPr>
            <w:r>
              <w:t>0,031</w:t>
            </w:r>
          </w:p>
        </w:tc>
        <w:tc>
          <w:tcPr>
            <w:tcW w:w="960" w:type="dxa"/>
          </w:tcPr>
          <w:p w:rsidR="00E35632" w:rsidRDefault="00E35632">
            <w:pPr>
              <w:pStyle w:val="ConsPlusNormal"/>
              <w:jc w:val="center"/>
            </w:pPr>
            <w:r>
              <w:t>0,039</w:t>
            </w:r>
          </w:p>
        </w:tc>
        <w:tc>
          <w:tcPr>
            <w:tcW w:w="984" w:type="dxa"/>
          </w:tcPr>
          <w:p w:rsidR="00E35632" w:rsidRDefault="00E35632">
            <w:pPr>
              <w:pStyle w:val="ConsPlusNormal"/>
              <w:jc w:val="center"/>
            </w:pPr>
            <w:r>
              <w:t>0,051</w:t>
            </w:r>
          </w:p>
        </w:tc>
        <w:tc>
          <w:tcPr>
            <w:tcW w:w="998" w:type="dxa"/>
          </w:tcPr>
          <w:p w:rsidR="00E35632" w:rsidRDefault="00E35632">
            <w:pPr>
              <w:pStyle w:val="ConsPlusNormal"/>
              <w:jc w:val="center"/>
            </w:pPr>
            <w:r>
              <w:t>0,065</w:t>
            </w:r>
          </w:p>
        </w:tc>
        <w:tc>
          <w:tcPr>
            <w:tcW w:w="1018" w:type="dxa"/>
          </w:tcPr>
          <w:p w:rsidR="00E35632" w:rsidRDefault="00E35632">
            <w:pPr>
              <w:pStyle w:val="ConsPlusNormal"/>
              <w:jc w:val="center"/>
            </w:pPr>
            <w:r>
              <w:t>0,091</w:t>
            </w:r>
          </w:p>
        </w:tc>
        <w:tc>
          <w:tcPr>
            <w:tcW w:w="1320" w:type="dxa"/>
          </w:tcPr>
          <w:p w:rsidR="00E35632" w:rsidRDefault="00E35632">
            <w:pPr>
              <w:pStyle w:val="ConsPlusNormal"/>
              <w:jc w:val="center"/>
            </w:pPr>
            <w:r>
              <w:t>0,137</w:t>
            </w:r>
          </w:p>
        </w:tc>
      </w:tr>
      <w:tr w:rsidR="00E35632">
        <w:tc>
          <w:tcPr>
            <w:tcW w:w="780" w:type="dxa"/>
          </w:tcPr>
          <w:p w:rsidR="00E35632" w:rsidRDefault="00E35632">
            <w:pPr>
              <w:pStyle w:val="ConsPlusNormal"/>
              <w:jc w:val="center"/>
            </w:pPr>
            <w:r>
              <w:t>9,6</w:t>
            </w:r>
          </w:p>
        </w:tc>
        <w:tc>
          <w:tcPr>
            <w:tcW w:w="1080" w:type="dxa"/>
          </w:tcPr>
          <w:p w:rsidR="00E35632" w:rsidRDefault="00E35632">
            <w:pPr>
              <w:pStyle w:val="ConsPlusNormal"/>
              <w:jc w:val="center"/>
            </w:pPr>
            <w:r>
              <w:t>0,016</w:t>
            </w:r>
          </w:p>
        </w:tc>
        <w:tc>
          <w:tcPr>
            <w:tcW w:w="998" w:type="dxa"/>
          </w:tcPr>
          <w:p w:rsidR="00E35632" w:rsidRDefault="00E35632">
            <w:pPr>
              <w:pStyle w:val="ConsPlusNormal"/>
              <w:jc w:val="center"/>
            </w:pPr>
            <w:r>
              <w:t>0,020</w:t>
            </w:r>
          </w:p>
        </w:tc>
        <w:tc>
          <w:tcPr>
            <w:tcW w:w="922" w:type="dxa"/>
          </w:tcPr>
          <w:p w:rsidR="00E35632" w:rsidRDefault="00E35632">
            <w:pPr>
              <w:pStyle w:val="ConsPlusNormal"/>
              <w:jc w:val="center"/>
            </w:pPr>
            <w:r>
              <w:t>0,028</w:t>
            </w:r>
          </w:p>
        </w:tc>
        <w:tc>
          <w:tcPr>
            <w:tcW w:w="960" w:type="dxa"/>
          </w:tcPr>
          <w:p w:rsidR="00E35632" w:rsidRDefault="00E35632">
            <w:pPr>
              <w:pStyle w:val="ConsPlusNormal"/>
              <w:jc w:val="center"/>
            </w:pPr>
            <w:r>
              <w:t>0,036</w:t>
            </w:r>
          </w:p>
        </w:tc>
        <w:tc>
          <w:tcPr>
            <w:tcW w:w="984" w:type="dxa"/>
          </w:tcPr>
          <w:p w:rsidR="00E35632" w:rsidRDefault="00E35632">
            <w:pPr>
              <w:pStyle w:val="ConsPlusNormal"/>
              <w:jc w:val="center"/>
            </w:pPr>
            <w:r>
              <w:t>0,047</w:t>
            </w:r>
          </w:p>
        </w:tc>
        <w:tc>
          <w:tcPr>
            <w:tcW w:w="998" w:type="dxa"/>
          </w:tcPr>
          <w:p w:rsidR="00E35632" w:rsidRDefault="00E35632">
            <w:pPr>
              <w:pStyle w:val="ConsPlusNormal"/>
              <w:jc w:val="center"/>
            </w:pPr>
            <w:r>
              <w:t>0,060</w:t>
            </w:r>
          </w:p>
        </w:tc>
        <w:tc>
          <w:tcPr>
            <w:tcW w:w="1018" w:type="dxa"/>
          </w:tcPr>
          <w:p w:rsidR="00E35632" w:rsidRDefault="00E35632">
            <w:pPr>
              <w:pStyle w:val="ConsPlusNormal"/>
              <w:jc w:val="center"/>
            </w:pPr>
            <w:r>
              <w:t>0,085</w:t>
            </w:r>
          </w:p>
        </w:tc>
        <w:tc>
          <w:tcPr>
            <w:tcW w:w="1320" w:type="dxa"/>
          </w:tcPr>
          <w:p w:rsidR="00E35632" w:rsidRDefault="00E35632">
            <w:pPr>
              <w:pStyle w:val="ConsPlusNormal"/>
              <w:jc w:val="center"/>
            </w:pPr>
            <w:r>
              <w:t>0,132</w:t>
            </w:r>
          </w:p>
        </w:tc>
      </w:tr>
      <w:tr w:rsidR="00E35632">
        <w:tc>
          <w:tcPr>
            <w:tcW w:w="780" w:type="dxa"/>
          </w:tcPr>
          <w:p w:rsidR="00E35632" w:rsidRDefault="00E35632">
            <w:pPr>
              <w:pStyle w:val="ConsPlusNormal"/>
              <w:jc w:val="center"/>
            </w:pPr>
            <w:r>
              <w:t>10,0</w:t>
            </w:r>
          </w:p>
        </w:tc>
        <w:tc>
          <w:tcPr>
            <w:tcW w:w="1080" w:type="dxa"/>
          </w:tcPr>
          <w:p w:rsidR="00E35632" w:rsidRDefault="00E35632">
            <w:pPr>
              <w:pStyle w:val="ConsPlusNormal"/>
              <w:jc w:val="center"/>
            </w:pPr>
            <w:r>
              <w:t>0,015</w:t>
            </w:r>
          </w:p>
        </w:tc>
        <w:tc>
          <w:tcPr>
            <w:tcW w:w="998" w:type="dxa"/>
          </w:tcPr>
          <w:p w:rsidR="00E35632" w:rsidRDefault="00E35632">
            <w:pPr>
              <w:pStyle w:val="ConsPlusNormal"/>
              <w:jc w:val="center"/>
            </w:pPr>
            <w:r>
              <w:t>0,019</w:t>
            </w:r>
          </w:p>
        </w:tc>
        <w:tc>
          <w:tcPr>
            <w:tcW w:w="922" w:type="dxa"/>
          </w:tcPr>
          <w:p w:rsidR="00E35632" w:rsidRDefault="00E35632">
            <w:pPr>
              <w:pStyle w:val="ConsPlusNormal"/>
              <w:jc w:val="center"/>
            </w:pPr>
            <w:r>
              <w:t>0,026</w:t>
            </w:r>
          </w:p>
        </w:tc>
        <w:tc>
          <w:tcPr>
            <w:tcW w:w="960" w:type="dxa"/>
          </w:tcPr>
          <w:p w:rsidR="00E35632" w:rsidRDefault="00E35632">
            <w:pPr>
              <w:pStyle w:val="ConsPlusNormal"/>
              <w:jc w:val="center"/>
            </w:pPr>
            <w:r>
              <w:t>0,033</w:t>
            </w:r>
          </w:p>
        </w:tc>
        <w:tc>
          <w:tcPr>
            <w:tcW w:w="984" w:type="dxa"/>
          </w:tcPr>
          <w:p w:rsidR="00E35632" w:rsidRDefault="00E35632">
            <w:pPr>
              <w:pStyle w:val="ConsPlusNormal"/>
              <w:jc w:val="center"/>
            </w:pPr>
            <w:r>
              <w:t>0,043</w:t>
            </w:r>
          </w:p>
        </w:tc>
        <w:tc>
          <w:tcPr>
            <w:tcW w:w="998" w:type="dxa"/>
          </w:tcPr>
          <w:p w:rsidR="00E35632" w:rsidRDefault="00E35632">
            <w:pPr>
              <w:pStyle w:val="ConsPlusNormal"/>
              <w:jc w:val="center"/>
            </w:pPr>
            <w:r>
              <w:t>0,056</w:t>
            </w:r>
          </w:p>
        </w:tc>
        <w:tc>
          <w:tcPr>
            <w:tcW w:w="1018" w:type="dxa"/>
          </w:tcPr>
          <w:p w:rsidR="00E35632" w:rsidRDefault="00E35632">
            <w:pPr>
              <w:pStyle w:val="ConsPlusNormal"/>
              <w:jc w:val="center"/>
            </w:pPr>
            <w:r>
              <w:t>0,079</w:t>
            </w:r>
          </w:p>
        </w:tc>
        <w:tc>
          <w:tcPr>
            <w:tcW w:w="1320" w:type="dxa"/>
          </w:tcPr>
          <w:p w:rsidR="00E35632" w:rsidRDefault="00E35632">
            <w:pPr>
              <w:pStyle w:val="ConsPlusNormal"/>
              <w:jc w:val="center"/>
            </w:pPr>
            <w:r>
              <w:t>0,126</w:t>
            </w:r>
          </w:p>
        </w:tc>
      </w:tr>
      <w:tr w:rsidR="00E35632">
        <w:tc>
          <w:tcPr>
            <w:tcW w:w="780" w:type="dxa"/>
          </w:tcPr>
          <w:p w:rsidR="00E35632" w:rsidRDefault="00E35632">
            <w:pPr>
              <w:pStyle w:val="ConsPlusNormal"/>
              <w:jc w:val="center"/>
            </w:pPr>
            <w:r>
              <w:t>10,4</w:t>
            </w:r>
          </w:p>
        </w:tc>
        <w:tc>
          <w:tcPr>
            <w:tcW w:w="1080" w:type="dxa"/>
          </w:tcPr>
          <w:p w:rsidR="00E35632" w:rsidRDefault="00E35632">
            <w:pPr>
              <w:pStyle w:val="ConsPlusNormal"/>
              <w:jc w:val="center"/>
            </w:pPr>
            <w:r>
              <w:t>0,014</w:t>
            </w:r>
          </w:p>
        </w:tc>
        <w:tc>
          <w:tcPr>
            <w:tcW w:w="998" w:type="dxa"/>
          </w:tcPr>
          <w:p w:rsidR="00E35632" w:rsidRDefault="00E35632">
            <w:pPr>
              <w:pStyle w:val="ConsPlusNormal"/>
              <w:jc w:val="center"/>
            </w:pPr>
            <w:r>
              <w:t>0,017</w:t>
            </w:r>
          </w:p>
        </w:tc>
        <w:tc>
          <w:tcPr>
            <w:tcW w:w="922" w:type="dxa"/>
          </w:tcPr>
          <w:p w:rsidR="00E35632" w:rsidRDefault="00E35632">
            <w:pPr>
              <w:pStyle w:val="ConsPlusNormal"/>
              <w:jc w:val="center"/>
            </w:pPr>
            <w:r>
              <w:t>0,024</w:t>
            </w:r>
          </w:p>
        </w:tc>
        <w:tc>
          <w:tcPr>
            <w:tcW w:w="960" w:type="dxa"/>
          </w:tcPr>
          <w:p w:rsidR="00E35632" w:rsidRDefault="00E35632">
            <w:pPr>
              <w:pStyle w:val="ConsPlusNormal"/>
              <w:jc w:val="center"/>
            </w:pPr>
            <w:r>
              <w:t>0,031</w:t>
            </w:r>
          </w:p>
        </w:tc>
        <w:tc>
          <w:tcPr>
            <w:tcW w:w="984" w:type="dxa"/>
          </w:tcPr>
          <w:p w:rsidR="00E35632" w:rsidRDefault="00E35632">
            <w:pPr>
              <w:pStyle w:val="ConsPlusNormal"/>
              <w:jc w:val="center"/>
            </w:pPr>
            <w:r>
              <w:t>0,040</w:t>
            </w:r>
          </w:p>
        </w:tc>
        <w:tc>
          <w:tcPr>
            <w:tcW w:w="998" w:type="dxa"/>
          </w:tcPr>
          <w:p w:rsidR="00E35632" w:rsidRDefault="00E35632">
            <w:pPr>
              <w:pStyle w:val="ConsPlusNormal"/>
              <w:jc w:val="center"/>
            </w:pPr>
            <w:r>
              <w:t>0,052</w:t>
            </w:r>
          </w:p>
        </w:tc>
        <w:tc>
          <w:tcPr>
            <w:tcW w:w="1018" w:type="dxa"/>
          </w:tcPr>
          <w:p w:rsidR="00E35632" w:rsidRDefault="00E35632">
            <w:pPr>
              <w:pStyle w:val="ConsPlusNormal"/>
              <w:jc w:val="center"/>
            </w:pPr>
            <w:r>
              <w:t>0,074</w:t>
            </w:r>
          </w:p>
        </w:tc>
        <w:tc>
          <w:tcPr>
            <w:tcW w:w="1320" w:type="dxa"/>
          </w:tcPr>
          <w:p w:rsidR="00E35632" w:rsidRDefault="00E35632">
            <w:pPr>
              <w:pStyle w:val="ConsPlusNormal"/>
              <w:jc w:val="center"/>
            </w:pPr>
            <w:r>
              <w:t>0,122</w:t>
            </w:r>
          </w:p>
        </w:tc>
      </w:tr>
      <w:tr w:rsidR="00E35632">
        <w:tc>
          <w:tcPr>
            <w:tcW w:w="780" w:type="dxa"/>
          </w:tcPr>
          <w:p w:rsidR="00E35632" w:rsidRDefault="00E35632">
            <w:pPr>
              <w:pStyle w:val="ConsPlusNormal"/>
              <w:jc w:val="center"/>
            </w:pPr>
            <w:r>
              <w:t>10,8</w:t>
            </w:r>
          </w:p>
        </w:tc>
        <w:tc>
          <w:tcPr>
            <w:tcW w:w="1080" w:type="dxa"/>
          </w:tcPr>
          <w:p w:rsidR="00E35632" w:rsidRDefault="00E35632">
            <w:pPr>
              <w:pStyle w:val="ConsPlusNormal"/>
              <w:jc w:val="center"/>
            </w:pPr>
            <w:r>
              <w:t>0,013</w:t>
            </w:r>
          </w:p>
        </w:tc>
        <w:tc>
          <w:tcPr>
            <w:tcW w:w="998" w:type="dxa"/>
          </w:tcPr>
          <w:p w:rsidR="00E35632" w:rsidRDefault="00E35632">
            <w:pPr>
              <w:pStyle w:val="ConsPlusNormal"/>
              <w:jc w:val="center"/>
            </w:pPr>
            <w:r>
              <w:t>0,016</w:t>
            </w:r>
          </w:p>
        </w:tc>
        <w:tc>
          <w:tcPr>
            <w:tcW w:w="922" w:type="dxa"/>
          </w:tcPr>
          <w:p w:rsidR="00E35632" w:rsidRDefault="00E35632">
            <w:pPr>
              <w:pStyle w:val="ConsPlusNormal"/>
              <w:jc w:val="center"/>
            </w:pPr>
            <w:r>
              <w:t>0,022</w:t>
            </w:r>
          </w:p>
        </w:tc>
        <w:tc>
          <w:tcPr>
            <w:tcW w:w="960" w:type="dxa"/>
          </w:tcPr>
          <w:p w:rsidR="00E35632" w:rsidRDefault="00E35632">
            <w:pPr>
              <w:pStyle w:val="ConsPlusNormal"/>
              <w:jc w:val="center"/>
            </w:pPr>
            <w:r>
              <w:t>0,029</w:t>
            </w:r>
          </w:p>
        </w:tc>
        <w:tc>
          <w:tcPr>
            <w:tcW w:w="984" w:type="dxa"/>
          </w:tcPr>
          <w:p w:rsidR="00E35632" w:rsidRDefault="00E35632">
            <w:pPr>
              <w:pStyle w:val="ConsPlusNormal"/>
              <w:jc w:val="center"/>
            </w:pPr>
            <w:r>
              <w:t>0,037</w:t>
            </w:r>
          </w:p>
        </w:tc>
        <w:tc>
          <w:tcPr>
            <w:tcW w:w="998" w:type="dxa"/>
          </w:tcPr>
          <w:p w:rsidR="00E35632" w:rsidRDefault="00E35632">
            <w:pPr>
              <w:pStyle w:val="ConsPlusNormal"/>
              <w:jc w:val="center"/>
            </w:pPr>
            <w:r>
              <w:t>0,049</w:t>
            </w:r>
          </w:p>
        </w:tc>
        <w:tc>
          <w:tcPr>
            <w:tcW w:w="1018" w:type="dxa"/>
          </w:tcPr>
          <w:p w:rsidR="00E35632" w:rsidRDefault="00E35632">
            <w:pPr>
              <w:pStyle w:val="ConsPlusNormal"/>
              <w:jc w:val="center"/>
            </w:pPr>
            <w:r>
              <w:t>0,069</w:t>
            </w:r>
          </w:p>
        </w:tc>
        <w:tc>
          <w:tcPr>
            <w:tcW w:w="1320" w:type="dxa"/>
          </w:tcPr>
          <w:p w:rsidR="00E35632" w:rsidRDefault="00E35632">
            <w:pPr>
              <w:pStyle w:val="ConsPlusNormal"/>
              <w:jc w:val="center"/>
            </w:pPr>
            <w:r>
              <w:t>0,117</w:t>
            </w:r>
          </w:p>
        </w:tc>
      </w:tr>
      <w:tr w:rsidR="00E35632">
        <w:tc>
          <w:tcPr>
            <w:tcW w:w="780" w:type="dxa"/>
          </w:tcPr>
          <w:p w:rsidR="00E35632" w:rsidRDefault="00E35632">
            <w:pPr>
              <w:pStyle w:val="ConsPlusNormal"/>
              <w:jc w:val="center"/>
            </w:pPr>
            <w:r>
              <w:t>11,2</w:t>
            </w:r>
          </w:p>
        </w:tc>
        <w:tc>
          <w:tcPr>
            <w:tcW w:w="1080" w:type="dxa"/>
          </w:tcPr>
          <w:p w:rsidR="00E35632" w:rsidRDefault="00E35632">
            <w:pPr>
              <w:pStyle w:val="ConsPlusNormal"/>
              <w:jc w:val="center"/>
            </w:pPr>
            <w:r>
              <w:t>0,012</w:t>
            </w:r>
          </w:p>
        </w:tc>
        <w:tc>
          <w:tcPr>
            <w:tcW w:w="998" w:type="dxa"/>
          </w:tcPr>
          <w:p w:rsidR="00E35632" w:rsidRDefault="00E35632">
            <w:pPr>
              <w:pStyle w:val="ConsPlusNormal"/>
              <w:jc w:val="center"/>
            </w:pPr>
            <w:r>
              <w:t>0,015</w:t>
            </w:r>
          </w:p>
        </w:tc>
        <w:tc>
          <w:tcPr>
            <w:tcW w:w="922" w:type="dxa"/>
          </w:tcPr>
          <w:p w:rsidR="00E35632" w:rsidRDefault="00E35632">
            <w:pPr>
              <w:pStyle w:val="ConsPlusNormal"/>
              <w:jc w:val="center"/>
            </w:pPr>
            <w:r>
              <w:t>0,021</w:t>
            </w:r>
          </w:p>
        </w:tc>
        <w:tc>
          <w:tcPr>
            <w:tcW w:w="960" w:type="dxa"/>
          </w:tcPr>
          <w:p w:rsidR="00E35632" w:rsidRDefault="00E35632">
            <w:pPr>
              <w:pStyle w:val="ConsPlusNormal"/>
              <w:jc w:val="center"/>
            </w:pPr>
            <w:r>
              <w:t>0,027</w:t>
            </w:r>
          </w:p>
        </w:tc>
        <w:tc>
          <w:tcPr>
            <w:tcW w:w="984" w:type="dxa"/>
          </w:tcPr>
          <w:p w:rsidR="00E35632" w:rsidRDefault="00E35632">
            <w:pPr>
              <w:pStyle w:val="ConsPlusNormal"/>
              <w:jc w:val="center"/>
            </w:pPr>
            <w:r>
              <w:t>0,035</w:t>
            </w:r>
          </w:p>
        </w:tc>
        <w:tc>
          <w:tcPr>
            <w:tcW w:w="998" w:type="dxa"/>
          </w:tcPr>
          <w:p w:rsidR="00E35632" w:rsidRDefault="00E35632">
            <w:pPr>
              <w:pStyle w:val="ConsPlusNormal"/>
              <w:jc w:val="center"/>
            </w:pPr>
            <w:r>
              <w:t>0,045</w:t>
            </w:r>
          </w:p>
        </w:tc>
        <w:tc>
          <w:tcPr>
            <w:tcW w:w="1018" w:type="dxa"/>
          </w:tcPr>
          <w:p w:rsidR="00E35632" w:rsidRDefault="00E35632">
            <w:pPr>
              <w:pStyle w:val="ConsPlusNormal"/>
              <w:jc w:val="center"/>
            </w:pPr>
            <w:r>
              <w:t>0,065</w:t>
            </w:r>
          </w:p>
        </w:tc>
        <w:tc>
          <w:tcPr>
            <w:tcW w:w="1320" w:type="dxa"/>
          </w:tcPr>
          <w:p w:rsidR="00E35632" w:rsidRDefault="00E35632">
            <w:pPr>
              <w:pStyle w:val="ConsPlusNormal"/>
              <w:jc w:val="center"/>
            </w:pPr>
            <w:r>
              <w:t>0,113</w:t>
            </w:r>
          </w:p>
        </w:tc>
      </w:tr>
      <w:tr w:rsidR="00E35632">
        <w:tc>
          <w:tcPr>
            <w:tcW w:w="780" w:type="dxa"/>
          </w:tcPr>
          <w:p w:rsidR="00E35632" w:rsidRDefault="00E35632">
            <w:pPr>
              <w:pStyle w:val="ConsPlusNormal"/>
              <w:jc w:val="center"/>
            </w:pPr>
            <w:r>
              <w:t>11,6</w:t>
            </w:r>
          </w:p>
        </w:tc>
        <w:tc>
          <w:tcPr>
            <w:tcW w:w="1080" w:type="dxa"/>
          </w:tcPr>
          <w:p w:rsidR="00E35632" w:rsidRDefault="00E35632">
            <w:pPr>
              <w:pStyle w:val="ConsPlusNormal"/>
              <w:jc w:val="center"/>
            </w:pPr>
            <w:r>
              <w:t>0,011</w:t>
            </w:r>
          </w:p>
        </w:tc>
        <w:tc>
          <w:tcPr>
            <w:tcW w:w="998" w:type="dxa"/>
          </w:tcPr>
          <w:p w:rsidR="00E35632" w:rsidRDefault="00E35632">
            <w:pPr>
              <w:pStyle w:val="ConsPlusNormal"/>
              <w:jc w:val="center"/>
            </w:pPr>
            <w:r>
              <w:t>0,014</w:t>
            </w:r>
          </w:p>
        </w:tc>
        <w:tc>
          <w:tcPr>
            <w:tcW w:w="922" w:type="dxa"/>
          </w:tcPr>
          <w:p w:rsidR="00E35632" w:rsidRDefault="00E35632">
            <w:pPr>
              <w:pStyle w:val="ConsPlusNormal"/>
              <w:jc w:val="center"/>
            </w:pPr>
            <w:r>
              <w:t>0,020</w:t>
            </w:r>
          </w:p>
        </w:tc>
        <w:tc>
          <w:tcPr>
            <w:tcW w:w="960" w:type="dxa"/>
          </w:tcPr>
          <w:p w:rsidR="00E35632" w:rsidRDefault="00E35632">
            <w:pPr>
              <w:pStyle w:val="ConsPlusNormal"/>
              <w:jc w:val="center"/>
            </w:pPr>
            <w:r>
              <w:t>0,025</w:t>
            </w:r>
          </w:p>
        </w:tc>
        <w:tc>
          <w:tcPr>
            <w:tcW w:w="984" w:type="dxa"/>
          </w:tcPr>
          <w:p w:rsidR="00E35632" w:rsidRDefault="00E35632">
            <w:pPr>
              <w:pStyle w:val="ConsPlusNormal"/>
              <w:jc w:val="center"/>
            </w:pPr>
            <w:r>
              <w:t>0,033</w:t>
            </w:r>
          </w:p>
        </w:tc>
        <w:tc>
          <w:tcPr>
            <w:tcW w:w="998" w:type="dxa"/>
          </w:tcPr>
          <w:p w:rsidR="00E35632" w:rsidRDefault="00E35632">
            <w:pPr>
              <w:pStyle w:val="ConsPlusNormal"/>
              <w:jc w:val="center"/>
            </w:pPr>
            <w:r>
              <w:t>0,042</w:t>
            </w:r>
          </w:p>
        </w:tc>
        <w:tc>
          <w:tcPr>
            <w:tcW w:w="1018" w:type="dxa"/>
          </w:tcPr>
          <w:p w:rsidR="00E35632" w:rsidRDefault="00E35632">
            <w:pPr>
              <w:pStyle w:val="ConsPlusNormal"/>
              <w:jc w:val="center"/>
            </w:pPr>
            <w:r>
              <w:t>0,061</w:t>
            </w:r>
          </w:p>
        </w:tc>
        <w:tc>
          <w:tcPr>
            <w:tcW w:w="1320" w:type="dxa"/>
          </w:tcPr>
          <w:p w:rsidR="00E35632" w:rsidRDefault="00E35632">
            <w:pPr>
              <w:pStyle w:val="ConsPlusNormal"/>
              <w:jc w:val="center"/>
            </w:pPr>
            <w:r>
              <w:t>0,109</w:t>
            </w:r>
          </w:p>
        </w:tc>
      </w:tr>
      <w:tr w:rsidR="00E35632">
        <w:tc>
          <w:tcPr>
            <w:tcW w:w="780" w:type="dxa"/>
          </w:tcPr>
          <w:p w:rsidR="00E35632" w:rsidRDefault="00E35632">
            <w:pPr>
              <w:pStyle w:val="ConsPlusNormal"/>
              <w:jc w:val="center"/>
            </w:pPr>
            <w:r>
              <w:t>12,0</w:t>
            </w:r>
          </w:p>
        </w:tc>
        <w:tc>
          <w:tcPr>
            <w:tcW w:w="1080" w:type="dxa"/>
          </w:tcPr>
          <w:p w:rsidR="00E35632" w:rsidRDefault="00E35632">
            <w:pPr>
              <w:pStyle w:val="ConsPlusNormal"/>
              <w:jc w:val="center"/>
            </w:pPr>
            <w:r>
              <w:t>0,010</w:t>
            </w:r>
          </w:p>
        </w:tc>
        <w:tc>
          <w:tcPr>
            <w:tcW w:w="998" w:type="dxa"/>
          </w:tcPr>
          <w:p w:rsidR="00E35632" w:rsidRDefault="00E35632">
            <w:pPr>
              <w:pStyle w:val="ConsPlusNormal"/>
              <w:jc w:val="center"/>
            </w:pPr>
            <w:r>
              <w:t>0,013</w:t>
            </w:r>
          </w:p>
        </w:tc>
        <w:tc>
          <w:tcPr>
            <w:tcW w:w="922" w:type="dxa"/>
          </w:tcPr>
          <w:p w:rsidR="00E35632" w:rsidRDefault="00E35632">
            <w:pPr>
              <w:pStyle w:val="ConsPlusNormal"/>
              <w:jc w:val="center"/>
            </w:pPr>
            <w:r>
              <w:t>0,018</w:t>
            </w:r>
          </w:p>
        </w:tc>
        <w:tc>
          <w:tcPr>
            <w:tcW w:w="960" w:type="dxa"/>
          </w:tcPr>
          <w:p w:rsidR="00E35632" w:rsidRDefault="00E35632">
            <w:pPr>
              <w:pStyle w:val="ConsPlusNormal"/>
              <w:jc w:val="center"/>
            </w:pPr>
            <w:r>
              <w:t>0,023</w:t>
            </w:r>
          </w:p>
        </w:tc>
        <w:tc>
          <w:tcPr>
            <w:tcW w:w="984" w:type="dxa"/>
          </w:tcPr>
          <w:p w:rsidR="00E35632" w:rsidRDefault="00E35632">
            <w:pPr>
              <w:pStyle w:val="ConsPlusNormal"/>
              <w:jc w:val="center"/>
            </w:pPr>
            <w:r>
              <w:t>0,031</w:t>
            </w:r>
          </w:p>
        </w:tc>
        <w:tc>
          <w:tcPr>
            <w:tcW w:w="998" w:type="dxa"/>
          </w:tcPr>
          <w:p w:rsidR="00E35632" w:rsidRDefault="00E35632">
            <w:pPr>
              <w:pStyle w:val="ConsPlusNormal"/>
              <w:jc w:val="center"/>
            </w:pPr>
            <w:r>
              <w:t>0,040</w:t>
            </w:r>
          </w:p>
        </w:tc>
        <w:tc>
          <w:tcPr>
            <w:tcW w:w="1018" w:type="dxa"/>
          </w:tcPr>
          <w:p w:rsidR="00E35632" w:rsidRDefault="00E35632">
            <w:pPr>
              <w:pStyle w:val="ConsPlusNormal"/>
              <w:jc w:val="center"/>
            </w:pPr>
            <w:r>
              <w:t>0,058</w:t>
            </w:r>
          </w:p>
        </w:tc>
        <w:tc>
          <w:tcPr>
            <w:tcW w:w="1320" w:type="dxa"/>
          </w:tcPr>
          <w:p w:rsidR="00E35632" w:rsidRDefault="00E35632">
            <w:pPr>
              <w:pStyle w:val="ConsPlusNormal"/>
              <w:jc w:val="center"/>
            </w:pPr>
            <w:r>
              <w:t>0,106</w:t>
            </w:r>
          </w:p>
        </w:tc>
      </w:tr>
      <w:tr w:rsidR="00E35632">
        <w:tc>
          <w:tcPr>
            <w:tcW w:w="9060" w:type="dxa"/>
            <w:gridSpan w:val="9"/>
          </w:tcPr>
          <w:p w:rsidR="00E35632" w:rsidRDefault="00E35632">
            <w:pPr>
              <w:pStyle w:val="ConsPlusNormal"/>
              <w:ind w:firstLine="283"/>
              <w:jc w:val="both"/>
            </w:pPr>
            <w:r>
              <w:t>Примечания</w:t>
            </w:r>
          </w:p>
          <w:p w:rsidR="00E35632" w:rsidRDefault="00E35632">
            <w:pPr>
              <w:pStyle w:val="ConsPlusNormal"/>
              <w:ind w:firstLine="283"/>
              <w:jc w:val="both"/>
            </w:pPr>
            <w:r>
              <w:t xml:space="preserve">1 В таблице обозначено: </w:t>
            </w:r>
            <w:r>
              <w:rPr>
                <w:i/>
              </w:rPr>
              <w:t>b</w:t>
            </w:r>
            <w:r>
              <w:t xml:space="preserve"> - ширина или диаметр фундамента, </w:t>
            </w:r>
            <w:r>
              <w:rPr>
                <w:i/>
              </w:rPr>
              <w:t>l</w:t>
            </w:r>
            <w:r>
              <w:t xml:space="preserve"> - длина фундамента.</w:t>
            </w:r>
          </w:p>
          <w:p w:rsidR="00E35632" w:rsidRDefault="00E35632">
            <w:pPr>
              <w:pStyle w:val="ConsPlusNormal"/>
              <w:ind w:firstLine="283"/>
              <w:jc w:val="both"/>
            </w:pPr>
            <w:r>
              <w:t xml:space="preserve">2 Для фундаментов, имеющих подошву в форме правильного многоугольника с площадью </w:t>
            </w:r>
            <w:r>
              <w:rPr>
                <w:i/>
              </w:rPr>
              <w:t>A,</w:t>
            </w:r>
            <w:r>
              <w:t xml:space="preserve"> значения </w:t>
            </w:r>
            <w:r>
              <w:rPr>
                <w:noProof/>
                <w:position w:val="-1"/>
              </w:rPr>
              <w:drawing>
                <wp:inline distT="0" distB="0" distL="0" distR="0">
                  <wp:extent cx="167640" cy="160020"/>
                  <wp:effectExtent l="0" t="0" r="0" b="0"/>
                  <wp:docPr id="1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167640" cy="160020"/>
                          </a:xfrm>
                          <a:prstGeom prst="rect">
                            <a:avLst/>
                          </a:prstGeom>
                          <a:noFill/>
                          <a:ln>
                            <a:noFill/>
                          </a:ln>
                        </pic:spPr>
                      </pic:pic>
                    </a:graphicData>
                  </a:graphic>
                </wp:inline>
              </w:drawing>
            </w:r>
            <w:r>
              <w:t xml:space="preserve"> принимают как для круглых фундаментов радиусом </w:t>
            </w:r>
            <w:r>
              <w:rPr>
                <w:noProof/>
                <w:position w:val="-8"/>
              </w:rPr>
              <w:drawing>
                <wp:inline distT="0" distB="0" distL="0" distR="0">
                  <wp:extent cx="740410" cy="251460"/>
                  <wp:effectExtent l="0" t="0" r="0" b="0"/>
                  <wp:docPr id="1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740410" cy="251460"/>
                          </a:xfrm>
                          <a:prstGeom prst="rect">
                            <a:avLst/>
                          </a:prstGeom>
                          <a:noFill/>
                          <a:ln>
                            <a:noFill/>
                          </a:ln>
                        </pic:spPr>
                      </pic:pic>
                    </a:graphicData>
                  </a:graphic>
                </wp:inline>
              </w:drawing>
            </w:r>
            <w:r>
              <w:t>.</w:t>
            </w:r>
          </w:p>
          <w:p w:rsidR="00E35632" w:rsidRDefault="00E35632">
            <w:pPr>
              <w:pStyle w:val="ConsPlusNormal"/>
              <w:ind w:firstLine="283"/>
              <w:jc w:val="both"/>
            </w:pPr>
            <w:r>
              <w:t xml:space="preserve">3 Для промежуточных значений </w:t>
            </w:r>
            <w:r>
              <w:rPr>
                <w:noProof/>
                <w:position w:val="-6"/>
              </w:rPr>
              <w:drawing>
                <wp:inline distT="0" distB="0" distL="0" distR="0">
                  <wp:extent cx="142240" cy="226060"/>
                  <wp:effectExtent l="0" t="0" r="0" b="0"/>
                  <wp:docPr id="1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142240" cy="226060"/>
                          </a:xfrm>
                          <a:prstGeom prst="rect">
                            <a:avLst/>
                          </a:prstGeom>
                          <a:noFill/>
                          <a:ln>
                            <a:noFill/>
                          </a:ln>
                        </pic:spPr>
                      </pic:pic>
                    </a:graphicData>
                  </a:graphic>
                </wp:inline>
              </w:drawing>
            </w:r>
            <w:r>
              <w:t xml:space="preserve"> и </w:t>
            </w:r>
            <w:r>
              <w:rPr>
                <w:noProof/>
                <w:position w:val="-4"/>
              </w:rPr>
              <w:drawing>
                <wp:inline distT="0" distB="0" distL="0" distR="0">
                  <wp:extent cx="142240" cy="192405"/>
                  <wp:effectExtent l="0" t="0" r="0" b="0"/>
                  <wp:docPr id="1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142240" cy="192405"/>
                          </a:xfrm>
                          <a:prstGeom prst="rect">
                            <a:avLst/>
                          </a:prstGeom>
                          <a:noFill/>
                          <a:ln>
                            <a:noFill/>
                          </a:ln>
                        </pic:spPr>
                      </pic:pic>
                    </a:graphicData>
                  </a:graphic>
                </wp:inline>
              </w:drawing>
            </w:r>
            <w:r>
              <w:t xml:space="preserve"> коэффициенты </w:t>
            </w:r>
            <w:r>
              <w:rPr>
                <w:noProof/>
                <w:position w:val="-1"/>
              </w:rPr>
              <w:drawing>
                <wp:inline distT="0" distB="0" distL="0" distR="0">
                  <wp:extent cx="167640" cy="160020"/>
                  <wp:effectExtent l="0" t="0" r="0" b="0"/>
                  <wp:docPr id="1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167640" cy="160020"/>
                          </a:xfrm>
                          <a:prstGeom prst="rect">
                            <a:avLst/>
                          </a:prstGeom>
                          <a:noFill/>
                          <a:ln>
                            <a:noFill/>
                          </a:ln>
                        </pic:spPr>
                      </pic:pic>
                    </a:graphicData>
                  </a:graphic>
                </wp:inline>
              </w:drawing>
            </w:r>
            <w:r>
              <w:t xml:space="preserve"> определяют интерполяцией.</w:t>
            </w:r>
          </w:p>
        </w:tc>
      </w:tr>
    </w:tbl>
    <w:p w:rsidR="00E35632" w:rsidRDefault="00E35632">
      <w:pPr>
        <w:pStyle w:val="ConsPlusNormal"/>
        <w:jc w:val="both"/>
      </w:pPr>
    </w:p>
    <w:p w:rsidR="00E35632" w:rsidRDefault="00E35632">
      <w:pPr>
        <w:pStyle w:val="ConsPlusNormal"/>
        <w:jc w:val="center"/>
      </w:pPr>
      <w:r>
        <w:rPr>
          <w:noProof/>
          <w:position w:val="-142"/>
        </w:rPr>
        <w:drawing>
          <wp:inline distT="0" distB="0" distL="0" distR="0">
            <wp:extent cx="5364480" cy="1944370"/>
            <wp:effectExtent l="0" t="0" r="0" b="0"/>
            <wp:docPr id="1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5364480" cy="194437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r>
        <w:rPr>
          <w:i/>
        </w:rPr>
        <w:t>а</w:t>
      </w:r>
      <w:r>
        <w:t xml:space="preserve"> - схема расположения рассчитываемого </w:t>
      </w:r>
      <w:r>
        <w:rPr>
          <w:i/>
        </w:rPr>
        <w:t>1</w:t>
      </w:r>
      <w:r>
        <w:t xml:space="preserve"> и влияющего</w:t>
      </w:r>
    </w:p>
    <w:p w:rsidR="00E35632" w:rsidRDefault="00E35632">
      <w:pPr>
        <w:pStyle w:val="ConsPlusNormal"/>
        <w:jc w:val="center"/>
      </w:pPr>
      <w:r>
        <w:t xml:space="preserve">фундамента </w:t>
      </w:r>
      <w:r>
        <w:rPr>
          <w:i/>
        </w:rPr>
        <w:t>2</w:t>
      </w:r>
      <w:r>
        <w:t xml:space="preserve">; </w:t>
      </w:r>
      <w:r>
        <w:rPr>
          <w:i/>
        </w:rPr>
        <w:t>б</w:t>
      </w:r>
      <w:r>
        <w:t xml:space="preserve"> - схема расположения фиктивных</w:t>
      </w:r>
    </w:p>
    <w:p w:rsidR="00E35632" w:rsidRDefault="00E35632">
      <w:pPr>
        <w:pStyle w:val="ConsPlusNormal"/>
        <w:jc w:val="center"/>
      </w:pPr>
      <w:r>
        <w:t>фундаментов с указанием знака напряжений </w:t>
      </w:r>
      <w:r>
        <w:rPr>
          <w:noProof/>
          <w:position w:val="-10"/>
        </w:rPr>
        <w:drawing>
          <wp:inline distT="0" distB="0" distL="0" distR="0">
            <wp:extent cx="370205" cy="267970"/>
            <wp:effectExtent l="0" t="0" r="0" b="0"/>
            <wp:docPr id="1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370205" cy="267970"/>
                    </a:xfrm>
                    <a:prstGeom prst="rect">
                      <a:avLst/>
                    </a:prstGeom>
                    <a:noFill/>
                    <a:ln>
                      <a:noFill/>
                    </a:ln>
                  </pic:spPr>
                </pic:pic>
              </a:graphicData>
            </a:graphic>
          </wp:inline>
        </w:drawing>
      </w:r>
    </w:p>
    <w:p w:rsidR="00E35632" w:rsidRDefault="00E35632">
      <w:pPr>
        <w:pStyle w:val="ConsPlusNormal"/>
        <w:jc w:val="center"/>
      </w:pPr>
      <w:r>
        <w:t xml:space="preserve">в </w:t>
      </w:r>
      <w:hyperlink w:anchor="P1367">
        <w:r>
          <w:rPr>
            <w:color w:val="0000FF"/>
          </w:rPr>
          <w:t>формуле (5.21)</w:t>
        </w:r>
      </w:hyperlink>
      <w:r>
        <w:t xml:space="preserve"> под углом </w:t>
      </w:r>
      <w:r>
        <w:rPr>
          <w:i/>
        </w:rPr>
        <w:t>j</w:t>
      </w:r>
      <w:r>
        <w:t>-го фундамента</w:t>
      </w:r>
    </w:p>
    <w:p w:rsidR="00E35632" w:rsidRDefault="00E35632">
      <w:pPr>
        <w:pStyle w:val="ConsPlusNormal"/>
        <w:jc w:val="both"/>
      </w:pPr>
    </w:p>
    <w:p w:rsidR="00E35632" w:rsidRDefault="00E35632">
      <w:pPr>
        <w:pStyle w:val="ConsPlusNormal"/>
        <w:jc w:val="center"/>
      </w:pPr>
      <w:bookmarkStart w:id="72" w:name="P1673"/>
      <w:bookmarkEnd w:id="72"/>
      <w:r>
        <w:rPr>
          <w:b/>
          <w:i/>
        </w:rPr>
        <w:t>Рисунок 5.3</w:t>
      </w:r>
      <w:r>
        <w:t xml:space="preserve"> </w:t>
      </w:r>
      <w:r>
        <w:rPr>
          <w:b/>
        </w:rPr>
        <w:t>- Схема к определению вертикальных напряжений</w:t>
      </w:r>
    </w:p>
    <w:p w:rsidR="00E35632" w:rsidRDefault="00E35632">
      <w:pPr>
        <w:pStyle w:val="ConsPlusNormal"/>
        <w:jc w:val="center"/>
      </w:pPr>
      <w:r>
        <w:rPr>
          <w:b/>
        </w:rPr>
        <w:t>в основании рассчитываемого фундамента с учетом влияния</w:t>
      </w:r>
    </w:p>
    <w:p w:rsidR="00E35632" w:rsidRDefault="00E35632">
      <w:pPr>
        <w:pStyle w:val="ConsPlusNormal"/>
        <w:jc w:val="center"/>
      </w:pPr>
      <w:r>
        <w:rPr>
          <w:b/>
        </w:rPr>
        <w:t>соседнего фундамента методом угловых точек</w:t>
      </w:r>
    </w:p>
    <w:p w:rsidR="00E35632" w:rsidRDefault="00E35632">
      <w:pPr>
        <w:pStyle w:val="ConsPlusNormal"/>
        <w:jc w:val="both"/>
      </w:pPr>
    </w:p>
    <w:p w:rsidR="00E35632" w:rsidRDefault="00E35632">
      <w:pPr>
        <w:pStyle w:val="ConsPlusNormal"/>
        <w:ind w:firstLine="540"/>
        <w:jc w:val="both"/>
      </w:pPr>
      <w:r>
        <w:t xml:space="preserve">5.6.38 Вертикальные напряжения </w:t>
      </w:r>
      <w:r>
        <w:rPr>
          <w:noProof/>
          <w:position w:val="-10"/>
        </w:rPr>
        <w:drawing>
          <wp:inline distT="0" distB="0" distL="0" distR="0">
            <wp:extent cx="402590" cy="267970"/>
            <wp:effectExtent l="0" t="0" r="0" b="0"/>
            <wp:docPr id="1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402590" cy="267970"/>
                    </a:xfrm>
                    <a:prstGeom prst="rect">
                      <a:avLst/>
                    </a:prstGeom>
                    <a:noFill/>
                    <a:ln>
                      <a:noFill/>
                    </a:ln>
                  </pic:spPr>
                </pic:pic>
              </a:graphicData>
            </a:graphic>
          </wp:inline>
        </w:drawing>
      </w:r>
      <w:r>
        <w:t xml:space="preserve">, кПа, на глубине </w:t>
      </w:r>
      <w:r>
        <w:rPr>
          <w:i/>
        </w:rPr>
        <w:t>z</w:t>
      </w:r>
      <w:r>
        <w:t xml:space="preserve"> от подошвы фундамента по вертикали, проходящей через центр рассчитываемого фундамента, с учетом влияния соседних фундаментов или нагрузок на прилегающие площади (включая вес обратной засыпки) вычисляют по формуле</w:t>
      </w:r>
    </w:p>
    <w:p w:rsidR="00E35632" w:rsidRDefault="00E35632">
      <w:pPr>
        <w:pStyle w:val="ConsPlusNormal"/>
        <w:jc w:val="both"/>
      </w:pPr>
    </w:p>
    <w:p w:rsidR="00E35632" w:rsidRDefault="00E35632">
      <w:pPr>
        <w:pStyle w:val="ConsPlusNormal"/>
        <w:jc w:val="center"/>
      </w:pPr>
      <w:bookmarkStart w:id="73" w:name="P1679"/>
      <w:bookmarkEnd w:id="73"/>
      <w:r>
        <w:rPr>
          <w:noProof/>
          <w:position w:val="-26"/>
        </w:rPr>
        <w:drawing>
          <wp:inline distT="0" distB="0" distL="0" distR="0">
            <wp:extent cx="1480820" cy="479425"/>
            <wp:effectExtent l="0" t="0" r="0" b="0"/>
            <wp:docPr id="1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1480820" cy="479425"/>
                    </a:xfrm>
                    <a:prstGeom prst="rect">
                      <a:avLst/>
                    </a:prstGeom>
                    <a:noFill/>
                    <a:ln>
                      <a:noFill/>
                    </a:ln>
                  </pic:spPr>
                </pic:pic>
              </a:graphicData>
            </a:graphic>
          </wp:inline>
        </w:drawing>
      </w:r>
      <w:r>
        <w:t xml:space="preserve"> (5.22)</w:t>
      </w:r>
    </w:p>
    <w:p w:rsidR="00E35632" w:rsidRDefault="00E35632">
      <w:pPr>
        <w:pStyle w:val="ConsPlusNormal"/>
        <w:jc w:val="both"/>
      </w:pPr>
    </w:p>
    <w:p w:rsidR="00E35632" w:rsidRDefault="00E35632">
      <w:pPr>
        <w:pStyle w:val="ConsPlusNormal"/>
        <w:ind w:firstLine="540"/>
        <w:jc w:val="both"/>
      </w:pPr>
      <w:r>
        <w:lastRenderedPageBreak/>
        <w:t xml:space="preserve">где </w:t>
      </w:r>
      <w:r>
        <w:rPr>
          <w:noProof/>
          <w:position w:val="-10"/>
        </w:rPr>
        <w:drawing>
          <wp:inline distT="0" distB="0" distL="0" distR="0">
            <wp:extent cx="251460" cy="267970"/>
            <wp:effectExtent l="0" t="0" r="0" b="0"/>
            <wp:docPr id="1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r>
        <w:t xml:space="preserve"> - то же, что и в </w:t>
      </w:r>
      <w:hyperlink w:anchor="P1341">
        <w:r>
          <w:rPr>
            <w:color w:val="0000FF"/>
          </w:rPr>
          <w:t>формуле (5.17)</w:t>
        </w:r>
      </w:hyperlink>
      <w:r>
        <w:t>, кПа;</w:t>
      </w:r>
    </w:p>
    <w:p w:rsidR="00E35632" w:rsidRDefault="00E35632">
      <w:pPr>
        <w:pStyle w:val="ConsPlusNormal"/>
        <w:spacing w:before="220"/>
        <w:ind w:firstLine="540"/>
        <w:jc w:val="both"/>
      </w:pPr>
      <w:r>
        <w:rPr>
          <w:noProof/>
          <w:position w:val="-10"/>
        </w:rPr>
        <w:drawing>
          <wp:inline distT="0" distB="0" distL="0" distR="0">
            <wp:extent cx="359410" cy="267970"/>
            <wp:effectExtent l="0" t="0" r="0" b="0"/>
            <wp:docPr id="1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359410" cy="267970"/>
                    </a:xfrm>
                    <a:prstGeom prst="rect">
                      <a:avLst/>
                    </a:prstGeom>
                    <a:noFill/>
                    <a:ln>
                      <a:noFill/>
                    </a:ln>
                  </pic:spPr>
                </pic:pic>
              </a:graphicData>
            </a:graphic>
          </wp:inline>
        </w:drawing>
      </w:r>
      <w:r>
        <w:t xml:space="preserve"> - вертикальные напряжения от соседнего фундамента или нагрузок;</w:t>
      </w:r>
    </w:p>
    <w:p w:rsidR="00E35632" w:rsidRDefault="00E35632">
      <w:pPr>
        <w:pStyle w:val="ConsPlusNormal"/>
        <w:spacing w:before="220"/>
        <w:ind w:firstLine="540"/>
        <w:jc w:val="both"/>
      </w:pPr>
      <w:r>
        <w:rPr>
          <w:i/>
        </w:rPr>
        <w:t>k</w:t>
      </w:r>
      <w:r>
        <w:t xml:space="preserve"> - число влияющих фундаментов или нагрузок.</w:t>
      </w:r>
    </w:p>
    <w:p w:rsidR="00E35632" w:rsidRDefault="00E35632">
      <w:pPr>
        <w:pStyle w:val="ConsPlusNormal"/>
        <w:spacing w:before="220"/>
        <w:ind w:firstLine="540"/>
        <w:jc w:val="both"/>
      </w:pPr>
      <w:r>
        <w:t xml:space="preserve">5.6.39 При сплошной равномерно распределенной нагрузке на поверхности земли интенсивностью </w:t>
      </w:r>
      <w:r>
        <w:rPr>
          <w:i/>
        </w:rPr>
        <w:t>q</w:t>
      </w:r>
      <w:r>
        <w:t xml:space="preserve">, кПа (например, от веса планировочной насыпи), значение </w:t>
      </w:r>
      <w:r>
        <w:rPr>
          <w:noProof/>
          <w:position w:val="-10"/>
        </w:rPr>
        <w:drawing>
          <wp:inline distT="0" distB="0" distL="0" distR="0">
            <wp:extent cx="402590" cy="267970"/>
            <wp:effectExtent l="0" t="0" r="0" b="0"/>
            <wp:docPr id="1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1" cstate="print">
                      <a:extLst>
                        <a:ext uri="{28A0092B-C50C-407E-A947-70E740481C1C}">
                          <a14:useLocalDpi xmlns:a14="http://schemas.microsoft.com/office/drawing/2010/main" val="0"/>
                        </a:ext>
                      </a:extLst>
                    </a:blip>
                    <a:srcRect/>
                    <a:stretch>
                      <a:fillRect/>
                    </a:stretch>
                  </pic:blipFill>
                  <pic:spPr bwMode="auto">
                    <a:xfrm>
                      <a:off x="0" y="0"/>
                      <a:ext cx="402590" cy="267970"/>
                    </a:xfrm>
                    <a:prstGeom prst="rect">
                      <a:avLst/>
                    </a:prstGeom>
                    <a:noFill/>
                    <a:ln>
                      <a:noFill/>
                    </a:ln>
                  </pic:spPr>
                </pic:pic>
              </a:graphicData>
            </a:graphic>
          </wp:inline>
        </w:drawing>
      </w:r>
      <w:r>
        <w:t xml:space="preserve"> по </w:t>
      </w:r>
      <w:hyperlink w:anchor="P1679">
        <w:r>
          <w:rPr>
            <w:color w:val="0000FF"/>
          </w:rPr>
          <w:t>формуле (5.22)</w:t>
        </w:r>
      </w:hyperlink>
      <w:r>
        <w:t xml:space="preserve"> для любой глубины </w:t>
      </w:r>
      <w:r>
        <w:rPr>
          <w:i/>
        </w:rPr>
        <w:t>z</w:t>
      </w:r>
      <w:r>
        <w:t xml:space="preserve"> вычисляют по формуле </w:t>
      </w:r>
      <w:r>
        <w:rPr>
          <w:noProof/>
          <w:position w:val="-10"/>
        </w:rPr>
        <w:drawing>
          <wp:inline distT="0" distB="0" distL="0" distR="0">
            <wp:extent cx="1019810" cy="267970"/>
            <wp:effectExtent l="0" t="0" r="0" b="0"/>
            <wp:docPr id="1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019810" cy="267970"/>
                    </a:xfrm>
                    <a:prstGeom prst="rect">
                      <a:avLst/>
                    </a:prstGeom>
                    <a:noFill/>
                    <a:ln>
                      <a:noFill/>
                    </a:ln>
                  </pic:spPr>
                </pic:pic>
              </a:graphicData>
            </a:graphic>
          </wp:inline>
        </w:drawing>
      </w:r>
      <w:r>
        <w:t>.</w:t>
      </w:r>
    </w:p>
    <w:p w:rsidR="00E35632" w:rsidRDefault="00E35632">
      <w:pPr>
        <w:pStyle w:val="ConsPlusNormal"/>
        <w:spacing w:before="220"/>
        <w:ind w:firstLine="540"/>
        <w:jc w:val="both"/>
      </w:pPr>
      <w:bookmarkStart w:id="74" w:name="P1685"/>
      <w:bookmarkEnd w:id="74"/>
      <w:r>
        <w:t xml:space="preserve">5.6.40 Вертикальное эффективное напряжение от собственного веса грунта до начала строительства </w:t>
      </w:r>
      <w:r>
        <w:rPr>
          <w:noProof/>
          <w:position w:val="-10"/>
        </w:rPr>
        <w:drawing>
          <wp:inline distT="0" distB="0" distL="0" distR="0">
            <wp:extent cx="251460" cy="273685"/>
            <wp:effectExtent l="0" t="0" r="0" b="0"/>
            <wp:docPr id="1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251460" cy="273685"/>
                    </a:xfrm>
                    <a:prstGeom prst="rect">
                      <a:avLst/>
                    </a:prstGeom>
                    <a:noFill/>
                    <a:ln>
                      <a:noFill/>
                    </a:ln>
                  </pic:spPr>
                </pic:pic>
              </a:graphicData>
            </a:graphic>
          </wp:inline>
        </w:drawing>
      </w:r>
      <w:r>
        <w:t xml:space="preserve">, кПа, в точке основания на глубине </w:t>
      </w:r>
      <w:r>
        <w:rPr>
          <w:i/>
        </w:rPr>
        <w:t>z</w:t>
      </w:r>
      <w:r>
        <w:t xml:space="preserve"> от поверхности определяется по формуле</w:t>
      </w:r>
    </w:p>
    <w:p w:rsidR="00E35632" w:rsidRDefault="00E35632">
      <w:pPr>
        <w:pStyle w:val="ConsPlusNormal"/>
        <w:jc w:val="both"/>
      </w:pPr>
    </w:p>
    <w:p w:rsidR="00E35632" w:rsidRDefault="00E35632">
      <w:pPr>
        <w:pStyle w:val="ConsPlusNormal"/>
        <w:jc w:val="center"/>
      </w:pPr>
      <w:r>
        <w:rPr>
          <w:noProof/>
          <w:position w:val="-13"/>
        </w:rPr>
        <w:drawing>
          <wp:inline distT="0" distB="0" distL="0" distR="0">
            <wp:extent cx="1492250" cy="315595"/>
            <wp:effectExtent l="0" t="0" r="0" b="0"/>
            <wp:docPr id="1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1492250" cy="315595"/>
                    </a:xfrm>
                    <a:prstGeom prst="rect">
                      <a:avLst/>
                    </a:prstGeom>
                    <a:noFill/>
                    <a:ln>
                      <a:noFill/>
                    </a:ln>
                  </pic:spPr>
                </pic:pic>
              </a:graphicData>
            </a:graphic>
          </wp:inline>
        </w:drawing>
      </w:r>
      <w:r>
        <w:t xml:space="preserve"> (5.23)</w:t>
      </w:r>
    </w:p>
    <w:p w:rsidR="00E35632" w:rsidRDefault="00E35632">
      <w:pPr>
        <w:pStyle w:val="ConsPlusNormal"/>
        <w:jc w:val="both"/>
      </w:pPr>
    </w:p>
    <w:p w:rsidR="00E35632" w:rsidRDefault="00E35632">
      <w:pPr>
        <w:pStyle w:val="ConsPlusNormal"/>
        <w:ind w:firstLine="540"/>
        <w:jc w:val="both"/>
      </w:pPr>
      <w:r>
        <w:t xml:space="preserve">где </w:t>
      </w:r>
      <w:r>
        <w:rPr>
          <w:i/>
        </w:rPr>
        <w:t>n</w:t>
      </w:r>
      <w:r>
        <w:t xml:space="preserve"> - номер слоя грунта, в котором расположена рассматриваемая точка;</w:t>
      </w:r>
    </w:p>
    <w:p w:rsidR="00E35632" w:rsidRDefault="00E35632">
      <w:pPr>
        <w:pStyle w:val="ConsPlusNormal"/>
        <w:spacing w:before="220"/>
        <w:ind w:firstLine="540"/>
        <w:jc w:val="both"/>
      </w:pPr>
      <w:r>
        <w:rPr>
          <w:noProof/>
          <w:position w:val="-8"/>
        </w:rPr>
        <w:drawing>
          <wp:inline distT="0" distB="0" distL="0" distR="0">
            <wp:extent cx="167640" cy="251460"/>
            <wp:effectExtent l="0" t="0" r="0" b="0"/>
            <wp:docPr id="1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и </w:t>
      </w:r>
      <w:r>
        <w:rPr>
          <w:i/>
        </w:rPr>
        <w:t>h</w:t>
      </w:r>
      <w:r>
        <w:rPr>
          <w:i/>
          <w:vertAlign w:val="subscript"/>
        </w:rPr>
        <w:t>i</w:t>
      </w:r>
      <w:r>
        <w:t xml:space="preserve"> - удельный вес, кН/м</w:t>
      </w:r>
      <w:r>
        <w:rPr>
          <w:vertAlign w:val="superscript"/>
        </w:rPr>
        <w:t>3</w:t>
      </w:r>
      <w:r>
        <w:t xml:space="preserve">, и толщина </w:t>
      </w:r>
      <w:r>
        <w:rPr>
          <w:i/>
        </w:rPr>
        <w:t>i</w:t>
      </w:r>
      <w:r>
        <w:t>-го слоя грунта, м, соответственно над рассматриваемой точкой;</w:t>
      </w:r>
    </w:p>
    <w:p w:rsidR="00E35632" w:rsidRDefault="00E35632">
      <w:pPr>
        <w:pStyle w:val="ConsPlusNormal"/>
        <w:spacing w:before="220"/>
        <w:ind w:firstLine="540"/>
        <w:jc w:val="both"/>
      </w:pPr>
      <w:r>
        <w:rPr>
          <w:i/>
        </w:rPr>
        <w:t>u</w:t>
      </w:r>
      <w:r>
        <w:t>(</w:t>
      </w:r>
      <w:r>
        <w:rPr>
          <w:i/>
        </w:rPr>
        <w:t>z</w:t>
      </w:r>
      <w:r>
        <w:t xml:space="preserve">) - природное поровое давление в рассматриваемой точке до начала строительства на глубине </w:t>
      </w:r>
      <w:r>
        <w:rPr>
          <w:i/>
        </w:rPr>
        <w:t>z</w:t>
      </w:r>
      <w:r>
        <w:t>, м от поверхности, кПа.</w:t>
      </w:r>
    </w:p>
    <w:p w:rsidR="00E35632" w:rsidRDefault="00E35632">
      <w:pPr>
        <w:pStyle w:val="ConsPlusNormal"/>
        <w:spacing w:before="220"/>
        <w:ind w:firstLine="540"/>
        <w:jc w:val="both"/>
      </w:pPr>
      <w:r>
        <w:t>Примечание - Природное поровое давление определяют по результатам полевых измерений и/или методом интерполяции.</w:t>
      </w:r>
    </w:p>
    <w:p w:rsidR="00E35632" w:rsidRDefault="00E35632">
      <w:pPr>
        <w:pStyle w:val="ConsPlusNormal"/>
        <w:jc w:val="both"/>
      </w:pPr>
      <w:r>
        <w:t xml:space="preserve">(п. 5.6.40 в ред. </w:t>
      </w:r>
      <w:hyperlink r:id="rId409">
        <w:r>
          <w:rPr>
            <w:color w:val="0000FF"/>
          </w:rPr>
          <w:t>Изменения N 4</w:t>
        </w:r>
      </w:hyperlink>
      <w:r>
        <w:t>, утв. Приказом Минстроя России от 27.12.2021 N 1022/пр)</w:t>
      </w:r>
    </w:p>
    <w:p w:rsidR="00E35632" w:rsidRDefault="00E35632">
      <w:pPr>
        <w:pStyle w:val="ConsPlusNormal"/>
        <w:ind w:firstLine="540"/>
        <w:jc w:val="both"/>
      </w:pPr>
    </w:p>
    <w:p w:rsidR="00E35632" w:rsidRDefault="00E35632">
      <w:pPr>
        <w:pStyle w:val="ConsPlusNormal"/>
        <w:ind w:firstLine="540"/>
        <w:jc w:val="both"/>
      </w:pPr>
      <w:bookmarkStart w:id="75" w:name="P1695"/>
      <w:bookmarkEnd w:id="75"/>
      <w:r>
        <w:t xml:space="preserve">5.6.41 Нижнюю границу сжимаемой толщи основания принимают на глубине </w:t>
      </w:r>
      <w:r>
        <w:rPr>
          <w:i/>
        </w:rPr>
        <w:t>z</w:t>
      </w:r>
      <w:r>
        <w:t xml:space="preserve"> = </w:t>
      </w:r>
      <w:r>
        <w:rPr>
          <w:i/>
        </w:rPr>
        <w:t>H</w:t>
      </w:r>
      <w:r>
        <w:rPr>
          <w:i/>
          <w:vertAlign w:val="subscript"/>
        </w:rPr>
        <w:t>c</w:t>
      </w:r>
      <w:r>
        <w:rPr>
          <w:i/>
        </w:rPr>
        <w:t>,</w:t>
      </w:r>
      <w:r>
        <w:t xml:space="preserve"> где выполняется условие </w:t>
      </w:r>
      <w:r>
        <w:rPr>
          <w:noProof/>
          <w:position w:val="-10"/>
        </w:rPr>
        <w:drawing>
          <wp:inline distT="0" distB="0" distL="0" distR="0">
            <wp:extent cx="869950" cy="267335"/>
            <wp:effectExtent l="0" t="0" r="0" b="0"/>
            <wp:docPr id="1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869950" cy="267335"/>
                    </a:xfrm>
                    <a:prstGeom prst="rect">
                      <a:avLst/>
                    </a:prstGeom>
                    <a:noFill/>
                    <a:ln>
                      <a:noFill/>
                    </a:ln>
                  </pic:spPr>
                </pic:pic>
              </a:graphicData>
            </a:graphic>
          </wp:inline>
        </w:drawing>
      </w:r>
      <w:r>
        <w:t xml:space="preserve">. При этом глубина сжимаемой толщи должна быть не меньше </w:t>
      </w:r>
      <w:r>
        <w:rPr>
          <w:i/>
        </w:rPr>
        <w:t>H</w:t>
      </w:r>
      <w:r>
        <w:rPr>
          <w:vertAlign w:val="subscript"/>
        </w:rPr>
        <w:t>min</w:t>
      </w:r>
      <w:r>
        <w:t xml:space="preserve">, равной </w:t>
      </w:r>
      <w:r>
        <w:rPr>
          <w:i/>
        </w:rPr>
        <w:t>b</w:t>
      </w:r>
      <w:r>
        <w:t xml:space="preserve">/2 при </w:t>
      </w:r>
      <w:r>
        <w:rPr>
          <w:i/>
        </w:rPr>
        <w:t>b</w:t>
      </w:r>
      <w:r>
        <w:t xml:space="preserve"> &lt;= 10 м, (4 + 0,1</w:t>
      </w:r>
      <w:r>
        <w:rPr>
          <w:i/>
        </w:rPr>
        <w:t>b</w:t>
      </w:r>
      <w:r>
        <w:t xml:space="preserve">) при 10 &lt; </w:t>
      </w:r>
      <w:r>
        <w:rPr>
          <w:i/>
        </w:rPr>
        <w:t>b</w:t>
      </w:r>
      <w:r>
        <w:t xml:space="preserve"> &lt;= 60 м и 10 м при </w:t>
      </w:r>
      <w:r>
        <w:rPr>
          <w:i/>
        </w:rPr>
        <w:t>b</w:t>
      </w:r>
      <w:r>
        <w:t xml:space="preserve"> &gt; 60 м.</w:t>
      </w:r>
    </w:p>
    <w:p w:rsidR="00E35632" w:rsidRDefault="00E35632">
      <w:pPr>
        <w:pStyle w:val="ConsPlusNormal"/>
        <w:spacing w:before="220"/>
        <w:ind w:firstLine="540"/>
        <w:jc w:val="both"/>
      </w:pPr>
      <w:r>
        <w:t xml:space="preserve">Если в пределах глубины </w:t>
      </w:r>
      <w:r>
        <w:rPr>
          <w:i/>
        </w:rPr>
        <w:t>H</w:t>
      </w:r>
      <w:r>
        <w:rPr>
          <w:i/>
          <w:vertAlign w:val="subscript"/>
        </w:rPr>
        <w:t>c</w:t>
      </w:r>
      <w:r>
        <w:rPr>
          <w:i/>
        </w:rPr>
        <w:t>,</w:t>
      </w:r>
      <w:r>
        <w:t xml:space="preserve"> найденной по указанным выше условиям, залегает слой грунта с модулем деформации </w:t>
      </w:r>
      <w:r>
        <w:rPr>
          <w:i/>
        </w:rPr>
        <w:t>E</w:t>
      </w:r>
      <w:r>
        <w:t xml:space="preserve"> &gt; 100 МПа, сжимаемую толщу допускается принимать до кровли грунта при его толщине </w:t>
      </w:r>
      <w:r>
        <w:rPr>
          <w:i/>
        </w:rPr>
        <w:t>h</w:t>
      </w:r>
      <w:r>
        <w:t xml:space="preserve"> в пределах габаритов здания или сооружения</w:t>
      </w:r>
    </w:p>
    <w:p w:rsidR="00E35632" w:rsidRDefault="00E35632">
      <w:pPr>
        <w:pStyle w:val="ConsPlusNormal"/>
        <w:jc w:val="both"/>
      </w:pPr>
    </w:p>
    <w:p w:rsidR="00E35632" w:rsidRDefault="00E35632">
      <w:pPr>
        <w:pStyle w:val="ConsPlusNormal"/>
        <w:jc w:val="center"/>
      </w:pPr>
      <w:r>
        <w:rPr>
          <w:noProof/>
          <w:position w:val="-15"/>
        </w:rPr>
        <w:drawing>
          <wp:inline distT="0" distB="0" distL="0" distR="0">
            <wp:extent cx="1466850" cy="335280"/>
            <wp:effectExtent l="0" t="0" r="0" b="0"/>
            <wp:docPr id="1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1466850" cy="335280"/>
                    </a:xfrm>
                    <a:prstGeom prst="rect">
                      <a:avLst/>
                    </a:prstGeom>
                    <a:noFill/>
                    <a:ln>
                      <a:noFill/>
                    </a:ln>
                  </pic:spPr>
                </pic:pic>
              </a:graphicData>
            </a:graphic>
          </wp:inline>
        </w:drawing>
      </w:r>
      <w:r>
        <w:t xml:space="preserve"> (5.23а)</w:t>
      </w:r>
    </w:p>
    <w:p w:rsidR="00E35632" w:rsidRDefault="00E35632">
      <w:pPr>
        <w:pStyle w:val="ConsPlusNormal"/>
        <w:jc w:val="both"/>
      </w:pPr>
    </w:p>
    <w:p w:rsidR="00E35632" w:rsidRDefault="00E35632">
      <w:pPr>
        <w:pStyle w:val="ConsPlusNormal"/>
        <w:ind w:firstLine="540"/>
        <w:jc w:val="both"/>
      </w:pPr>
      <w:r>
        <w:t xml:space="preserve">где </w:t>
      </w:r>
      <w:r>
        <w:rPr>
          <w:i/>
        </w:rPr>
        <w:t>E</w:t>
      </w:r>
      <w:r>
        <w:rPr>
          <w:vertAlign w:val="subscript"/>
        </w:rPr>
        <w:t>2</w:t>
      </w:r>
      <w:r>
        <w:t xml:space="preserve"> </w:t>
      </w:r>
      <w:r>
        <w:rPr>
          <w:i/>
        </w:rPr>
        <w:t>-</w:t>
      </w:r>
      <w:r>
        <w:t xml:space="preserve"> модуль деформации грунта, подстилающего слой грунта с модулем деформации </w:t>
      </w:r>
      <w:r>
        <w:rPr>
          <w:i/>
        </w:rPr>
        <w:t>E</w:t>
      </w:r>
      <w:r>
        <w:rPr>
          <w:vertAlign w:val="subscript"/>
        </w:rPr>
        <w:t>1</w:t>
      </w:r>
      <w:r>
        <w:rPr>
          <w:i/>
        </w:rPr>
        <w:t>.</w:t>
      </w:r>
    </w:p>
    <w:p w:rsidR="00E35632" w:rsidRDefault="00E35632">
      <w:pPr>
        <w:pStyle w:val="ConsPlusNormal"/>
        <w:spacing w:before="220"/>
        <w:ind w:firstLine="540"/>
        <w:jc w:val="both"/>
      </w:pPr>
      <w:r>
        <w:t xml:space="preserve">Если найденная по указанным выше условиям нижняя граница сжимаемой толщи находится в слое грунта с модулем деформации </w:t>
      </w:r>
      <w:r>
        <w:rPr>
          <w:i/>
        </w:rPr>
        <w:t>E</w:t>
      </w:r>
      <w:r>
        <w:t xml:space="preserve"> &lt;= 7 МПа или такой слой залегает непосредственно ниже глубины </w:t>
      </w:r>
      <w:r>
        <w:rPr>
          <w:i/>
        </w:rPr>
        <w:t>z</w:t>
      </w:r>
      <w:r>
        <w:t xml:space="preserve"> = </w:t>
      </w:r>
      <w:r>
        <w:rPr>
          <w:i/>
        </w:rPr>
        <w:t>H</w:t>
      </w:r>
      <w:r>
        <w:rPr>
          <w:i/>
          <w:vertAlign w:val="subscript"/>
        </w:rPr>
        <w:t>c</w:t>
      </w:r>
      <w:r>
        <w:rPr>
          <w:i/>
        </w:rPr>
        <w:t>,</w:t>
      </w:r>
      <w:r>
        <w:t xml:space="preserve"> то этот слой включают в сжимаемую толщу, а за </w:t>
      </w:r>
      <w:r>
        <w:rPr>
          <w:i/>
        </w:rPr>
        <w:t>H</w:t>
      </w:r>
      <w:r>
        <w:rPr>
          <w:i/>
          <w:vertAlign w:val="subscript"/>
        </w:rPr>
        <w:t>c</w:t>
      </w:r>
      <w:r>
        <w:t xml:space="preserve"> принимают минимальное из значений, соответствующих подошве слоя или глубине, где выполняется условие </w:t>
      </w:r>
      <w:r>
        <w:rPr>
          <w:noProof/>
          <w:position w:val="-10"/>
        </w:rPr>
        <w:drawing>
          <wp:inline distT="0" distB="0" distL="0" distR="0">
            <wp:extent cx="869950" cy="267335"/>
            <wp:effectExtent l="0" t="0" r="0" b="0"/>
            <wp:docPr id="1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869950" cy="267335"/>
                    </a:xfrm>
                    <a:prstGeom prst="rect">
                      <a:avLst/>
                    </a:prstGeom>
                    <a:noFill/>
                    <a:ln>
                      <a:noFill/>
                    </a:ln>
                  </pic:spPr>
                </pic:pic>
              </a:graphicData>
            </a:graphic>
          </wp:inline>
        </w:drawing>
      </w:r>
      <w:r>
        <w:t>.</w:t>
      </w:r>
    </w:p>
    <w:p w:rsidR="00E35632" w:rsidRDefault="00E35632">
      <w:pPr>
        <w:pStyle w:val="ConsPlusNormal"/>
        <w:jc w:val="both"/>
      </w:pPr>
      <w:r>
        <w:t xml:space="preserve">(п. 5.6.41 в ред. </w:t>
      </w:r>
      <w:hyperlink r:id="rId413">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 xml:space="preserve">5.6.42 При возведении нового объекта или реконструкции на застроенной территории, в том числе подземных сооружений, возводимых закрытым способом, дополнительные деформации оснований сооружений окружающей застройки от воздействия нового (реконструируемого) сооружения необходимо определять в соответствии с требованиями </w:t>
      </w:r>
      <w:hyperlink w:anchor="P4751">
        <w:r>
          <w:rPr>
            <w:color w:val="0000FF"/>
          </w:rPr>
          <w:t>9.33</w:t>
        </w:r>
      </w:hyperlink>
      <w:r>
        <w:t>.</w:t>
      </w:r>
    </w:p>
    <w:p w:rsidR="00E35632" w:rsidRDefault="00E35632">
      <w:pPr>
        <w:pStyle w:val="ConsPlusNormal"/>
        <w:jc w:val="both"/>
      </w:pPr>
      <w:r>
        <w:lastRenderedPageBreak/>
        <w:t xml:space="preserve">(в ред. </w:t>
      </w:r>
      <w:hyperlink r:id="rId414">
        <w:r>
          <w:rPr>
            <w:color w:val="0000FF"/>
          </w:rPr>
          <w:t>Изменения N 4</w:t>
        </w:r>
      </w:hyperlink>
      <w:r>
        <w:t>, утв. Приказом Минстроя России от 27.12.2021 N 1022/пр)</w:t>
      </w:r>
    </w:p>
    <w:p w:rsidR="00E35632" w:rsidRDefault="00E35632">
      <w:pPr>
        <w:pStyle w:val="ConsPlusNormal"/>
        <w:ind w:firstLine="540"/>
        <w:jc w:val="both"/>
      </w:pPr>
    </w:p>
    <w:p w:rsidR="00E35632" w:rsidRDefault="00E35632">
      <w:pPr>
        <w:pStyle w:val="ConsPlusNormal"/>
        <w:ind w:firstLine="540"/>
        <w:jc w:val="both"/>
      </w:pPr>
      <w:r>
        <w:rPr>
          <w:i/>
        </w:rPr>
        <w:t>Определение крена фундамента</w:t>
      </w:r>
    </w:p>
    <w:p w:rsidR="00E35632" w:rsidRDefault="00E35632">
      <w:pPr>
        <w:pStyle w:val="ConsPlusNormal"/>
        <w:jc w:val="both"/>
      </w:pPr>
    </w:p>
    <w:p w:rsidR="00E35632" w:rsidRDefault="00E35632">
      <w:pPr>
        <w:pStyle w:val="ConsPlusNormal"/>
        <w:ind w:firstLine="540"/>
        <w:jc w:val="both"/>
      </w:pPr>
      <w:r>
        <w:t>5.6.43 Крен отдельных фундаментов или сооружений в целом следует вычислять с учетом момента в уровне подошвы фундамента, влияния соседних фундаментов, нагрузок на прилегающие площади и неравномерности сжимаемости основания.</w:t>
      </w:r>
    </w:p>
    <w:p w:rsidR="00E35632" w:rsidRDefault="00E35632">
      <w:pPr>
        <w:pStyle w:val="ConsPlusNormal"/>
        <w:spacing w:before="220"/>
        <w:ind w:firstLine="540"/>
        <w:jc w:val="both"/>
      </w:pPr>
      <w:r>
        <w:t>При определении кренов фундаментов, кроме того необходимо учитывать заглубление фундамента, жесткость надфундаментной конструкции, а также возможность увеличения эксцентриситета нагрузки из-за наклона фундамента (сооружения).</w:t>
      </w:r>
    </w:p>
    <w:p w:rsidR="00E35632" w:rsidRDefault="00E35632">
      <w:pPr>
        <w:pStyle w:val="ConsPlusNormal"/>
        <w:spacing w:before="220"/>
        <w:ind w:firstLine="540"/>
        <w:jc w:val="both"/>
      </w:pPr>
      <w:bookmarkStart w:id="76" w:name="P1710"/>
      <w:bookmarkEnd w:id="76"/>
      <w:r>
        <w:t xml:space="preserve">5.6.44 Крен фундамента </w:t>
      </w:r>
      <w:r>
        <w:rPr>
          <w:i/>
        </w:rPr>
        <w:t>i</w:t>
      </w:r>
      <w:r>
        <w:t xml:space="preserve"> при действии внецентренной нагрузки вычисляют по формуле</w:t>
      </w:r>
    </w:p>
    <w:p w:rsidR="00E35632" w:rsidRDefault="00E35632">
      <w:pPr>
        <w:pStyle w:val="ConsPlusNormal"/>
        <w:jc w:val="both"/>
      </w:pPr>
    </w:p>
    <w:p w:rsidR="00E35632" w:rsidRDefault="00E35632">
      <w:pPr>
        <w:pStyle w:val="ConsPlusNormal"/>
        <w:jc w:val="center"/>
      </w:pPr>
      <w:r>
        <w:rPr>
          <w:noProof/>
          <w:position w:val="-25"/>
        </w:rPr>
        <w:drawing>
          <wp:inline distT="0" distB="0" distL="0" distR="0">
            <wp:extent cx="1089660" cy="461010"/>
            <wp:effectExtent l="0" t="0" r="0" b="0"/>
            <wp:docPr id="1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1089660" cy="461010"/>
                    </a:xfrm>
                    <a:prstGeom prst="rect">
                      <a:avLst/>
                    </a:prstGeom>
                    <a:noFill/>
                    <a:ln>
                      <a:noFill/>
                    </a:ln>
                  </pic:spPr>
                </pic:pic>
              </a:graphicData>
            </a:graphic>
          </wp:inline>
        </w:drawing>
      </w:r>
      <w:r>
        <w:t xml:space="preserve"> (5.24)</w:t>
      </w:r>
    </w:p>
    <w:p w:rsidR="00E35632" w:rsidRDefault="00E35632">
      <w:pPr>
        <w:pStyle w:val="ConsPlusNormal"/>
        <w:jc w:val="both"/>
      </w:pPr>
    </w:p>
    <w:p w:rsidR="00E35632" w:rsidRDefault="00E35632">
      <w:pPr>
        <w:pStyle w:val="ConsPlusNormal"/>
        <w:ind w:firstLine="540"/>
        <w:jc w:val="both"/>
      </w:pPr>
      <w:r>
        <w:t>где</w:t>
      </w:r>
    </w:p>
    <w:p w:rsidR="00E35632" w:rsidRDefault="00E35632">
      <w:pPr>
        <w:pStyle w:val="ConsPlusNormal"/>
        <w:jc w:val="both"/>
      </w:pPr>
    </w:p>
    <w:p w:rsidR="00E35632" w:rsidRDefault="00E35632">
      <w:pPr>
        <w:pStyle w:val="ConsPlusNormal"/>
        <w:jc w:val="center"/>
      </w:pPr>
      <w:r>
        <w:rPr>
          <w:noProof/>
          <w:position w:val="-25"/>
        </w:rPr>
        <w:drawing>
          <wp:inline distT="0" distB="0" distL="0" distR="0">
            <wp:extent cx="796290" cy="461010"/>
            <wp:effectExtent l="0" t="0" r="0" b="0"/>
            <wp:docPr id="1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796290" cy="461010"/>
                    </a:xfrm>
                    <a:prstGeom prst="rect">
                      <a:avLst/>
                    </a:prstGeom>
                    <a:noFill/>
                    <a:ln>
                      <a:noFill/>
                    </a:ln>
                  </pic:spPr>
                </pic:pic>
              </a:graphicData>
            </a:graphic>
          </wp:inline>
        </w:drawing>
      </w:r>
      <w:r>
        <w:t xml:space="preserve"> (5.25)</w:t>
      </w:r>
    </w:p>
    <w:p w:rsidR="00E35632" w:rsidRDefault="00E35632">
      <w:pPr>
        <w:pStyle w:val="ConsPlusNormal"/>
        <w:jc w:val="both"/>
      </w:pPr>
    </w:p>
    <w:p w:rsidR="00E35632" w:rsidRDefault="00E35632">
      <w:pPr>
        <w:pStyle w:val="ConsPlusNormal"/>
        <w:ind w:firstLine="540"/>
        <w:jc w:val="both"/>
      </w:pPr>
      <w:r>
        <w:rPr>
          <w:i/>
        </w:rPr>
        <w:t>k</w:t>
      </w:r>
      <w:r>
        <w:rPr>
          <w:i/>
          <w:vertAlign w:val="subscript"/>
        </w:rPr>
        <w:t>e</w:t>
      </w:r>
      <w:r>
        <w:t xml:space="preserve"> - коэффициент, принимаемый по </w:t>
      </w:r>
      <w:hyperlink w:anchor="P1725">
        <w:r>
          <w:rPr>
            <w:color w:val="0000FF"/>
          </w:rPr>
          <w:t>таблице 5.9</w:t>
        </w:r>
      </w:hyperlink>
      <w:r>
        <w:t>;</w:t>
      </w:r>
    </w:p>
    <w:p w:rsidR="00E35632" w:rsidRDefault="00E35632">
      <w:pPr>
        <w:pStyle w:val="ConsPlusNormal"/>
        <w:spacing w:before="220"/>
        <w:ind w:firstLine="540"/>
        <w:jc w:val="both"/>
      </w:pPr>
      <w:r>
        <w:rPr>
          <w:i/>
        </w:rPr>
        <w:t>E</w:t>
      </w:r>
      <w:r>
        <w:t xml:space="preserve"> и </w:t>
      </w:r>
      <w:r>
        <w:rPr>
          <w:noProof/>
          <w:position w:val="-1"/>
        </w:rPr>
        <w:drawing>
          <wp:inline distT="0" distB="0" distL="0" distR="0">
            <wp:extent cx="142240" cy="160020"/>
            <wp:effectExtent l="0" t="0" r="0" b="0"/>
            <wp:docPr id="1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r>
        <w:t xml:space="preserve"> - соответственно модуль деформации, кПа, и коэффициент поперечной деформации грунта основания (значение </w:t>
      </w:r>
      <w:r>
        <w:rPr>
          <w:noProof/>
          <w:position w:val="-1"/>
        </w:rPr>
        <w:drawing>
          <wp:inline distT="0" distB="0" distL="0" distR="0">
            <wp:extent cx="142240" cy="160020"/>
            <wp:effectExtent l="0" t="0" r="0" b="0"/>
            <wp:docPr id="1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r>
        <w:t xml:space="preserve"> принимают для сооружений геотехнической категории 3 по результатам трехосных испытаний, геотехнических категорий 1 и 2 - по </w:t>
      </w:r>
      <w:hyperlink w:anchor="P1755">
        <w:r>
          <w:rPr>
            <w:color w:val="0000FF"/>
          </w:rPr>
          <w:t>таблице 5.10</w:t>
        </w:r>
      </w:hyperlink>
      <w:r>
        <w:t xml:space="preserve">); в случае неоднородного основания значение </w:t>
      </w:r>
      <w:r>
        <w:rPr>
          <w:i/>
        </w:rPr>
        <w:t>D</w:t>
      </w:r>
      <w:r>
        <w:t xml:space="preserve"> принимают средним в пределах сжимаемой толщи в соответствии с требованиями </w:t>
      </w:r>
      <w:hyperlink w:anchor="P1775">
        <w:r>
          <w:rPr>
            <w:color w:val="0000FF"/>
          </w:rPr>
          <w:t>5.6.45</w:t>
        </w:r>
      </w:hyperlink>
      <w:r>
        <w:t>;</w:t>
      </w:r>
    </w:p>
    <w:p w:rsidR="00E35632" w:rsidRDefault="00E35632">
      <w:pPr>
        <w:pStyle w:val="ConsPlusNormal"/>
        <w:spacing w:before="220"/>
        <w:ind w:firstLine="540"/>
        <w:jc w:val="both"/>
      </w:pPr>
      <w:r>
        <w:rPr>
          <w:i/>
        </w:rPr>
        <w:t>N</w:t>
      </w:r>
      <w:r>
        <w:t xml:space="preserve"> - вертикальная составляющая равнодействующей всех нагрузок на фундамент в уровне его подошвы, кН;</w:t>
      </w:r>
    </w:p>
    <w:p w:rsidR="00E35632" w:rsidRDefault="00E35632">
      <w:pPr>
        <w:pStyle w:val="ConsPlusNormal"/>
        <w:spacing w:before="220"/>
        <w:ind w:firstLine="540"/>
        <w:jc w:val="both"/>
      </w:pPr>
      <w:r>
        <w:rPr>
          <w:i/>
        </w:rPr>
        <w:t>e</w:t>
      </w:r>
      <w:r>
        <w:t xml:space="preserve"> - эксцентриситет, м;</w:t>
      </w:r>
    </w:p>
    <w:p w:rsidR="00E35632" w:rsidRDefault="00E35632">
      <w:pPr>
        <w:pStyle w:val="ConsPlusNormal"/>
        <w:spacing w:before="220"/>
        <w:ind w:firstLine="540"/>
        <w:jc w:val="both"/>
      </w:pPr>
      <w:r>
        <w:rPr>
          <w:i/>
        </w:rPr>
        <w:t>a</w:t>
      </w:r>
      <w:r>
        <w:t xml:space="preserve"> - диаметр круглого или сторона прямоугольного фундамента, м, в направлении которой действует момент; для фундамента с подошвой в форме правильного многоугольника площадью </w:t>
      </w:r>
      <w:r>
        <w:rPr>
          <w:i/>
        </w:rPr>
        <w:t>A</w:t>
      </w:r>
      <w:r>
        <w:t xml:space="preserve"> принимают </w:t>
      </w:r>
      <w:r>
        <w:rPr>
          <w:noProof/>
          <w:position w:val="-8"/>
        </w:rPr>
        <w:drawing>
          <wp:inline distT="0" distB="0" distL="0" distR="0">
            <wp:extent cx="838200" cy="251460"/>
            <wp:effectExtent l="0" t="0" r="0" b="0"/>
            <wp:docPr id="1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838200" cy="251460"/>
                    </a:xfrm>
                    <a:prstGeom prst="rect">
                      <a:avLst/>
                    </a:prstGeom>
                    <a:noFill/>
                    <a:ln>
                      <a:noFill/>
                    </a:ln>
                  </pic:spPr>
                </pic:pic>
              </a:graphicData>
            </a:graphic>
          </wp:inline>
        </w:drawing>
      </w:r>
      <w:r>
        <w:t>.</w:t>
      </w:r>
    </w:p>
    <w:p w:rsidR="00E35632" w:rsidRDefault="00E35632">
      <w:pPr>
        <w:pStyle w:val="ConsPlusNormal"/>
        <w:spacing w:before="220"/>
        <w:ind w:firstLine="540"/>
        <w:jc w:val="both"/>
      </w:pPr>
      <w:r>
        <w:t>Примечание - Крен фундамента, возникающий в результате неравномерности сжимаемости основания, следует определять численными методами.</w:t>
      </w:r>
    </w:p>
    <w:p w:rsidR="00E35632" w:rsidRDefault="00E35632">
      <w:pPr>
        <w:pStyle w:val="ConsPlusNormal"/>
        <w:jc w:val="both"/>
      </w:pPr>
    </w:p>
    <w:p w:rsidR="00E35632" w:rsidRDefault="00E35632">
      <w:pPr>
        <w:pStyle w:val="ConsPlusNormal"/>
        <w:jc w:val="right"/>
      </w:pPr>
      <w:bookmarkStart w:id="77" w:name="P1725"/>
      <w:bookmarkEnd w:id="77"/>
      <w:r>
        <w:t>Таблица 5.9</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380"/>
        <w:gridCol w:w="662"/>
        <w:gridCol w:w="662"/>
        <w:gridCol w:w="658"/>
        <w:gridCol w:w="667"/>
        <w:gridCol w:w="648"/>
        <w:gridCol w:w="648"/>
        <w:gridCol w:w="682"/>
      </w:tblGrid>
      <w:tr w:rsidR="00E35632">
        <w:tc>
          <w:tcPr>
            <w:tcW w:w="4380" w:type="dxa"/>
            <w:vMerge w:val="restart"/>
            <w:vAlign w:val="center"/>
          </w:tcPr>
          <w:p w:rsidR="00E35632" w:rsidRDefault="00E35632">
            <w:pPr>
              <w:pStyle w:val="ConsPlusNormal"/>
              <w:jc w:val="center"/>
            </w:pPr>
            <w:r>
              <w:t>Форма фундамента и направление действия момента</w:t>
            </w:r>
          </w:p>
        </w:tc>
        <w:tc>
          <w:tcPr>
            <w:tcW w:w="4627" w:type="dxa"/>
            <w:gridSpan w:val="7"/>
            <w:vAlign w:val="center"/>
          </w:tcPr>
          <w:p w:rsidR="00E35632" w:rsidRDefault="00E35632">
            <w:pPr>
              <w:pStyle w:val="ConsPlusNormal"/>
              <w:jc w:val="center"/>
            </w:pPr>
            <w:r>
              <w:t xml:space="preserve">Коэффициент </w:t>
            </w:r>
            <w:r>
              <w:rPr>
                <w:i/>
              </w:rPr>
              <w:t>k</w:t>
            </w:r>
            <w:r>
              <w:rPr>
                <w:i/>
                <w:vertAlign w:val="subscript"/>
              </w:rPr>
              <w:t>e</w:t>
            </w:r>
            <w:r>
              <w:t xml:space="preserve"> при </w:t>
            </w:r>
            <w:r>
              <w:rPr>
                <w:noProof/>
                <w:position w:val="-6"/>
              </w:rPr>
              <w:drawing>
                <wp:inline distT="0" distB="0" distL="0" distR="0">
                  <wp:extent cx="544830" cy="226060"/>
                  <wp:effectExtent l="0" t="0" r="0" b="0"/>
                  <wp:docPr id="1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544830" cy="226060"/>
                          </a:xfrm>
                          <a:prstGeom prst="rect">
                            <a:avLst/>
                          </a:prstGeom>
                          <a:noFill/>
                          <a:ln>
                            <a:noFill/>
                          </a:ln>
                        </pic:spPr>
                      </pic:pic>
                    </a:graphicData>
                  </a:graphic>
                </wp:inline>
              </w:drawing>
            </w:r>
            <w:r>
              <w:t>, равном</w:t>
            </w:r>
          </w:p>
        </w:tc>
      </w:tr>
      <w:tr w:rsidR="00E35632">
        <w:tc>
          <w:tcPr>
            <w:tcW w:w="4380" w:type="dxa"/>
            <w:vMerge/>
          </w:tcPr>
          <w:p w:rsidR="00E35632" w:rsidRDefault="00E35632">
            <w:pPr>
              <w:pStyle w:val="ConsPlusNormal"/>
            </w:pPr>
          </w:p>
        </w:tc>
        <w:tc>
          <w:tcPr>
            <w:tcW w:w="662" w:type="dxa"/>
            <w:vAlign w:val="center"/>
          </w:tcPr>
          <w:p w:rsidR="00E35632" w:rsidRDefault="00E35632">
            <w:pPr>
              <w:pStyle w:val="ConsPlusNormal"/>
              <w:jc w:val="center"/>
            </w:pPr>
            <w:r>
              <w:t>1</w:t>
            </w:r>
          </w:p>
        </w:tc>
        <w:tc>
          <w:tcPr>
            <w:tcW w:w="662" w:type="dxa"/>
            <w:vAlign w:val="center"/>
          </w:tcPr>
          <w:p w:rsidR="00E35632" w:rsidRDefault="00E35632">
            <w:pPr>
              <w:pStyle w:val="ConsPlusNormal"/>
              <w:jc w:val="center"/>
            </w:pPr>
            <w:r>
              <w:t>1,2</w:t>
            </w:r>
          </w:p>
        </w:tc>
        <w:tc>
          <w:tcPr>
            <w:tcW w:w="658" w:type="dxa"/>
            <w:vAlign w:val="center"/>
          </w:tcPr>
          <w:p w:rsidR="00E35632" w:rsidRDefault="00E35632">
            <w:pPr>
              <w:pStyle w:val="ConsPlusNormal"/>
              <w:jc w:val="center"/>
            </w:pPr>
            <w:r>
              <w:t>1,5</w:t>
            </w:r>
          </w:p>
        </w:tc>
        <w:tc>
          <w:tcPr>
            <w:tcW w:w="667" w:type="dxa"/>
            <w:vAlign w:val="center"/>
          </w:tcPr>
          <w:p w:rsidR="00E35632" w:rsidRDefault="00E35632">
            <w:pPr>
              <w:pStyle w:val="ConsPlusNormal"/>
              <w:jc w:val="center"/>
            </w:pPr>
            <w:r>
              <w:t>2</w:t>
            </w:r>
          </w:p>
        </w:tc>
        <w:tc>
          <w:tcPr>
            <w:tcW w:w="648" w:type="dxa"/>
            <w:vAlign w:val="center"/>
          </w:tcPr>
          <w:p w:rsidR="00E35632" w:rsidRDefault="00E35632">
            <w:pPr>
              <w:pStyle w:val="ConsPlusNormal"/>
              <w:jc w:val="center"/>
            </w:pPr>
            <w:r>
              <w:t>3</w:t>
            </w:r>
          </w:p>
        </w:tc>
        <w:tc>
          <w:tcPr>
            <w:tcW w:w="648" w:type="dxa"/>
            <w:vAlign w:val="center"/>
          </w:tcPr>
          <w:p w:rsidR="00E35632" w:rsidRDefault="00E35632">
            <w:pPr>
              <w:pStyle w:val="ConsPlusNormal"/>
              <w:jc w:val="center"/>
            </w:pPr>
            <w:r>
              <w:t>5</w:t>
            </w:r>
          </w:p>
        </w:tc>
        <w:tc>
          <w:tcPr>
            <w:tcW w:w="682" w:type="dxa"/>
            <w:vAlign w:val="center"/>
          </w:tcPr>
          <w:p w:rsidR="00E35632" w:rsidRDefault="00E35632">
            <w:pPr>
              <w:pStyle w:val="ConsPlusNormal"/>
              <w:jc w:val="center"/>
            </w:pPr>
            <w:r>
              <w:t>10</w:t>
            </w:r>
          </w:p>
        </w:tc>
      </w:tr>
      <w:tr w:rsidR="00E35632">
        <w:tc>
          <w:tcPr>
            <w:tcW w:w="4380" w:type="dxa"/>
          </w:tcPr>
          <w:p w:rsidR="00E35632" w:rsidRDefault="00E35632">
            <w:pPr>
              <w:pStyle w:val="ConsPlusNormal"/>
            </w:pPr>
            <w:r>
              <w:t>Прямоугольный с моментом вдоль большей стороны</w:t>
            </w:r>
          </w:p>
        </w:tc>
        <w:tc>
          <w:tcPr>
            <w:tcW w:w="662" w:type="dxa"/>
          </w:tcPr>
          <w:p w:rsidR="00E35632" w:rsidRDefault="00E35632">
            <w:pPr>
              <w:pStyle w:val="ConsPlusNormal"/>
              <w:jc w:val="center"/>
            </w:pPr>
            <w:r>
              <w:t>0,50</w:t>
            </w:r>
          </w:p>
        </w:tc>
        <w:tc>
          <w:tcPr>
            <w:tcW w:w="662" w:type="dxa"/>
          </w:tcPr>
          <w:p w:rsidR="00E35632" w:rsidRDefault="00E35632">
            <w:pPr>
              <w:pStyle w:val="ConsPlusNormal"/>
              <w:jc w:val="center"/>
            </w:pPr>
            <w:r>
              <w:t>0,57</w:t>
            </w:r>
          </w:p>
        </w:tc>
        <w:tc>
          <w:tcPr>
            <w:tcW w:w="658" w:type="dxa"/>
          </w:tcPr>
          <w:p w:rsidR="00E35632" w:rsidRDefault="00E35632">
            <w:pPr>
              <w:pStyle w:val="ConsPlusNormal"/>
              <w:jc w:val="center"/>
            </w:pPr>
            <w:r>
              <w:t>0,68</w:t>
            </w:r>
          </w:p>
        </w:tc>
        <w:tc>
          <w:tcPr>
            <w:tcW w:w="667" w:type="dxa"/>
          </w:tcPr>
          <w:p w:rsidR="00E35632" w:rsidRDefault="00E35632">
            <w:pPr>
              <w:pStyle w:val="ConsPlusNormal"/>
              <w:jc w:val="center"/>
            </w:pPr>
            <w:r>
              <w:t>0,82</w:t>
            </w:r>
          </w:p>
        </w:tc>
        <w:tc>
          <w:tcPr>
            <w:tcW w:w="648" w:type="dxa"/>
          </w:tcPr>
          <w:p w:rsidR="00E35632" w:rsidRDefault="00E35632">
            <w:pPr>
              <w:pStyle w:val="ConsPlusNormal"/>
              <w:jc w:val="center"/>
            </w:pPr>
            <w:r>
              <w:t>1,17</w:t>
            </w:r>
          </w:p>
        </w:tc>
        <w:tc>
          <w:tcPr>
            <w:tcW w:w="648" w:type="dxa"/>
          </w:tcPr>
          <w:p w:rsidR="00E35632" w:rsidRDefault="00E35632">
            <w:pPr>
              <w:pStyle w:val="ConsPlusNormal"/>
              <w:jc w:val="center"/>
            </w:pPr>
            <w:r>
              <w:t>1,42</w:t>
            </w:r>
          </w:p>
        </w:tc>
        <w:tc>
          <w:tcPr>
            <w:tcW w:w="682" w:type="dxa"/>
          </w:tcPr>
          <w:p w:rsidR="00E35632" w:rsidRDefault="00E35632">
            <w:pPr>
              <w:pStyle w:val="ConsPlusNormal"/>
              <w:jc w:val="center"/>
            </w:pPr>
            <w:r>
              <w:t>2,00</w:t>
            </w:r>
          </w:p>
        </w:tc>
      </w:tr>
      <w:tr w:rsidR="00E35632">
        <w:tc>
          <w:tcPr>
            <w:tcW w:w="4380" w:type="dxa"/>
          </w:tcPr>
          <w:p w:rsidR="00E35632" w:rsidRDefault="00E35632">
            <w:pPr>
              <w:pStyle w:val="ConsPlusNormal"/>
            </w:pPr>
            <w:r>
              <w:t xml:space="preserve">Прямоугольный с моментом вдоль меньшей </w:t>
            </w:r>
            <w:r>
              <w:lastRenderedPageBreak/>
              <w:t>стороны</w:t>
            </w:r>
          </w:p>
        </w:tc>
        <w:tc>
          <w:tcPr>
            <w:tcW w:w="662" w:type="dxa"/>
          </w:tcPr>
          <w:p w:rsidR="00E35632" w:rsidRDefault="00E35632">
            <w:pPr>
              <w:pStyle w:val="ConsPlusNormal"/>
              <w:jc w:val="center"/>
            </w:pPr>
            <w:r>
              <w:lastRenderedPageBreak/>
              <w:t>0,50</w:t>
            </w:r>
          </w:p>
        </w:tc>
        <w:tc>
          <w:tcPr>
            <w:tcW w:w="662" w:type="dxa"/>
          </w:tcPr>
          <w:p w:rsidR="00E35632" w:rsidRDefault="00E35632">
            <w:pPr>
              <w:pStyle w:val="ConsPlusNormal"/>
              <w:jc w:val="center"/>
            </w:pPr>
            <w:r>
              <w:t>0,43</w:t>
            </w:r>
          </w:p>
        </w:tc>
        <w:tc>
          <w:tcPr>
            <w:tcW w:w="658" w:type="dxa"/>
          </w:tcPr>
          <w:p w:rsidR="00E35632" w:rsidRDefault="00E35632">
            <w:pPr>
              <w:pStyle w:val="ConsPlusNormal"/>
              <w:jc w:val="center"/>
            </w:pPr>
            <w:r>
              <w:t>0,36</w:t>
            </w:r>
          </w:p>
        </w:tc>
        <w:tc>
          <w:tcPr>
            <w:tcW w:w="667" w:type="dxa"/>
          </w:tcPr>
          <w:p w:rsidR="00E35632" w:rsidRDefault="00E35632">
            <w:pPr>
              <w:pStyle w:val="ConsPlusNormal"/>
              <w:jc w:val="center"/>
            </w:pPr>
            <w:r>
              <w:t>0,28</w:t>
            </w:r>
          </w:p>
        </w:tc>
        <w:tc>
          <w:tcPr>
            <w:tcW w:w="648" w:type="dxa"/>
          </w:tcPr>
          <w:p w:rsidR="00E35632" w:rsidRDefault="00E35632">
            <w:pPr>
              <w:pStyle w:val="ConsPlusNormal"/>
              <w:jc w:val="center"/>
            </w:pPr>
            <w:r>
              <w:t>0,20</w:t>
            </w:r>
          </w:p>
        </w:tc>
        <w:tc>
          <w:tcPr>
            <w:tcW w:w="648" w:type="dxa"/>
          </w:tcPr>
          <w:p w:rsidR="00E35632" w:rsidRDefault="00E35632">
            <w:pPr>
              <w:pStyle w:val="ConsPlusNormal"/>
              <w:jc w:val="center"/>
            </w:pPr>
            <w:r>
              <w:t>0,12</w:t>
            </w:r>
          </w:p>
        </w:tc>
        <w:tc>
          <w:tcPr>
            <w:tcW w:w="682" w:type="dxa"/>
          </w:tcPr>
          <w:p w:rsidR="00E35632" w:rsidRDefault="00E35632">
            <w:pPr>
              <w:pStyle w:val="ConsPlusNormal"/>
              <w:jc w:val="center"/>
            </w:pPr>
            <w:r>
              <w:t>0,07</w:t>
            </w:r>
          </w:p>
        </w:tc>
      </w:tr>
      <w:tr w:rsidR="00E35632">
        <w:tc>
          <w:tcPr>
            <w:tcW w:w="4380" w:type="dxa"/>
          </w:tcPr>
          <w:p w:rsidR="00E35632" w:rsidRDefault="00E35632">
            <w:pPr>
              <w:pStyle w:val="ConsPlusNormal"/>
            </w:pPr>
            <w:r>
              <w:lastRenderedPageBreak/>
              <w:t>Круглый</w:t>
            </w:r>
          </w:p>
        </w:tc>
        <w:tc>
          <w:tcPr>
            <w:tcW w:w="4627" w:type="dxa"/>
            <w:gridSpan w:val="7"/>
          </w:tcPr>
          <w:p w:rsidR="00E35632" w:rsidRDefault="00E35632">
            <w:pPr>
              <w:pStyle w:val="ConsPlusNormal"/>
              <w:jc w:val="center"/>
            </w:pPr>
            <w:r>
              <w:t>0,75</w:t>
            </w:r>
          </w:p>
        </w:tc>
      </w:tr>
    </w:tbl>
    <w:p w:rsidR="00E35632" w:rsidRDefault="00E35632">
      <w:pPr>
        <w:pStyle w:val="ConsPlusNormal"/>
        <w:jc w:val="both"/>
      </w:pPr>
    </w:p>
    <w:p w:rsidR="00E35632" w:rsidRDefault="00E35632">
      <w:pPr>
        <w:pStyle w:val="ConsPlusNormal"/>
        <w:jc w:val="right"/>
      </w:pPr>
      <w:bookmarkStart w:id="78" w:name="P1755"/>
      <w:bookmarkEnd w:id="78"/>
      <w:r>
        <w:t>Таблица 5.10</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380"/>
        <w:gridCol w:w="4680"/>
      </w:tblGrid>
      <w:tr w:rsidR="00E35632">
        <w:tc>
          <w:tcPr>
            <w:tcW w:w="4380" w:type="dxa"/>
            <w:vAlign w:val="center"/>
          </w:tcPr>
          <w:p w:rsidR="00E35632" w:rsidRDefault="00E35632">
            <w:pPr>
              <w:pStyle w:val="ConsPlusNormal"/>
              <w:jc w:val="center"/>
            </w:pPr>
            <w:r>
              <w:t>Грунты</w:t>
            </w:r>
          </w:p>
        </w:tc>
        <w:tc>
          <w:tcPr>
            <w:tcW w:w="4680" w:type="dxa"/>
            <w:vAlign w:val="center"/>
          </w:tcPr>
          <w:p w:rsidR="00E35632" w:rsidRDefault="00E35632">
            <w:pPr>
              <w:pStyle w:val="ConsPlusNormal"/>
              <w:jc w:val="center"/>
            </w:pPr>
            <w:r>
              <w:t>Коэффициент поперечной деформации </w:t>
            </w:r>
            <w:r>
              <w:rPr>
                <w:noProof/>
                <w:position w:val="-1"/>
              </w:rPr>
              <w:drawing>
                <wp:inline distT="0" distB="0" distL="0" distR="0">
                  <wp:extent cx="142240" cy="160020"/>
                  <wp:effectExtent l="0" t="0" r="0" b="0"/>
                  <wp:docPr id="1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r>
      <w:tr w:rsidR="00E35632">
        <w:tc>
          <w:tcPr>
            <w:tcW w:w="4380" w:type="dxa"/>
          </w:tcPr>
          <w:p w:rsidR="00E35632" w:rsidRDefault="00E35632">
            <w:pPr>
              <w:pStyle w:val="ConsPlusNormal"/>
            </w:pPr>
            <w:r>
              <w:t>Крупнообломочные грунты</w:t>
            </w:r>
          </w:p>
        </w:tc>
        <w:tc>
          <w:tcPr>
            <w:tcW w:w="4680" w:type="dxa"/>
          </w:tcPr>
          <w:p w:rsidR="00E35632" w:rsidRDefault="00E35632">
            <w:pPr>
              <w:pStyle w:val="ConsPlusNormal"/>
              <w:jc w:val="center"/>
            </w:pPr>
            <w:r>
              <w:t>0,27</w:t>
            </w:r>
          </w:p>
        </w:tc>
      </w:tr>
      <w:tr w:rsidR="00E35632">
        <w:tc>
          <w:tcPr>
            <w:tcW w:w="4380" w:type="dxa"/>
          </w:tcPr>
          <w:p w:rsidR="00E35632" w:rsidRDefault="00E35632">
            <w:pPr>
              <w:pStyle w:val="ConsPlusNormal"/>
            </w:pPr>
            <w:r>
              <w:t>Пески и супеси</w:t>
            </w:r>
          </w:p>
        </w:tc>
        <w:tc>
          <w:tcPr>
            <w:tcW w:w="4680" w:type="dxa"/>
          </w:tcPr>
          <w:p w:rsidR="00E35632" w:rsidRDefault="00E35632">
            <w:pPr>
              <w:pStyle w:val="ConsPlusNormal"/>
              <w:jc w:val="center"/>
            </w:pPr>
            <w:r>
              <w:t>0,30 - 0,35</w:t>
            </w:r>
          </w:p>
        </w:tc>
      </w:tr>
      <w:tr w:rsidR="00E35632">
        <w:tc>
          <w:tcPr>
            <w:tcW w:w="4380" w:type="dxa"/>
          </w:tcPr>
          <w:p w:rsidR="00E35632" w:rsidRDefault="00E35632">
            <w:pPr>
              <w:pStyle w:val="ConsPlusNormal"/>
            </w:pPr>
            <w:r>
              <w:t>Суглинки</w:t>
            </w:r>
          </w:p>
        </w:tc>
        <w:tc>
          <w:tcPr>
            <w:tcW w:w="4680" w:type="dxa"/>
          </w:tcPr>
          <w:p w:rsidR="00E35632" w:rsidRDefault="00E35632">
            <w:pPr>
              <w:pStyle w:val="ConsPlusNormal"/>
              <w:jc w:val="center"/>
            </w:pPr>
            <w:r>
              <w:t>0,35 - 0,37</w:t>
            </w:r>
          </w:p>
        </w:tc>
      </w:tr>
      <w:tr w:rsidR="00E35632">
        <w:tblPrEx>
          <w:tblBorders>
            <w:insideH w:val="nil"/>
          </w:tblBorders>
        </w:tblPrEx>
        <w:tc>
          <w:tcPr>
            <w:tcW w:w="4380" w:type="dxa"/>
            <w:tcBorders>
              <w:bottom w:val="nil"/>
            </w:tcBorders>
          </w:tcPr>
          <w:p w:rsidR="00E35632" w:rsidRDefault="00E35632">
            <w:pPr>
              <w:pStyle w:val="ConsPlusNormal"/>
            </w:pPr>
            <w:r>
              <w:t xml:space="preserve">Глины при показателе текучести </w:t>
            </w:r>
            <w:r>
              <w:rPr>
                <w:i/>
              </w:rPr>
              <w:t>I</w:t>
            </w:r>
            <w:r>
              <w:rPr>
                <w:i/>
                <w:vertAlign w:val="subscript"/>
              </w:rPr>
              <w:t>L</w:t>
            </w:r>
            <w:r>
              <w:t>:</w:t>
            </w:r>
          </w:p>
        </w:tc>
        <w:tc>
          <w:tcPr>
            <w:tcW w:w="4680" w:type="dxa"/>
            <w:tcBorders>
              <w:bottom w:val="nil"/>
            </w:tcBorders>
          </w:tcPr>
          <w:p w:rsidR="00E35632" w:rsidRDefault="00E35632">
            <w:pPr>
              <w:pStyle w:val="ConsPlusNormal"/>
            </w:pPr>
          </w:p>
        </w:tc>
      </w:tr>
      <w:tr w:rsidR="00E35632">
        <w:tblPrEx>
          <w:tblBorders>
            <w:insideH w:val="nil"/>
          </w:tblBorders>
        </w:tblPrEx>
        <w:tc>
          <w:tcPr>
            <w:tcW w:w="4380" w:type="dxa"/>
            <w:tcBorders>
              <w:top w:val="nil"/>
              <w:bottom w:val="nil"/>
            </w:tcBorders>
          </w:tcPr>
          <w:p w:rsidR="00E35632" w:rsidRDefault="00E35632">
            <w:pPr>
              <w:pStyle w:val="ConsPlusNormal"/>
            </w:pPr>
            <w:r>
              <w:rPr>
                <w:i/>
              </w:rPr>
              <w:t>I</w:t>
            </w:r>
            <w:r>
              <w:rPr>
                <w:i/>
                <w:vertAlign w:val="subscript"/>
              </w:rPr>
              <w:t>L</w:t>
            </w:r>
            <w:r>
              <w:t xml:space="preserve"> &lt;= 0</w:t>
            </w:r>
          </w:p>
        </w:tc>
        <w:tc>
          <w:tcPr>
            <w:tcW w:w="4680" w:type="dxa"/>
            <w:tcBorders>
              <w:top w:val="nil"/>
              <w:bottom w:val="nil"/>
            </w:tcBorders>
          </w:tcPr>
          <w:p w:rsidR="00E35632" w:rsidRDefault="00E35632">
            <w:pPr>
              <w:pStyle w:val="ConsPlusNormal"/>
              <w:jc w:val="center"/>
            </w:pPr>
            <w:r>
              <w:t>0,20 - 0,30</w:t>
            </w:r>
          </w:p>
        </w:tc>
      </w:tr>
      <w:tr w:rsidR="00E35632">
        <w:tblPrEx>
          <w:tblBorders>
            <w:insideH w:val="nil"/>
          </w:tblBorders>
        </w:tblPrEx>
        <w:tc>
          <w:tcPr>
            <w:tcW w:w="4380" w:type="dxa"/>
            <w:tcBorders>
              <w:top w:val="nil"/>
              <w:bottom w:val="nil"/>
            </w:tcBorders>
          </w:tcPr>
          <w:p w:rsidR="00E35632" w:rsidRDefault="00E35632">
            <w:pPr>
              <w:pStyle w:val="ConsPlusNormal"/>
            </w:pPr>
            <w:r>
              <w:t xml:space="preserve">0 &lt; </w:t>
            </w:r>
            <w:r>
              <w:rPr>
                <w:i/>
              </w:rPr>
              <w:t>I</w:t>
            </w:r>
            <w:r>
              <w:rPr>
                <w:i/>
                <w:vertAlign w:val="subscript"/>
              </w:rPr>
              <w:t>L</w:t>
            </w:r>
            <w:r>
              <w:t xml:space="preserve"> &lt;= 0,25</w:t>
            </w:r>
          </w:p>
        </w:tc>
        <w:tc>
          <w:tcPr>
            <w:tcW w:w="4680" w:type="dxa"/>
            <w:tcBorders>
              <w:top w:val="nil"/>
              <w:bottom w:val="nil"/>
            </w:tcBorders>
          </w:tcPr>
          <w:p w:rsidR="00E35632" w:rsidRDefault="00E35632">
            <w:pPr>
              <w:pStyle w:val="ConsPlusNormal"/>
              <w:jc w:val="center"/>
            </w:pPr>
            <w:r>
              <w:t>0,30 - 0,38</w:t>
            </w:r>
          </w:p>
        </w:tc>
      </w:tr>
      <w:tr w:rsidR="00E35632">
        <w:tblPrEx>
          <w:tblBorders>
            <w:insideH w:val="nil"/>
          </w:tblBorders>
        </w:tblPrEx>
        <w:tc>
          <w:tcPr>
            <w:tcW w:w="4380" w:type="dxa"/>
            <w:tcBorders>
              <w:top w:val="nil"/>
            </w:tcBorders>
          </w:tcPr>
          <w:p w:rsidR="00E35632" w:rsidRDefault="00E35632">
            <w:pPr>
              <w:pStyle w:val="ConsPlusNormal"/>
            </w:pPr>
            <w:r>
              <w:t xml:space="preserve">0,25 &lt; </w:t>
            </w:r>
            <w:r>
              <w:rPr>
                <w:i/>
              </w:rPr>
              <w:t>I</w:t>
            </w:r>
            <w:r>
              <w:rPr>
                <w:i/>
                <w:vertAlign w:val="subscript"/>
              </w:rPr>
              <w:t>L</w:t>
            </w:r>
            <w:r>
              <w:t xml:space="preserve"> &lt;= 1</w:t>
            </w:r>
          </w:p>
        </w:tc>
        <w:tc>
          <w:tcPr>
            <w:tcW w:w="4680" w:type="dxa"/>
            <w:tcBorders>
              <w:top w:val="nil"/>
            </w:tcBorders>
          </w:tcPr>
          <w:p w:rsidR="00E35632" w:rsidRDefault="00E35632">
            <w:pPr>
              <w:pStyle w:val="ConsPlusNormal"/>
              <w:jc w:val="center"/>
            </w:pPr>
            <w:r>
              <w:t>0,38 - 0,45</w:t>
            </w:r>
          </w:p>
        </w:tc>
      </w:tr>
      <w:tr w:rsidR="00E35632">
        <w:tc>
          <w:tcPr>
            <w:tcW w:w="9060" w:type="dxa"/>
            <w:gridSpan w:val="2"/>
          </w:tcPr>
          <w:p w:rsidR="00E35632" w:rsidRDefault="00E35632">
            <w:pPr>
              <w:pStyle w:val="ConsPlusNormal"/>
              <w:ind w:firstLine="283"/>
            </w:pPr>
            <w:r>
              <w:t xml:space="preserve">Примечание - Меньшие значения </w:t>
            </w:r>
            <w:r>
              <w:rPr>
                <w:noProof/>
                <w:position w:val="-1"/>
              </w:rPr>
              <w:drawing>
                <wp:inline distT="0" distB="0" distL="0" distR="0">
                  <wp:extent cx="142240" cy="160020"/>
                  <wp:effectExtent l="0" t="0" r="0" b="0"/>
                  <wp:docPr id="1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r>
              <w:t xml:space="preserve"> применяют при большей плотности грунта.</w:t>
            </w:r>
          </w:p>
        </w:tc>
      </w:tr>
    </w:tbl>
    <w:p w:rsidR="00E35632" w:rsidRDefault="00E35632">
      <w:pPr>
        <w:pStyle w:val="ConsPlusNormal"/>
        <w:jc w:val="both"/>
      </w:pPr>
    </w:p>
    <w:p w:rsidR="00E35632" w:rsidRDefault="00E35632">
      <w:pPr>
        <w:pStyle w:val="ConsPlusNormal"/>
        <w:ind w:firstLine="540"/>
        <w:jc w:val="both"/>
      </w:pPr>
      <w:bookmarkStart w:id="79" w:name="P1775"/>
      <w:bookmarkEnd w:id="79"/>
      <w:r>
        <w:t xml:space="preserve">5.6.45 Средние (в пределах сжимаемой толщи </w:t>
      </w:r>
      <w:r>
        <w:rPr>
          <w:i/>
        </w:rPr>
        <w:t>H</w:t>
      </w:r>
      <w:r>
        <w:rPr>
          <w:i/>
          <w:vertAlign w:val="subscript"/>
        </w:rPr>
        <w:t>c</w:t>
      </w:r>
      <w:r>
        <w:t xml:space="preserve">) значения </w:t>
      </w:r>
      <w:r>
        <w:rPr>
          <w:i/>
        </w:rPr>
        <w:t>D</w:t>
      </w:r>
      <w:r>
        <w:t>, кПа</w:t>
      </w:r>
      <w:r>
        <w:rPr>
          <w:vertAlign w:val="superscript"/>
        </w:rPr>
        <w:t>-1</w:t>
      </w:r>
      <w:r>
        <w:t>, вычисляют по формуле</w:t>
      </w:r>
    </w:p>
    <w:p w:rsidR="00E35632" w:rsidRDefault="00E35632">
      <w:pPr>
        <w:pStyle w:val="ConsPlusNormal"/>
        <w:jc w:val="both"/>
      </w:pPr>
    </w:p>
    <w:p w:rsidR="00E35632" w:rsidRDefault="00E35632">
      <w:pPr>
        <w:pStyle w:val="ConsPlusNormal"/>
        <w:jc w:val="center"/>
      </w:pPr>
      <w:r>
        <w:rPr>
          <w:noProof/>
          <w:position w:val="-30"/>
        </w:rPr>
        <w:drawing>
          <wp:inline distT="0" distB="0" distL="0" distR="0">
            <wp:extent cx="1760220" cy="525780"/>
            <wp:effectExtent l="0" t="0" r="0" b="0"/>
            <wp:docPr id="1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1760220" cy="525780"/>
                    </a:xfrm>
                    <a:prstGeom prst="rect">
                      <a:avLst/>
                    </a:prstGeom>
                    <a:noFill/>
                    <a:ln>
                      <a:noFill/>
                    </a:ln>
                  </pic:spPr>
                </pic:pic>
              </a:graphicData>
            </a:graphic>
          </wp:inline>
        </w:drawing>
      </w:r>
      <w:r>
        <w:t xml:space="preserve"> (5.26)</w:t>
      </w:r>
    </w:p>
    <w:p w:rsidR="00E35632" w:rsidRDefault="00E35632">
      <w:pPr>
        <w:pStyle w:val="ConsPlusNormal"/>
        <w:jc w:val="both"/>
      </w:pPr>
    </w:p>
    <w:p w:rsidR="00E35632" w:rsidRDefault="00E35632">
      <w:pPr>
        <w:pStyle w:val="ConsPlusNormal"/>
        <w:ind w:firstLine="540"/>
        <w:jc w:val="both"/>
      </w:pPr>
      <w:r>
        <w:t xml:space="preserve">где </w:t>
      </w:r>
      <w:r>
        <w:rPr>
          <w:i/>
        </w:rPr>
        <w:t>A</w:t>
      </w:r>
      <w:r>
        <w:rPr>
          <w:i/>
          <w:vertAlign w:val="subscript"/>
        </w:rPr>
        <w:t>i</w:t>
      </w:r>
      <w:r>
        <w:t xml:space="preserve"> - площадь эпюры вертикальных напряжений от единичного давления под подошвой фундамента в пределах </w:t>
      </w:r>
      <w:r>
        <w:rPr>
          <w:i/>
        </w:rPr>
        <w:t>i</w:t>
      </w:r>
      <w:r>
        <w:t xml:space="preserve">-го слоя грунта. Допускается принимать </w:t>
      </w:r>
      <w:r>
        <w:rPr>
          <w:noProof/>
          <w:position w:val="-10"/>
        </w:rPr>
        <w:drawing>
          <wp:inline distT="0" distB="0" distL="0" distR="0">
            <wp:extent cx="740410" cy="267970"/>
            <wp:effectExtent l="0" t="0" r="0" b="0"/>
            <wp:docPr id="1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740410" cy="267970"/>
                    </a:xfrm>
                    <a:prstGeom prst="rect">
                      <a:avLst/>
                    </a:prstGeom>
                    <a:noFill/>
                    <a:ln>
                      <a:noFill/>
                    </a:ln>
                  </pic:spPr>
                </pic:pic>
              </a:graphicData>
            </a:graphic>
          </wp:inline>
        </w:drawing>
      </w:r>
      <w:r>
        <w:t xml:space="preserve"> (см. </w:t>
      </w:r>
      <w:hyperlink w:anchor="P1298">
        <w:r>
          <w:rPr>
            <w:color w:val="0000FF"/>
          </w:rPr>
          <w:t>5.6.31</w:t>
        </w:r>
      </w:hyperlink>
      <w:r>
        <w:t>);</w:t>
      </w:r>
    </w:p>
    <w:p w:rsidR="00E35632" w:rsidRDefault="00E35632">
      <w:pPr>
        <w:pStyle w:val="ConsPlusNormal"/>
        <w:spacing w:before="220"/>
        <w:ind w:firstLine="540"/>
        <w:jc w:val="both"/>
      </w:pPr>
      <w:r>
        <w:rPr>
          <w:i/>
        </w:rPr>
        <w:t>E</w:t>
      </w:r>
      <w:r>
        <w:rPr>
          <w:i/>
          <w:vertAlign w:val="subscript"/>
        </w:rPr>
        <w:t>i</w:t>
      </w:r>
      <w:r>
        <w:t xml:space="preserve">, </w:t>
      </w:r>
      <w:r>
        <w:rPr>
          <w:noProof/>
          <w:position w:val="-8"/>
        </w:rPr>
        <w:drawing>
          <wp:inline distT="0" distB="0" distL="0" distR="0">
            <wp:extent cx="167640" cy="251460"/>
            <wp:effectExtent l="0" t="0" r="0" b="0"/>
            <wp:docPr id="1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w:t>
      </w:r>
      <w:r>
        <w:rPr>
          <w:i/>
        </w:rPr>
        <w:t>h</w:t>
      </w:r>
      <w:r>
        <w:rPr>
          <w:i/>
          <w:vertAlign w:val="subscript"/>
        </w:rPr>
        <w:t>i</w:t>
      </w:r>
      <w:r>
        <w:t xml:space="preserve"> - соответственно модуль деформации, кПа, коэффициент поперечной деформации и толщина </w:t>
      </w:r>
      <w:r>
        <w:rPr>
          <w:i/>
        </w:rPr>
        <w:t>i</w:t>
      </w:r>
      <w:r>
        <w:t>-го слоя грунта, м;</w:t>
      </w:r>
    </w:p>
    <w:p w:rsidR="00E35632" w:rsidRDefault="00E35632">
      <w:pPr>
        <w:pStyle w:val="ConsPlusNormal"/>
        <w:spacing w:before="220"/>
        <w:ind w:firstLine="540"/>
        <w:jc w:val="both"/>
      </w:pPr>
      <w:r>
        <w:rPr>
          <w:i/>
        </w:rPr>
        <w:t>H</w:t>
      </w:r>
      <w:r>
        <w:rPr>
          <w:i/>
          <w:vertAlign w:val="subscript"/>
        </w:rPr>
        <w:t>c</w:t>
      </w:r>
      <w:r>
        <w:t xml:space="preserve"> - сжимаемая толща, определяемая по </w:t>
      </w:r>
      <w:hyperlink w:anchor="P1695">
        <w:r>
          <w:rPr>
            <w:color w:val="0000FF"/>
          </w:rPr>
          <w:t>5.6.41</w:t>
        </w:r>
      </w:hyperlink>
      <w:r>
        <w:t>, м;</w:t>
      </w:r>
    </w:p>
    <w:p w:rsidR="00E35632" w:rsidRDefault="00E35632">
      <w:pPr>
        <w:pStyle w:val="ConsPlusNormal"/>
        <w:spacing w:before="220"/>
        <w:ind w:firstLine="540"/>
        <w:jc w:val="both"/>
      </w:pPr>
      <w:r>
        <w:rPr>
          <w:i/>
        </w:rPr>
        <w:t>n</w:t>
      </w:r>
      <w:r>
        <w:t xml:space="preserve"> - число слоев, отличающихся значениями </w:t>
      </w:r>
      <w:r>
        <w:rPr>
          <w:i/>
        </w:rPr>
        <w:t>E</w:t>
      </w:r>
      <w:r>
        <w:t xml:space="preserve"> и </w:t>
      </w:r>
      <w:r>
        <w:rPr>
          <w:noProof/>
          <w:position w:val="-1"/>
        </w:rPr>
        <w:drawing>
          <wp:inline distT="0" distB="0" distL="0" distR="0">
            <wp:extent cx="142240" cy="160020"/>
            <wp:effectExtent l="0" t="0" r="0" b="0"/>
            <wp:docPr id="1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r>
        <w:t xml:space="preserve"> в пределах сжимаемой толщи </w:t>
      </w:r>
      <w:r>
        <w:rPr>
          <w:i/>
        </w:rPr>
        <w:t>H</w:t>
      </w:r>
      <w:r>
        <w:rPr>
          <w:i/>
          <w:vertAlign w:val="subscript"/>
        </w:rPr>
        <w:t>c</w:t>
      </w:r>
      <w:r>
        <w:t>.</w:t>
      </w:r>
    </w:p>
    <w:p w:rsidR="00E35632" w:rsidRDefault="00E35632">
      <w:pPr>
        <w:pStyle w:val="ConsPlusNormal"/>
        <w:jc w:val="both"/>
      </w:pPr>
    </w:p>
    <w:p w:rsidR="00E35632" w:rsidRDefault="00E35632">
      <w:pPr>
        <w:pStyle w:val="ConsPlusNormal"/>
        <w:ind w:firstLine="540"/>
        <w:jc w:val="both"/>
      </w:pPr>
      <w:r>
        <w:rPr>
          <w:i/>
        </w:rPr>
        <w:t>Предельные деформации основания фундаментов</w:t>
      </w:r>
    </w:p>
    <w:p w:rsidR="00E35632" w:rsidRDefault="00E35632">
      <w:pPr>
        <w:pStyle w:val="ConsPlusNormal"/>
        <w:jc w:val="both"/>
      </w:pPr>
    </w:p>
    <w:p w:rsidR="00E35632" w:rsidRDefault="00E35632">
      <w:pPr>
        <w:pStyle w:val="ConsPlusNormal"/>
        <w:ind w:firstLine="540"/>
        <w:jc w:val="both"/>
      </w:pPr>
      <w:bookmarkStart w:id="80" w:name="P1786"/>
      <w:bookmarkEnd w:id="80"/>
      <w:r>
        <w:t xml:space="preserve">5.6.46 Предельные значения совместной деформации основания и сооружения </w:t>
      </w:r>
      <w:r>
        <w:rPr>
          <w:i/>
        </w:rPr>
        <w:t>s</w:t>
      </w:r>
      <w:r>
        <w:rPr>
          <w:i/>
          <w:vertAlign w:val="subscript"/>
        </w:rPr>
        <w:t>u,s</w:t>
      </w:r>
      <w:r>
        <w:t xml:space="preserve"> и </w:t>
      </w:r>
      <w:r>
        <w:rPr>
          <w:i/>
        </w:rPr>
        <w:t>s</w:t>
      </w:r>
      <w:r>
        <w:rPr>
          <w:i/>
          <w:vertAlign w:val="subscript"/>
        </w:rPr>
        <w:t>u,f</w:t>
      </w:r>
      <w:r>
        <w:t xml:space="preserve"> устанавливают исходя из необходимости соблюдения:</w:t>
      </w:r>
    </w:p>
    <w:p w:rsidR="00E35632" w:rsidRDefault="00E35632">
      <w:pPr>
        <w:pStyle w:val="ConsPlusNormal"/>
        <w:spacing w:before="220"/>
        <w:ind w:firstLine="540"/>
        <w:jc w:val="both"/>
      </w:pPr>
      <w:r>
        <w:t xml:space="preserve">а) технологических или архитектурных требований к деформации сооружения (изменение проектных уровней и положений сооружения в целом, отдельных его элементов и оборудования, включая требования к нормальной работе лифтов, кранового оборудования, подъемных устройств элеваторов и т.п.), </w:t>
      </w:r>
      <w:r>
        <w:rPr>
          <w:i/>
        </w:rPr>
        <w:t>s</w:t>
      </w:r>
      <w:r>
        <w:rPr>
          <w:i/>
          <w:vertAlign w:val="subscript"/>
        </w:rPr>
        <w:t>u,s</w:t>
      </w:r>
      <w:r>
        <w:t>;</w:t>
      </w:r>
    </w:p>
    <w:p w:rsidR="00E35632" w:rsidRDefault="00E35632">
      <w:pPr>
        <w:pStyle w:val="ConsPlusNormal"/>
        <w:spacing w:before="220"/>
        <w:ind w:firstLine="540"/>
        <w:jc w:val="both"/>
      </w:pPr>
      <w:r>
        <w:t xml:space="preserve">б) требований к прочности, устойчивости и трещиностойкости конструкций, включая общую устойчивость сооружения, </w:t>
      </w:r>
      <w:r>
        <w:rPr>
          <w:i/>
        </w:rPr>
        <w:t>s</w:t>
      </w:r>
      <w:r>
        <w:rPr>
          <w:i/>
          <w:vertAlign w:val="subscript"/>
        </w:rPr>
        <w:t>u,f</w:t>
      </w:r>
      <w:r>
        <w:t>.</w:t>
      </w:r>
    </w:p>
    <w:p w:rsidR="00E35632" w:rsidRDefault="00E35632">
      <w:pPr>
        <w:pStyle w:val="ConsPlusNormal"/>
        <w:spacing w:before="220"/>
        <w:ind w:firstLine="540"/>
        <w:jc w:val="both"/>
      </w:pPr>
      <w:bookmarkStart w:id="81" w:name="P1789"/>
      <w:bookmarkEnd w:id="81"/>
      <w:r>
        <w:t xml:space="preserve">5.6.47 Предельные значения совместной деформации основания и сооружения по </w:t>
      </w:r>
      <w:r>
        <w:lastRenderedPageBreak/>
        <w:t xml:space="preserve">технологическим или архитектурным требованиям </w:t>
      </w:r>
      <w:r>
        <w:rPr>
          <w:i/>
        </w:rPr>
        <w:t>s</w:t>
      </w:r>
      <w:r>
        <w:rPr>
          <w:i/>
          <w:vertAlign w:val="subscript"/>
        </w:rPr>
        <w:t>u,s</w:t>
      </w:r>
      <w:r>
        <w:t xml:space="preserve"> следует устанавливать соответствующими нормами проектирования сооружений, правилами технической эксплуатации оборудования или заданием на проектирование с учетом в необходимых случаях рихтовки оборудования в процессе эксплуатации.</w:t>
      </w:r>
    </w:p>
    <w:p w:rsidR="00E35632" w:rsidRDefault="00E35632">
      <w:pPr>
        <w:pStyle w:val="ConsPlusNormal"/>
        <w:spacing w:before="220"/>
        <w:ind w:firstLine="540"/>
        <w:jc w:val="both"/>
      </w:pPr>
      <w:r>
        <w:t xml:space="preserve">Проверку соблюдения условия </w:t>
      </w:r>
      <w:r>
        <w:rPr>
          <w:i/>
        </w:rPr>
        <w:t>s</w:t>
      </w:r>
      <w:r>
        <w:t xml:space="preserve"> &lt;= </w:t>
      </w:r>
      <w:r>
        <w:rPr>
          <w:i/>
        </w:rPr>
        <w:t>s</w:t>
      </w:r>
      <w:r>
        <w:rPr>
          <w:i/>
          <w:vertAlign w:val="subscript"/>
        </w:rPr>
        <w:t>u,s</w:t>
      </w:r>
      <w:r>
        <w:t xml:space="preserve"> проводят при разработке типовых и индивидуальных проектов в составе расчетов сооружения во взаимодействии с основанием после соответствующих расчетов конструкций сооружения по прочности, устойчивости и трещиностойкости.</w:t>
      </w:r>
    </w:p>
    <w:p w:rsidR="00E35632" w:rsidRDefault="00E35632">
      <w:pPr>
        <w:pStyle w:val="ConsPlusNormal"/>
        <w:spacing w:before="220"/>
        <w:ind w:firstLine="540"/>
        <w:jc w:val="both"/>
      </w:pPr>
      <w:bookmarkStart w:id="82" w:name="P1791"/>
      <w:bookmarkEnd w:id="82"/>
      <w:r>
        <w:t xml:space="preserve">5.6.48 Предельные значения совместной деформации основания и сооружения по условиям прочности, устойчивости и трещиностойкости конструкций </w:t>
      </w:r>
      <w:r>
        <w:rPr>
          <w:i/>
        </w:rPr>
        <w:t>s</w:t>
      </w:r>
      <w:r>
        <w:rPr>
          <w:i/>
          <w:vertAlign w:val="subscript"/>
        </w:rPr>
        <w:t>u,f</w:t>
      </w:r>
      <w:r>
        <w:t xml:space="preserve"> следует устанавливать при проектировании на основе расчета сооружения во взаимодействии с основанием.</w:t>
      </w:r>
    </w:p>
    <w:p w:rsidR="00E35632" w:rsidRDefault="00E35632">
      <w:pPr>
        <w:pStyle w:val="ConsPlusNormal"/>
        <w:spacing w:before="220"/>
        <w:ind w:firstLine="540"/>
        <w:jc w:val="both"/>
      </w:pPr>
      <w:r>
        <w:t xml:space="preserve">Значение </w:t>
      </w:r>
      <w:r>
        <w:rPr>
          <w:i/>
        </w:rPr>
        <w:t>s</w:t>
      </w:r>
      <w:r>
        <w:rPr>
          <w:i/>
          <w:vertAlign w:val="subscript"/>
        </w:rPr>
        <w:t>u,f</w:t>
      </w:r>
      <w:r>
        <w:t xml:space="preserve"> допускается не устанавливать для сооружений, в конструкциях которых не возникают усилия от неравномерных осадок основания (например, различного рода шарнирных систем), а также для сооружений значительной жесткости и прочности (например, зданий башенного типа, домен) при соответствующем обосновании.</w:t>
      </w:r>
    </w:p>
    <w:p w:rsidR="00E35632" w:rsidRDefault="00E35632">
      <w:pPr>
        <w:pStyle w:val="ConsPlusNormal"/>
        <w:spacing w:before="220"/>
        <w:ind w:firstLine="540"/>
        <w:jc w:val="both"/>
      </w:pPr>
      <w:r>
        <w:t xml:space="preserve">5.6.49 При разработке типовых проектов сооружений на основе значений </w:t>
      </w:r>
      <w:r>
        <w:rPr>
          <w:i/>
        </w:rPr>
        <w:t>s</w:t>
      </w:r>
      <w:r>
        <w:rPr>
          <w:i/>
          <w:vertAlign w:val="subscript"/>
        </w:rPr>
        <w:t>u,s</w:t>
      </w:r>
      <w:r>
        <w:t xml:space="preserve"> и </w:t>
      </w:r>
      <w:r>
        <w:rPr>
          <w:i/>
        </w:rPr>
        <w:t>s</w:t>
      </w:r>
      <w:r>
        <w:rPr>
          <w:i/>
          <w:vertAlign w:val="subscript"/>
        </w:rPr>
        <w:t>u,f</w:t>
      </w:r>
      <w:r>
        <w:t xml:space="preserve"> следует устанавливать следующие критерии допустимости применения этих проектов, упрощающие расчет оснований по деформациям при их привязке к местным грунтовым условиям:</w:t>
      </w:r>
    </w:p>
    <w:p w:rsidR="00E35632" w:rsidRDefault="00E35632">
      <w:pPr>
        <w:pStyle w:val="ConsPlusNormal"/>
        <w:spacing w:before="220"/>
        <w:ind w:firstLine="540"/>
        <w:jc w:val="both"/>
      </w:pPr>
      <w:bookmarkStart w:id="83" w:name="P1794"/>
      <w:bookmarkEnd w:id="83"/>
      <w:r>
        <w:t xml:space="preserve">а) предельные значения степени изменчивости сжимаемости грунтов </w:t>
      </w:r>
      <w:r>
        <w:rPr>
          <w:noProof/>
          <w:position w:val="-8"/>
        </w:rPr>
        <w:drawing>
          <wp:inline distT="0" distB="0" distL="0" distR="0">
            <wp:extent cx="226060" cy="251460"/>
            <wp:effectExtent l="0" t="0" r="0" b="0"/>
            <wp:docPr id="1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26060" cy="251460"/>
                    </a:xfrm>
                    <a:prstGeom prst="rect">
                      <a:avLst/>
                    </a:prstGeom>
                    <a:noFill/>
                    <a:ln>
                      <a:noFill/>
                    </a:ln>
                  </pic:spPr>
                </pic:pic>
              </a:graphicData>
            </a:graphic>
          </wp:inline>
        </w:drawing>
      </w:r>
      <w:r>
        <w:t xml:space="preserve"> основания, соответствующие различным значениям среднего модуля деформации грунтов в пределах плана сооружения </w:t>
      </w:r>
      <w:r>
        <w:rPr>
          <w:noProof/>
          <w:position w:val="-5"/>
        </w:rPr>
        <w:drawing>
          <wp:inline distT="0" distB="0" distL="0" distR="0">
            <wp:extent cx="167640" cy="209550"/>
            <wp:effectExtent l="0" t="0" r="0" b="0"/>
            <wp:docPr id="1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67640" cy="209550"/>
                    </a:xfrm>
                    <a:prstGeom prst="rect">
                      <a:avLst/>
                    </a:prstGeom>
                    <a:noFill/>
                    <a:ln>
                      <a:noFill/>
                    </a:ln>
                  </pic:spPr>
                </pic:pic>
              </a:graphicData>
            </a:graphic>
          </wp:inline>
        </w:drawing>
      </w:r>
      <w:r>
        <w:t xml:space="preserve"> или средней осадки основания </w:t>
      </w:r>
      <w:r>
        <w:rPr>
          <w:noProof/>
          <w:position w:val="-4"/>
        </w:rPr>
        <w:drawing>
          <wp:inline distT="0" distB="0" distL="0" distR="0">
            <wp:extent cx="142240" cy="192405"/>
            <wp:effectExtent l="0" t="0" r="0" b="0"/>
            <wp:docPr id="1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142240" cy="192405"/>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б) предельную неравномерность деформаций основания </w:t>
      </w:r>
      <w:r>
        <w:rPr>
          <w:noProof/>
          <w:position w:val="-10"/>
        </w:rPr>
        <w:drawing>
          <wp:inline distT="0" distB="0" distL="0" distR="0">
            <wp:extent cx="276860" cy="267970"/>
            <wp:effectExtent l="0" t="0" r="0" b="0"/>
            <wp:docPr id="1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276860" cy="267970"/>
                    </a:xfrm>
                    <a:prstGeom prst="rect">
                      <a:avLst/>
                    </a:prstGeom>
                    <a:noFill/>
                    <a:ln>
                      <a:noFill/>
                    </a:ln>
                  </pic:spPr>
                </pic:pic>
              </a:graphicData>
            </a:graphic>
          </wp:inline>
        </w:drawing>
      </w:r>
      <w:r>
        <w:t>, соответствующую нулевой жесткости сооружения;</w:t>
      </w:r>
    </w:p>
    <w:p w:rsidR="00E35632" w:rsidRDefault="00E35632">
      <w:pPr>
        <w:pStyle w:val="ConsPlusNormal"/>
        <w:spacing w:before="220"/>
        <w:ind w:firstLine="540"/>
        <w:jc w:val="both"/>
      </w:pPr>
      <w:bookmarkStart w:id="84" w:name="P1796"/>
      <w:bookmarkEnd w:id="84"/>
      <w:r>
        <w:t>в) перечень грунтов с указанием их простейших характеристик свойств, а также характера напластований, при наличии которых не требуется выполнять расчет оснований по деформациям.</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 xml:space="preserve">1 Степень изменчивости сжимаемости основания </w:t>
      </w:r>
      <w:r>
        <w:rPr>
          <w:noProof/>
          <w:position w:val="-8"/>
        </w:rPr>
        <w:drawing>
          <wp:inline distT="0" distB="0" distL="0" distR="0">
            <wp:extent cx="226060" cy="251460"/>
            <wp:effectExtent l="0" t="0" r="0" b="0"/>
            <wp:docPr id="1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26060" cy="251460"/>
                    </a:xfrm>
                    <a:prstGeom prst="rect">
                      <a:avLst/>
                    </a:prstGeom>
                    <a:noFill/>
                    <a:ln>
                      <a:noFill/>
                    </a:ln>
                  </pic:spPr>
                </pic:pic>
              </a:graphicData>
            </a:graphic>
          </wp:inline>
        </w:drawing>
      </w:r>
      <w:r>
        <w:t xml:space="preserve"> определяют отношением наибольшего значения приведенного по глубине модуля деформации грунтов основания в пределах плана сооружения к наименьшему значению.</w:t>
      </w:r>
    </w:p>
    <w:p w:rsidR="00E35632" w:rsidRDefault="00E35632">
      <w:pPr>
        <w:pStyle w:val="ConsPlusNormal"/>
        <w:spacing w:before="220"/>
        <w:ind w:firstLine="540"/>
        <w:jc w:val="both"/>
      </w:pPr>
      <w:r>
        <w:t xml:space="preserve">2 Среднее значение модуля деформации грунтов основания </w:t>
      </w:r>
      <w:r>
        <w:rPr>
          <w:noProof/>
          <w:position w:val="-5"/>
        </w:rPr>
        <w:drawing>
          <wp:inline distT="0" distB="0" distL="0" distR="0">
            <wp:extent cx="167640" cy="209550"/>
            <wp:effectExtent l="0" t="0" r="0" b="0"/>
            <wp:docPr id="1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67640" cy="209550"/>
                    </a:xfrm>
                    <a:prstGeom prst="rect">
                      <a:avLst/>
                    </a:prstGeom>
                    <a:noFill/>
                    <a:ln>
                      <a:noFill/>
                    </a:ln>
                  </pic:spPr>
                </pic:pic>
              </a:graphicData>
            </a:graphic>
          </wp:inline>
        </w:drawing>
      </w:r>
      <w:r>
        <w:t xml:space="preserve"> в пределах плана сооружения определяют как средневзвешенное с учетом изменения сжимаемости грунтов по глубине и в плане сооружения.</w:t>
      </w:r>
    </w:p>
    <w:p w:rsidR="00E35632" w:rsidRDefault="00E35632">
      <w:pPr>
        <w:pStyle w:val="ConsPlusNormal"/>
        <w:jc w:val="both"/>
      </w:pPr>
    </w:p>
    <w:p w:rsidR="00E35632" w:rsidRDefault="00E35632">
      <w:pPr>
        <w:pStyle w:val="ConsPlusNormal"/>
        <w:ind w:firstLine="540"/>
        <w:jc w:val="both"/>
      </w:pPr>
      <w:bookmarkStart w:id="85" w:name="P1801"/>
      <w:bookmarkEnd w:id="85"/>
      <w:r>
        <w:t xml:space="preserve">5.6.50 Предельные значения деформаций оснований допускается принимать согласно </w:t>
      </w:r>
      <w:hyperlink w:anchor="P6874">
        <w:r>
          <w:rPr>
            <w:color w:val="0000FF"/>
          </w:rPr>
          <w:t>приложению Г</w:t>
        </w:r>
      </w:hyperlink>
      <w:r>
        <w:t xml:space="preserve">, если конструкции сооружения не рассчитаны на усилия, возникающие в них при взаимодействии с основанием и в задании на проектирование не установлены значения </w:t>
      </w:r>
      <w:r>
        <w:rPr>
          <w:i/>
        </w:rPr>
        <w:t>s</w:t>
      </w:r>
      <w:r>
        <w:rPr>
          <w:i/>
          <w:vertAlign w:val="subscript"/>
        </w:rPr>
        <w:t>u,s</w:t>
      </w:r>
      <w:r>
        <w:t xml:space="preserve"> (см. </w:t>
      </w:r>
      <w:hyperlink w:anchor="P1786">
        <w:r>
          <w:rPr>
            <w:color w:val="0000FF"/>
          </w:rPr>
          <w:t>5.6.46</w:t>
        </w:r>
      </w:hyperlink>
      <w:r>
        <w:t xml:space="preserve">, </w:t>
      </w:r>
      <w:hyperlink w:anchor="P1789">
        <w:r>
          <w:rPr>
            <w:color w:val="0000FF"/>
          </w:rPr>
          <w:t>5.6.47</w:t>
        </w:r>
      </w:hyperlink>
      <w:r>
        <w:t>).</w:t>
      </w:r>
    </w:p>
    <w:p w:rsidR="00E35632" w:rsidRDefault="00E35632">
      <w:pPr>
        <w:pStyle w:val="ConsPlusNormal"/>
        <w:spacing w:before="220"/>
        <w:ind w:firstLine="540"/>
        <w:jc w:val="both"/>
      </w:pPr>
      <w:r>
        <w:t>5.6.51 В проектах сооружений, расчетная осадка которых превышает 10 см, следует предусматривать соответствующий строительный подъем сооружения, а также мероприятия, не допускающие изменений проектных уклонов вводов и выпусков инженерных коммуникаций и обеспечивающие сохранность коммуникаций в местах их пересечения со стенами сооружения.</w:t>
      </w:r>
    </w:p>
    <w:p w:rsidR="00E35632" w:rsidRDefault="00E35632">
      <w:pPr>
        <w:pStyle w:val="ConsPlusNormal"/>
        <w:spacing w:before="220"/>
        <w:ind w:firstLine="540"/>
        <w:jc w:val="both"/>
      </w:pPr>
      <w:bookmarkStart w:id="86" w:name="P1803"/>
      <w:bookmarkEnd w:id="86"/>
      <w:r>
        <w:t xml:space="preserve">5.6.52 Расчет деформаций основания допускается не выполнять для сооружений геотехнических категорий 1 и 2, если среднее давление под фундаментами проектируемого </w:t>
      </w:r>
      <w:r>
        <w:lastRenderedPageBreak/>
        <w:t xml:space="preserve">сооружения не превышает расчетное сопротивление грунтов основания (см. </w:t>
      </w:r>
      <w:hyperlink w:anchor="P849">
        <w:r>
          <w:rPr>
            <w:color w:val="0000FF"/>
          </w:rPr>
          <w:t>5.6.7</w:t>
        </w:r>
      </w:hyperlink>
      <w:r>
        <w:t xml:space="preserve"> - </w:t>
      </w:r>
      <w:hyperlink w:anchor="P1219">
        <w:r>
          <w:rPr>
            <w:color w:val="0000FF"/>
          </w:rPr>
          <w:t>5.6.25</w:t>
        </w:r>
      </w:hyperlink>
      <w:r>
        <w:t>) и выполняется одно из следующих условий:</w:t>
      </w:r>
    </w:p>
    <w:p w:rsidR="00E35632" w:rsidRDefault="00E35632">
      <w:pPr>
        <w:pStyle w:val="ConsPlusNormal"/>
        <w:spacing w:before="220"/>
        <w:ind w:firstLine="540"/>
        <w:jc w:val="both"/>
      </w:pPr>
      <w:r>
        <w:t xml:space="preserve">а) степень изменчивости сжимаемости основания меньше предельной (по </w:t>
      </w:r>
      <w:hyperlink w:anchor="P1794">
        <w:r>
          <w:rPr>
            <w:color w:val="0000FF"/>
          </w:rPr>
          <w:t>5.6.49, а</w:t>
        </w:r>
      </w:hyperlink>
      <w:r>
        <w:t>);</w:t>
      </w:r>
    </w:p>
    <w:p w:rsidR="00E35632" w:rsidRDefault="00E35632">
      <w:pPr>
        <w:pStyle w:val="ConsPlusNormal"/>
        <w:spacing w:before="220"/>
        <w:ind w:firstLine="540"/>
        <w:jc w:val="both"/>
      </w:pPr>
      <w:r>
        <w:t xml:space="preserve">б) инженерно-геологические условия площадки строительства соответствуют области применения типового проекта (по </w:t>
      </w:r>
      <w:hyperlink w:anchor="P1796">
        <w:r>
          <w:rPr>
            <w:color w:val="0000FF"/>
          </w:rPr>
          <w:t>5.6.49, в</w:t>
        </w:r>
      </w:hyperlink>
      <w:r>
        <w:t>);</w:t>
      </w:r>
    </w:p>
    <w:p w:rsidR="00E35632" w:rsidRDefault="00E35632">
      <w:pPr>
        <w:pStyle w:val="ConsPlusNormal"/>
        <w:spacing w:before="220"/>
        <w:ind w:firstLine="540"/>
        <w:jc w:val="both"/>
      </w:pPr>
      <w:r>
        <w:t>в) грунтовые условия площадки строительства сооружений, перечисленных в таблице 5.11, относятся к одному из вариантов, указанных в этой таблице.</w:t>
      </w:r>
    </w:p>
    <w:p w:rsidR="00E35632" w:rsidRDefault="00E35632">
      <w:pPr>
        <w:pStyle w:val="ConsPlusNormal"/>
        <w:jc w:val="both"/>
      </w:pPr>
    </w:p>
    <w:p w:rsidR="00E35632" w:rsidRDefault="00E35632">
      <w:pPr>
        <w:pStyle w:val="ConsPlusNormal"/>
        <w:jc w:val="right"/>
      </w:pPr>
      <w:bookmarkStart w:id="87" w:name="P1808"/>
      <w:bookmarkEnd w:id="87"/>
      <w:r>
        <w:t>Таблица 5.11</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860"/>
        <w:gridCol w:w="4229"/>
      </w:tblGrid>
      <w:tr w:rsidR="00E35632">
        <w:tc>
          <w:tcPr>
            <w:tcW w:w="4860" w:type="dxa"/>
            <w:vAlign w:val="center"/>
          </w:tcPr>
          <w:p w:rsidR="00E35632" w:rsidRDefault="00E35632">
            <w:pPr>
              <w:pStyle w:val="ConsPlusNormal"/>
              <w:jc w:val="center"/>
            </w:pPr>
            <w:r>
              <w:t>Сооружения</w:t>
            </w:r>
          </w:p>
        </w:tc>
        <w:tc>
          <w:tcPr>
            <w:tcW w:w="4229" w:type="dxa"/>
            <w:vAlign w:val="center"/>
          </w:tcPr>
          <w:p w:rsidR="00E35632" w:rsidRDefault="00E35632">
            <w:pPr>
              <w:pStyle w:val="ConsPlusNormal"/>
              <w:jc w:val="center"/>
            </w:pPr>
            <w:r>
              <w:t>Варианты грунтовых условий</w:t>
            </w:r>
          </w:p>
        </w:tc>
      </w:tr>
      <w:tr w:rsidR="00E35632">
        <w:tc>
          <w:tcPr>
            <w:tcW w:w="4860" w:type="dxa"/>
          </w:tcPr>
          <w:p w:rsidR="00E35632" w:rsidRDefault="00E35632">
            <w:pPr>
              <w:pStyle w:val="ConsPlusNormal"/>
            </w:pPr>
            <w:r>
              <w:rPr>
                <w:b/>
              </w:rPr>
              <w:t>1 Производственные здания</w:t>
            </w:r>
          </w:p>
          <w:p w:rsidR="00E35632" w:rsidRDefault="00E35632">
            <w:pPr>
              <w:pStyle w:val="ConsPlusNormal"/>
            </w:pPr>
            <w:r>
              <w:t>Одноэтажные с несущими конструкциями, малочувствительными к неравномерным осадкам (например, стальной или железобетонный каркас на отдельных фундаментах при шарнирном опирании ферм, ригелей), и с мостовыми кранами грузоподъемностью до 50 т включительно.</w:t>
            </w:r>
          </w:p>
          <w:p w:rsidR="00E35632" w:rsidRDefault="00E35632">
            <w:pPr>
              <w:pStyle w:val="ConsPlusNormal"/>
            </w:pPr>
            <w:r>
              <w:t>Многоэтажные до шести этажей включительно с сеткой колонн не более 6 x 9 м.</w:t>
            </w:r>
          </w:p>
          <w:p w:rsidR="00E35632" w:rsidRDefault="00E35632">
            <w:pPr>
              <w:pStyle w:val="ConsPlusNormal"/>
            </w:pPr>
            <w:r>
              <w:rPr>
                <w:b/>
              </w:rPr>
              <w:t>2 Жилые и общественные здания</w:t>
            </w:r>
          </w:p>
          <w:p w:rsidR="00E35632" w:rsidRDefault="00E35632">
            <w:pPr>
              <w:pStyle w:val="ConsPlusNormal"/>
            </w:pPr>
            <w:r>
              <w:t>Прямоугольной формы в плане без перепадов по высоте с полным каркасом и бескаркасные с несущими стенами из кирпича, крупных блоков или панелей:</w:t>
            </w:r>
          </w:p>
          <w:p w:rsidR="00E35632" w:rsidRDefault="00E35632">
            <w:pPr>
              <w:pStyle w:val="ConsPlusNormal"/>
            </w:pPr>
            <w:r>
              <w:t>а) протяженные многосекционные высотой до 9 этажей включительно;</w:t>
            </w:r>
          </w:p>
          <w:p w:rsidR="00E35632" w:rsidRDefault="00E35632">
            <w:pPr>
              <w:pStyle w:val="ConsPlusNormal"/>
            </w:pPr>
            <w:r>
              <w:t>б) несблокированные башенного типа высотой до 14 этажей включительно</w:t>
            </w:r>
          </w:p>
        </w:tc>
        <w:tc>
          <w:tcPr>
            <w:tcW w:w="4229" w:type="dxa"/>
          </w:tcPr>
          <w:p w:rsidR="00E35632" w:rsidRDefault="00E35632">
            <w:pPr>
              <w:pStyle w:val="ConsPlusNormal"/>
            </w:pPr>
            <w:r>
              <w:t>1 Крупнообломочные грунты при содержании заполнителя менее 40%.</w:t>
            </w:r>
          </w:p>
          <w:p w:rsidR="00E35632" w:rsidRDefault="00E35632">
            <w:pPr>
              <w:pStyle w:val="ConsPlusNormal"/>
            </w:pPr>
            <w:r>
              <w:t>2 Пески любой крупности, кроме пылеватых, плотные и средней плотности.</w:t>
            </w:r>
          </w:p>
          <w:p w:rsidR="00E35632" w:rsidRDefault="00E35632">
            <w:pPr>
              <w:pStyle w:val="ConsPlusNormal"/>
            </w:pPr>
            <w:r>
              <w:t>3 Пески любой крупности, только плотные.</w:t>
            </w:r>
          </w:p>
          <w:p w:rsidR="00E35632" w:rsidRDefault="00E35632">
            <w:pPr>
              <w:pStyle w:val="ConsPlusNormal"/>
            </w:pPr>
            <w:r>
              <w:t xml:space="preserve">4 Пески пылеватые при коэффициенте пористости </w:t>
            </w:r>
            <w:r>
              <w:rPr>
                <w:i/>
              </w:rPr>
              <w:t>e</w:t>
            </w:r>
            <w:r>
              <w:t xml:space="preserve"> &lt;= 0,65.</w:t>
            </w:r>
          </w:p>
          <w:p w:rsidR="00E35632" w:rsidRDefault="00E35632">
            <w:pPr>
              <w:pStyle w:val="ConsPlusNormal"/>
            </w:pPr>
            <w:r>
              <w:t xml:space="preserve">5 Супеси при </w:t>
            </w:r>
            <w:r>
              <w:rPr>
                <w:i/>
              </w:rPr>
              <w:t>e</w:t>
            </w:r>
            <w:r>
              <w:t xml:space="preserve"> &lt;= 0,65, суглинки при </w:t>
            </w:r>
            <w:r>
              <w:rPr>
                <w:i/>
              </w:rPr>
              <w:t>e</w:t>
            </w:r>
            <w:r>
              <w:t xml:space="preserve"> &lt;= 0,85 и глины при </w:t>
            </w:r>
            <w:r>
              <w:rPr>
                <w:i/>
              </w:rPr>
              <w:t>e</w:t>
            </w:r>
            <w:r>
              <w:t xml:space="preserve"> &lt;= 0,95, если диапазон изменения коэффициента пористости этих грунтов на площадке не превышает 0,2, а </w:t>
            </w:r>
            <w:r>
              <w:rPr>
                <w:i/>
              </w:rPr>
              <w:t>I</w:t>
            </w:r>
            <w:r>
              <w:rPr>
                <w:i/>
                <w:vertAlign w:val="subscript"/>
              </w:rPr>
              <w:t>L</w:t>
            </w:r>
            <w:r>
              <w:t xml:space="preserve"> &lt;= 0,5.</w:t>
            </w:r>
          </w:p>
          <w:p w:rsidR="00E35632" w:rsidRDefault="00E35632">
            <w:pPr>
              <w:pStyle w:val="ConsPlusNormal"/>
            </w:pPr>
            <w:r>
              <w:t xml:space="preserve">6 Пески, кроме пылеватых при </w:t>
            </w:r>
            <w:r>
              <w:rPr>
                <w:i/>
              </w:rPr>
              <w:t>e</w:t>
            </w:r>
            <w:r>
              <w:t xml:space="preserve"> &lt;= 0,7 в сочетании с глинистыми грунтами при </w:t>
            </w:r>
            <w:r>
              <w:rPr>
                <w:i/>
              </w:rPr>
              <w:t>e</w:t>
            </w:r>
            <w:r>
              <w:t xml:space="preserve"> &lt; 0,5 и </w:t>
            </w:r>
            <w:r>
              <w:rPr>
                <w:i/>
              </w:rPr>
              <w:t>I</w:t>
            </w:r>
            <w:r>
              <w:rPr>
                <w:i/>
                <w:vertAlign w:val="subscript"/>
              </w:rPr>
              <w:t>L</w:t>
            </w:r>
            <w:r>
              <w:t xml:space="preserve"> &lt; 0,5 независимо от порядка их залегания</w:t>
            </w:r>
          </w:p>
        </w:tc>
      </w:tr>
      <w:tr w:rsidR="00E35632">
        <w:tc>
          <w:tcPr>
            <w:tcW w:w="9089" w:type="dxa"/>
            <w:gridSpan w:val="2"/>
          </w:tcPr>
          <w:p w:rsidR="00E35632" w:rsidRDefault="00E35632">
            <w:pPr>
              <w:pStyle w:val="ConsPlusNormal"/>
              <w:ind w:firstLine="283"/>
              <w:jc w:val="both"/>
            </w:pPr>
            <w:r>
              <w:t>Примечания</w:t>
            </w:r>
          </w:p>
          <w:p w:rsidR="00E35632" w:rsidRDefault="00E35632">
            <w:pPr>
              <w:pStyle w:val="ConsPlusNormal"/>
              <w:ind w:firstLine="283"/>
              <w:jc w:val="both"/>
            </w:pPr>
            <w:r>
              <w:t>1 Таблицей допускается пользоваться для сооружений, в которых площади отдельных фундаментов под несущие конструкции отличаются не более чем в два раза, а также для сооружений иного назначения при аналогичных конструкциях и нагрузках.</w:t>
            </w:r>
          </w:p>
          <w:p w:rsidR="00E35632" w:rsidRDefault="00E35632">
            <w:pPr>
              <w:pStyle w:val="ConsPlusNormal"/>
              <w:ind w:firstLine="283"/>
              <w:jc w:val="both"/>
            </w:pPr>
            <w:r>
              <w:t>2 Таблица не распространяется на производственные здания с нагрузками на полы свыше 20 кПа.</w:t>
            </w:r>
          </w:p>
        </w:tc>
      </w:tr>
    </w:tbl>
    <w:p w:rsidR="00E35632" w:rsidRDefault="00E35632">
      <w:pPr>
        <w:pStyle w:val="ConsPlusNormal"/>
        <w:jc w:val="both"/>
      </w:pPr>
    </w:p>
    <w:p w:rsidR="00E35632" w:rsidRDefault="00E35632">
      <w:pPr>
        <w:pStyle w:val="ConsPlusTitle"/>
        <w:ind w:firstLine="540"/>
        <w:jc w:val="both"/>
        <w:outlineLvl w:val="2"/>
      </w:pPr>
      <w:bookmarkStart w:id="88" w:name="P1829"/>
      <w:bookmarkEnd w:id="88"/>
      <w:r>
        <w:t>5.7 Расчет оснований по несущей способности</w:t>
      </w:r>
    </w:p>
    <w:p w:rsidR="00E35632" w:rsidRDefault="00E35632">
      <w:pPr>
        <w:pStyle w:val="ConsPlusNormal"/>
        <w:spacing w:before="220"/>
        <w:ind w:firstLine="540"/>
        <w:jc w:val="both"/>
      </w:pPr>
      <w:bookmarkStart w:id="89" w:name="P1830"/>
      <w:bookmarkEnd w:id="89"/>
      <w:r>
        <w:t>5.7.1 Целью расчета оснований по несущей способности является обеспечение прочности и устойчивости оснований, а также недопущение сдвига фундамента по подошве и его опрокидывания. Принимаемая в расчете схема разрушения основания (при достижении им предельного состояния) должна быть статически и кинематически возможна для данного воздействия и конструкции фундамента или сооружения.</w:t>
      </w:r>
    </w:p>
    <w:p w:rsidR="00E35632" w:rsidRDefault="00E35632">
      <w:pPr>
        <w:pStyle w:val="ConsPlusNormal"/>
        <w:spacing w:before="220"/>
        <w:ind w:firstLine="540"/>
        <w:jc w:val="both"/>
      </w:pPr>
      <w:bookmarkStart w:id="90" w:name="P1831"/>
      <w:bookmarkEnd w:id="90"/>
      <w:r>
        <w:t>5.7.2 Расчет оснований по несущей способности проводят исходя из условия</w:t>
      </w:r>
    </w:p>
    <w:p w:rsidR="00E35632" w:rsidRDefault="00E35632">
      <w:pPr>
        <w:pStyle w:val="ConsPlusNormal"/>
        <w:jc w:val="both"/>
      </w:pPr>
    </w:p>
    <w:p w:rsidR="00E35632" w:rsidRDefault="00E35632">
      <w:pPr>
        <w:pStyle w:val="ConsPlusNormal"/>
        <w:jc w:val="center"/>
      </w:pPr>
      <w:bookmarkStart w:id="91" w:name="P1833"/>
      <w:bookmarkEnd w:id="91"/>
      <w:r>
        <w:rPr>
          <w:noProof/>
          <w:position w:val="-26"/>
        </w:rPr>
        <w:lastRenderedPageBreak/>
        <w:drawing>
          <wp:inline distT="0" distB="0" distL="0" distR="0">
            <wp:extent cx="726440" cy="479425"/>
            <wp:effectExtent l="0" t="0" r="0" b="0"/>
            <wp:docPr id="1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726440" cy="479425"/>
                    </a:xfrm>
                    <a:prstGeom prst="rect">
                      <a:avLst/>
                    </a:prstGeom>
                    <a:noFill/>
                    <a:ln>
                      <a:noFill/>
                    </a:ln>
                  </pic:spPr>
                </pic:pic>
              </a:graphicData>
            </a:graphic>
          </wp:inline>
        </w:drawing>
      </w:r>
      <w:r>
        <w:t xml:space="preserve"> (5.27)</w:t>
      </w:r>
    </w:p>
    <w:p w:rsidR="00E35632" w:rsidRDefault="00E35632">
      <w:pPr>
        <w:pStyle w:val="ConsPlusNormal"/>
        <w:jc w:val="both"/>
      </w:pPr>
    </w:p>
    <w:p w:rsidR="00E35632" w:rsidRDefault="00E35632">
      <w:pPr>
        <w:pStyle w:val="ConsPlusNormal"/>
        <w:ind w:firstLine="540"/>
        <w:jc w:val="both"/>
      </w:pPr>
      <w:r>
        <w:t xml:space="preserve">где </w:t>
      </w:r>
      <w:r>
        <w:rPr>
          <w:i/>
        </w:rPr>
        <w:t>F</w:t>
      </w:r>
      <w:r>
        <w:t xml:space="preserve"> - расчетная нагрузка на основание, кН, определяемая в соответствии с требованиями </w:t>
      </w:r>
      <w:hyperlink w:anchor="P480">
        <w:r>
          <w:rPr>
            <w:color w:val="0000FF"/>
          </w:rPr>
          <w:t>5.2</w:t>
        </w:r>
      </w:hyperlink>
      <w:r>
        <w:t>;</w:t>
      </w:r>
    </w:p>
    <w:p w:rsidR="00E35632" w:rsidRDefault="00E35632">
      <w:pPr>
        <w:pStyle w:val="ConsPlusNormal"/>
        <w:spacing w:before="220"/>
        <w:ind w:firstLine="540"/>
        <w:jc w:val="both"/>
      </w:pPr>
      <w:r>
        <w:rPr>
          <w:i/>
        </w:rPr>
        <w:t>F</w:t>
      </w:r>
      <w:r>
        <w:rPr>
          <w:i/>
          <w:vertAlign w:val="subscript"/>
        </w:rPr>
        <w:t>u</w:t>
      </w:r>
      <w:r>
        <w:t xml:space="preserve"> - сила предельного сопротивления основания, кН;</w:t>
      </w:r>
    </w:p>
    <w:p w:rsidR="00E35632" w:rsidRDefault="00E35632">
      <w:pPr>
        <w:pStyle w:val="ConsPlusNormal"/>
        <w:spacing w:before="220"/>
        <w:ind w:firstLine="540"/>
        <w:jc w:val="both"/>
      </w:pPr>
      <w:r>
        <w:rPr>
          <w:noProof/>
          <w:position w:val="-8"/>
        </w:rPr>
        <w:drawing>
          <wp:inline distT="0" distB="0" distL="0" distR="0">
            <wp:extent cx="192405" cy="251460"/>
            <wp:effectExtent l="0" t="0" r="0" b="0"/>
            <wp:docPr id="1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 коэффициент условий работы, принимаемый:</w:t>
      </w:r>
    </w:p>
    <w:p w:rsidR="00E35632" w:rsidRDefault="00E35632">
      <w:pPr>
        <w:pStyle w:val="ConsPlusNonformat"/>
        <w:spacing w:before="200"/>
        <w:jc w:val="both"/>
      </w:pPr>
      <w:r>
        <w:t xml:space="preserve">    для песков, кроме пылеватых ............................. 1,0</w:t>
      </w:r>
    </w:p>
    <w:p w:rsidR="00E35632" w:rsidRDefault="00E35632">
      <w:pPr>
        <w:pStyle w:val="ConsPlusNonformat"/>
        <w:jc w:val="both"/>
      </w:pPr>
      <w:r>
        <w:t xml:space="preserve">    для песков пылеватых, а также глинистых грунтов</w:t>
      </w:r>
    </w:p>
    <w:p w:rsidR="00E35632" w:rsidRDefault="00E35632">
      <w:pPr>
        <w:pStyle w:val="ConsPlusNonformat"/>
        <w:jc w:val="both"/>
      </w:pPr>
      <w:r>
        <w:t xml:space="preserve">    в стабилизированном состоянии ........................... 0,9</w:t>
      </w:r>
    </w:p>
    <w:p w:rsidR="00E35632" w:rsidRDefault="00E35632">
      <w:pPr>
        <w:pStyle w:val="ConsPlusNonformat"/>
        <w:jc w:val="both"/>
      </w:pPr>
      <w:r>
        <w:t xml:space="preserve">    для глинистых грунтов в нестабилизированном состоянии ... 0,85</w:t>
      </w:r>
    </w:p>
    <w:p w:rsidR="00E35632" w:rsidRDefault="00E35632">
      <w:pPr>
        <w:pStyle w:val="ConsPlusNonformat"/>
        <w:jc w:val="both"/>
      </w:pPr>
      <w:r>
        <w:t xml:space="preserve">    для скальных грунтов:</w:t>
      </w:r>
    </w:p>
    <w:p w:rsidR="00E35632" w:rsidRDefault="00E35632">
      <w:pPr>
        <w:pStyle w:val="ConsPlusNonformat"/>
        <w:jc w:val="both"/>
      </w:pPr>
      <w:r>
        <w:t xml:space="preserve">    невыветрелых и слабовыветрелых .......................... 1,0</w:t>
      </w:r>
    </w:p>
    <w:p w:rsidR="00E35632" w:rsidRDefault="00E35632">
      <w:pPr>
        <w:pStyle w:val="ConsPlusNonformat"/>
        <w:jc w:val="both"/>
      </w:pPr>
      <w:r>
        <w:t xml:space="preserve">    выветрелых .............................................. 0,9</w:t>
      </w:r>
    </w:p>
    <w:p w:rsidR="00E35632" w:rsidRDefault="00E35632">
      <w:pPr>
        <w:pStyle w:val="ConsPlusNonformat"/>
        <w:jc w:val="both"/>
      </w:pPr>
      <w:r>
        <w:t xml:space="preserve">    сильновыветрелых ........................................ 0,8;</w:t>
      </w:r>
    </w:p>
    <w:p w:rsidR="00E35632" w:rsidRDefault="00E35632">
      <w:pPr>
        <w:pStyle w:val="ConsPlusNormal"/>
        <w:ind w:firstLine="540"/>
        <w:jc w:val="both"/>
      </w:pPr>
      <w:r>
        <w:rPr>
          <w:noProof/>
          <w:position w:val="-8"/>
        </w:rPr>
        <w:drawing>
          <wp:inline distT="0" distB="0" distL="0" distR="0">
            <wp:extent cx="192405" cy="251460"/>
            <wp:effectExtent l="0" t="0" r="0" b="0"/>
            <wp:docPr id="1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 коэффициент надежности по ответственности, принимаемый равным 1,2; 1,15 и 1,10 соответственно для сооружений геотехнических категорий 3, 2 и 1.</w:t>
      </w:r>
    </w:p>
    <w:p w:rsidR="00E35632" w:rsidRDefault="00E35632">
      <w:pPr>
        <w:pStyle w:val="ConsPlusNormal"/>
        <w:spacing w:before="220"/>
        <w:ind w:firstLine="540"/>
        <w:jc w:val="both"/>
      </w:pPr>
      <w:r>
        <w:t xml:space="preserve">Примечание - В случае неоднородных грунтов средневзвешенное значение </w:t>
      </w:r>
      <w:r>
        <w:rPr>
          <w:noProof/>
          <w:position w:val="-8"/>
        </w:rPr>
        <w:drawing>
          <wp:inline distT="0" distB="0" distL="0" distR="0">
            <wp:extent cx="192405" cy="251460"/>
            <wp:effectExtent l="0" t="0" r="0" b="0"/>
            <wp:docPr id="1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принимают в пределах толщины </w:t>
      </w:r>
      <w:r>
        <w:rPr>
          <w:i/>
        </w:rPr>
        <w:t>b</w:t>
      </w:r>
      <w:r>
        <w:rPr>
          <w:vertAlign w:val="subscript"/>
        </w:rPr>
        <w:t>1</w:t>
      </w:r>
      <w:r>
        <w:t xml:space="preserve"> + 0,1</w:t>
      </w:r>
      <w:r>
        <w:rPr>
          <w:i/>
        </w:rPr>
        <w:t>b</w:t>
      </w:r>
      <w:r>
        <w:t xml:space="preserve"> (но не более 0,5</w:t>
      </w:r>
      <w:r>
        <w:rPr>
          <w:i/>
        </w:rPr>
        <w:t>b</w:t>
      </w:r>
      <w:r>
        <w:t xml:space="preserve">) под подошвой фундамента, где </w:t>
      </w:r>
      <w:r>
        <w:rPr>
          <w:i/>
        </w:rPr>
        <w:t>b</w:t>
      </w:r>
      <w:r>
        <w:t xml:space="preserve"> - сторона фундамента, м, в направлении которой предполагается потеря устойчивости, а </w:t>
      </w:r>
      <w:r>
        <w:rPr>
          <w:i/>
        </w:rPr>
        <w:t>b</w:t>
      </w:r>
      <w:r>
        <w:rPr>
          <w:vertAlign w:val="subscript"/>
        </w:rPr>
        <w:t>1</w:t>
      </w:r>
      <w:r>
        <w:t xml:space="preserve"> = 4 м.</w:t>
      </w:r>
    </w:p>
    <w:p w:rsidR="00E35632" w:rsidRDefault="00E35632">
      <w:pPr>
        <w:pStyle w:val="ConsPlusNormal"/>
        <w:jc w:val="both"/>
      </w:pPr>
    </w:p>
    <w:p w:rsidR="00E35632" w:rsidRDefault="00E35632">
      <w:pPr>
        <w:pStyle w:val="ConsPlusNormal"/>
        <w:ind w:firstLine="540"/>
        <w:jc w:val="both"/>
      </w:pPr>
      <w:r>
        <w:t xml:space="preserve">5.7.3 Вертикальную составляющую силу предельного сопротивления основания </w:t>
      </w:r>
      <w:r>
        <w:rPr>
          <w:i/>
        </w:rPr>
        <w:t>N</w:t>
      </w:r>
      <w:r>
        <w:rPr>
          <w:i/>
          <w:vertAlign w:val="subscript"/>
        </w:rPr>
        <w:t>u</w:t>
      </w:r>
      <w:r>
        <w:t>, кН, сложенного скальными грунтами, независимо от глубины заложения фундамента вычисляют по формуле</w:t>
      </w:r>
    </w:p>
    <w:p w:rsidR="00E35632" w:rsidRDefault="00E35632">
      <w:pPr>
        <w:pStyle w:val="ConsPlusNormal"/>
        <w:jc w:val="both"/>
      </w:pPr>
    </w:p>
    <w:p w:rsidR="00E35632" w:rsidRDefault="00E35632">
      <w:pPr>
        <w:pStyle w:val="ConsPlusNormal"/>
        <w:jc w:val="center"/>
      </w:pPr>
      <w:bookmarkStart w:id="92" w:name="P1851"/>
      <w:bookmarkEnd w:id="92"/>
      <w:r>
        <w:rPr>
          <w:i/>
        </w:rPr>
        <w:t>N</w:t>
      </w:r>
      <w:r>
        <w:rPr>
          <w:i/>
          <w:vertAlign w:val="subscript"/>
        </w:rPr>
        <w:t>u</w:t>
      </w:r>
      <w:r>
        <w:t xml:space="preserve"> = </w:t>
      </w:r>
      <w:r>
        <w:rPr>
          <w:i/>
        </w:rPr>
        <w:t>R</w:t>
      </w:r>
      <w:r>
        <w:rPr>
          <w:i/>
          <w:vertAlign w:val="subscript"/>
        </w:rPr>
        <w:t>c</w:t>
      </w:r>
      <w:r>
        <w:rPr>
          <w:i/>
        </w:rPr>
        <w:t>b</w:t>
      </w:r>
      <w:r>
        <w:t>'</w:t>
      </w:r>
      <w:r>
        <w:rPr>
          <w:i/>
        </w:rPr>
        <w:t>l</w:t>
      </w:r>
      <w:r>
        <w:t>', (5.28)</w:t>
      </w:r>
    </w:p>
    <w:p w:rsidR="00E35632" w:rsidRDefault="00E35632">
      <w:pPr>
        <w:pStyle w:val="ConsPlusNormal"/>
        <w:jc w:val="both"/>
      </w:pPr>
    </w:p>
    <w:p w:rsidR="00E35632" w:rsidRDefault="00E35632">
      <w:pPr>
        <w:pStyle w:val="ConsPlusNormal"/>
        <w:ind w:firstLine="540"/>
        <w:jc w:val="both"/>
      </w:pPr>
      <w:r>
        <w:t xml:space="preserve">где </w:t>
      </w:r>
      <w:r>
        <w:rPr>
          <w:i/>
        </w:rPr>
        <w:t>R</w:t>
      </w:r>
      <w:r>
        <w:rPr>
          <w:i/>
          <w:vertAlign w:val="subscript"/>
        </w:rPr>
        <w:t>c</w:t>
      </w:r>
      <w:r>
        <w:t xml:space="preserve"> - расчетное значение предела прочности на одноосное сжатие скального грунта, кПа;</w:t>
      </w:r>
    </w:p>
    <w:p w:rsidR="00E35632" w:rsidRDefault="00E35632">
      <w:pPr>
        <w:pStyle w:val="ConsPlusNormal"/>
        <w:spacing w:before="220"/>
        <w:ind w:firstLine="540"/>
        <w:jc w:val="both"/>
      </w:pPr>
      <w:r>
        <w:rPr>
          <w:i/>
        </w:rPr>
        <w:t>b</w:t>
      </w:r>
      <w:r>
        <w:t xml:space="preserve">' и </w:t>
      </w:r>
      <w:r>
        <w:rPr>
          <w:i/>
        </w:rPr>
        <w:t>l</w:t>
      </w:r>
      <w:r>
        <w:t>' - соответственно приведенные ширина и длина фундамента, м, вычисляемые по формулам:</w:t>
      </w:r>
    </w:p>
    <w:p w:rsidR="00E35632" w:rsidRDefault="00E35632">
      <w:pPr>
        <w:pStyle w:val="ConsPlusNormal"/>
        <w:jc w:val="both"/>
      </w:pPr>
    </w:p>
    <w:p w:rsidR="00E35632" w:rsidRDefault="00E35632">
      <w:pPr>
        <w:pStyle w:val="ConsPlusNormal"/>
        <w:jc w:val="center"/>
      </w:pPr>
      <w:bookmarkStart w:id="93" w:name="P1856"/>
      <w:bookmarkEnd w:id="93"/>
      <w:r>
        <w:rPr>
          <w:i/>
        </w:rPr>
        <w:t>b'</w:t>
      </w:r>
      <w:r>
        <w:t xml:space="preserve"> = </w:t>
      </w:r>
      <w:r>
        <w:rPr>
          <w:i/>
        </w:rPr>
        <w:t>b</w:t>
      </w:r>
      <w:r>
        <w:t xml:space="preserve"> - 2</w:t>
      </w:r>
      <w:r>
        <w:rPr>
          <w:i/>
        </w:rPr>
        <w:t>e</w:t>
      </w:r>
      <w:r>
        <w:rPr>
          <w:i/>
          <w:vertAlign w:val="subscript"/>
        </w:rPr>
        <w:t>b</w:t>
      </w:r>
      <w:r>
        <w:t xml:space="preserve">, </w:t>
      </w:r>
      <w:r>
        <w:rPr>
          <w:i/>
        </w:rPr>
        <w:t>l'</w:t>
      </w:r>
      <w:r>
        <w:t xml:space="preserve"> = </w:t>
      </w:r>
      <w:r>
        <w:rPr>
          <w:i/>
        </w:rPr>
        <w:t>l</w:t>
      </w:r>
      <w:r>
        <w:t xml:space="preserve"> - 2</w:t>
      </w:r>
      <w:r>
        <w:rPr>
          <w:i/>
        </w:rPr>
        <w:t>e</w:t>
      </w:r>
      <w:r>
        <w:rPr>
          <w:i/>
          <w:vertAlign w:val="subscript"/>
        </w:rPr>
        <w:t>l</w:t>
      </w:r>
      <w:r>
        <w:t>, (5.29)</w:t>
      </w:r>
    </w:p>
    <w:p w:rsidR="00E35632" w:rsidRDefault="00E35632">
      <w:pPr>
        <w:pStyle w:val="ConsPlusNormal"/>
        <w:jc w:val="both"/>
      </w:pPr>
    </w:p>
    <w:p w:rsidR="00E35632" w:rsidRDefault="00E35632">
      <w:pPr>
        <w:pStyle w:val="ConsPlusNormal"/>
        <w:ind w:firstLine="540"/>
        <w:jc w:val="both"/>
      </w:pPr>
      <w:r>
        <w:t xml:space="preserve">здесь </w:t>
      </w:r>
      <w:r>
        <w:rPr>
          <w:i/>
        </w:rPr>
        <w:t>e</w:t>
      </w:r>
      <w:r>
        <w:rPr>
          <w:i/>
          <w:vertAlign w:val="subscript"/>
        </w:rPr>
        <w:t>b</w:t>
      </w:r>
      <w:r>
        <w:t xml:space="preserve"> и </w:t>
      </w:r>
      <w:r>
        <w:rPr>
          <w:i/>
        </w:rPr>
        <w:t>e</w:t>
      </w:r>
      <w:r>
        <w:rPr>
          <w:i/>
          <w:vertAlign w:val="subscript"/>
        </w:rPr>
        <w:t>l</w:t>
      </w:r>
      <w:r>
        <w:t xml:space="preserve"> - соответственно эксцентриситеты приложения равнодействующей нагрузок в направлении поперечной и продольной осей фундамента, м.</w:t>
      </w:r>
    </w:p>
    <w:p w:rsidR="00E35632" w:rsidRDefault="00E35632">
      <w:pPr>
        <w:pStyle w:val="ConsPlusNormal"/>
        <w:spacing w:before="220"/>
        <w:ind w:firstLine="540"/>
        <w:jc w:val="both"/>
      </w:pPr>
      <w:r>
        <w:t xml:space="preserve">5.7.4 Силу предельного сопротивления основания, сложенного дисперсными грунтами в стабилизированном состоянии, следует определять исходя из условия, что соотношение между нормальными </w:t>
      </w:r>
      <w:r>
        <w:rPr>
          <w:noProof/>
          <w:position w:val="-1"/>
        </w:rPr>
        <w:drawing>
          <wp:inline distT="0" distB="0" distL="0" distR="0">
            <wp:extent cx="167640" cy="160020"/>
            <wp:effectExtent l="0" t="0" r="0" b="0"/>
            <wp:docPr id="1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67640" cy="160020"/>
                    </a:xfrm>
                    <a:prstGeom prst="rect">
                      <a:avLst/>
                    </a:prstGeom>
                    <a:noFill/>
                    <a:ln>
                      <a:noFill/>
                    </a:ln>
                  </pic:spPr>
                </pic:pic>
              </a:graphicData>
            </a:graphic>
          </wp:inline>
        </w:drawing>
      </w:r>
      <w:r>
        <w:t xml:space="preserve"> и касательными </w:t>
      </w:r>
      <w:r>
        <w:rPr>
          <w:noProof/>
          <w:position w:val="-1"/>
        </w:rPr>
        <w:drawing>
          <wp:inline distT="0" distB="0" distL="0" distR="0">
            <wp:extent cx="142240" cy="160020"/>
            <wp:effectExtent l="0" t="0" r="0" b="0"/>
            <wp:docPr id="1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r>
        <w:t xml:space="preserve"> напряжениями по всем поверхностям скольжения, соответствующее предельному состоянию основания, подчиняется зависимости</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1009650" cy="251460"/>
            <wp:effectExtent l="0" t="0" r="0" b="0"/>
            <wp:docPr id="1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1009650" cy="251460"/>
                    </a:xfrm>
                    <a:prstGeom prst="rect">
                      <a:avLst/>
                    </a:prstGeom>
                    <a:noFill/>
                    <a:ln>
                      <a:noFill/>
                    </a:ln>
                  </pic:spPr>
                </pic:pic>
              </a:graphicData>
            </a:graphic>
          </wp:inline>
        </w:drawing>
      </w:r>
      <w:r>
        <w:t xml:space="preserve"> (5.30)</w:t>
      </w:r>
    </w:p>
    <w:p w:rsidR="00E35632" w:rsidRDefault="00E35632">
      <w:pPr>
        <w:pStyle w:val="ConsPlusNormal"/>
        <w:jc w:val="both"/>
      </w:pPr>
    </w:p>
    <w:p w:rsidR="00E35632" w:rsidRDefault="00E35632">
      <w:pPr>
        <w:pStyle w:val="ConsPlusNormal"/>
        <w:ind w:firstLine="540"/>
        <w:jc w:val="both"/>
      </w:pPr>
      <w:r>
        <w:t xml:space="preserve">где </w:t>
      </w:r>
      <w:r>
        <w:rPr>
          <w:noProof/>
          <w:position w:val="-8"/>
        </w:rPr>
        <w:drawing>
          <wp:inline distT="0" distB="0" distL="0" distR="0">
            <wp:extent cx="175895" cy="251460"/>
            <wp:effectExtent l="0" t="0" r="0" b="0"/>
            <wp:docPr id="1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75895" cy="251460"/>
                    </a:xfrm>
                    <a:prstGeom prst="rect">
                      <a:avLst/>
                    </a:prstGeom>
                    <a:noFill/>
                    <a:ln>
                      <a:noFill/>
                    </a:ln>
                  </pic:spPr>
                </pic:pic>
              </a:graphicData>
            </a:graphic>
          </wp:inline>
        </w:drawing>
      </w:r>
      <w:r>
        <w:t xml:space="preserve"> и </w:t>
      </w:r>
      <w:r>
        <w:rPr>
          <w:i/>
        </w:rPr>
        <w:t>c</w:t>
      </w:r>
      <w:r>
        <w:rPr>
          <w:vertAlign w:val="subscript"/>
        </w:rPr>
        <w:t>I</w:t>
      </w:r>
      <w:r>
        <w:t xml:space="preserve"> - соответственно расчетные значения угла внутреннего трения и удельного сцепления грунта (см. </w:t>
      </w:r>
      <w:hyperlink w:anchor="P503">
        <w:r>
          <w:rPr>
            <w:color w:val="0000FF"/>
          </w:rPr>
          <w:t>5.3</w:t>
        </w:r>
      </w:hyperlink>
      <w:r>
        <w:t>).</w:t>
      </w:r>
    </w:p>
    <w:p w:rsidR="00E35632" w:rsidRDefault="00E35632">
      <w:pPr>
        <w:pStyle w:val="ConsPlusNormal"/>
        <w:spacing w:before="220"/>
        <w:ind w:firstLine="540"/>
        <w:jc w:val="both"/>
      </w:pPr>
      <w:bookmarkStart w:id="94" w:name="P1864"/>
      <w:bookmarkEnd w:id="94"/>
      <w:r>
        <w:t xml:space="preserve">5.7.5 Силу предельного сопротивления основания, сложенного медленно уплотняющимися водонасыщенными глинистыми, органоминеральными и органическими грунтами (при </w:t>
      </w:r>
      <w:r>
        <w:lastRenderedPageBreak/>
        <w:t xml:space="preserve">коэффициенте водонасыщения </w:t>
      </w:r>
      <w:r>
        <w:rPr>
          <w:i/>
        </w:rPr>
        <w:t>S</w:t>
      </w:r>
      <w:r>
        <w:rPr>
          <w:i/>
          <w:vertAlign w:val="subscript"/>
        </w:rPr>
        <w:t>r</w:t>
      </w:r>
      <w:r>
        <w:t xml:space="preserve"> &gt;= 0,85 и коэффициенте консолидации </w:t>
      </w:r>
      <w:r>
        <w:rPr>
          <w:noProof/>
          <w:position w:val="-10"/>
        </w:rPr>
        <w:drawing>
          <wp:inline distT="0" distB="0" distL="0" distR="0">
            <wp:extent cx="1215390" cy="267970"/>
            <wp:effectExtent l="0" t="0" r="0" b="0"/>
            <wp:docPr id="1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1215390" cy="267970"/>
                    </a:xfrm>
                    <a:prstGeom prst="rect">
                      <a:avLst/>
                    </a:prstGeom>
                    <a:noFill/>
                    <a:ln>
                      <a:noFill/>
                    </a:ln>
                  </pic:spPr>
                </pic:pic>
              </a:graphicData>
            </a:graphic>
          </wp:inline>
        </w:drawing>
      </w:r>
      <w:r>
        <w:t xml:space="preserve">), следует определять с учетом возможного нестабилизированного состояния грунтов основания за счет избыточного давления в поровой воде </w:t>
      </w:r>
      <w:r>
        <w:rPr>
          <w:i/>
        </w:rPr>
        <w:t>u</w:t>
      </w:r>
      <w:r>
        <w:t xml:space="preserve">. При этом соотношение между нормальными </w:t>
      </w:r>
      <w:r>
        <w:rPr>
          <w:noProof/>
          <w:position w:val="-1"/>
        </w:rPr>
        <w:drawing>
          <wp:inline distT="0" distB="0" distL="0" distR="0">
            <wp:extent cx="167640" cy="160020"/>
            <wp:effectExtent l="0" t="0" r="0" b="0"/>
            <wp:docPr id="1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67640" cy="160020"/>
                    </a:xfrm>
                    <a:prstGeom prst="rect">
                      <a:avLst/>
                    </a:prstGeom>
                    <a:noFill/>
                    <a:ln>
                      <a:noFill/>
                    </a:ln>
                  </pic:spPr>
                </pic:pic>
              </a:graphicData>
            </a:graphic>
          </wp:inline>
        </w:drawing>
      </w:r>
      <w:r>
        <w:t xml:space="preserve"> и касательными </w:t>
      </w:r>
      <w:r>
        <w:rPr>
          <w:noProof/>
          <w:position w:val="-1"/>
        </w:rPr>
        <w:drawing>
          <wp:inline distT="0" distB="0" distL="0" distR="0">
            <wp:extent cx="142240" cy="160020"/>
            <wp:effectExtent l="0" t="0" r="0" b="0"/>
            <wp:docPr id="1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r>
        <w:t xml:space="preserve"> напряжениями принимают по зависимости</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1397000" cy="251460"/>
            <wp:effectExtent l="0" t="0" r="0" b="0"/>
            <wp:docPr id="1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1397000" cy="251460"/>
                    </a:xfrm>
                    <a:prstGeom prst="rect">
                      <a:avLst/>
                    </a:prstGeom>
                    <a:noFill/>
                    <a:ln>
                      <a:noFill/>
                    </a:ln>
                  </pic:spPr>
                </pic:pic>
              </a:graphicData>
            </a:graphic>
          </wp:inline>
        </w:drawing>
      </w:r>
      <w:r>
        <w:t xml:space="preserve"> (5.31)</w:t>
      </w:r>
    </w:p>
    <w:p w:rsidR="00E35632" w:rsidRDefault="00E35632">
      <w:pPr>
        <w:pStyle w:val="ConsPlusNormal"/>
        <w:jc w:val="both"/>
      </w:pPr>
    </w:p>
    <w:p w:rsidR="00E35632" w:rsidRDefault="00E35632">
      <w:pPr>
        <w:pStyle w:val="ConsPlusNormal"/>
        <w:ind w:firstLine="540"/>
        <w:jc w:val="both"/>
      </w:pPr>
      <w:r>
        <w:t xml:space="preserve">где </w:t>
      </w:r>
      <w:r>
        <w:rPr>
          <w:noProof/>
          <w:position w:val="-8"/>
        </w:rPr>
        <w:drawing>
          <wp:inline distT="0" distB="0" distL="0" distR="0">
            <wp:extent cx="182880" cy="250825"/>
            <wp:effectExtent l="0" t="0" r="0" b="0"/>
            <wp:docPr id="1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 xml:space="preserve"> и </w:t>
      </w:r>
      <w:r>
        <w:rPr>
          <w:i/>
        </w:rPr>
        <w:t>u</w:t>
      </w:r>
      <w:r>
        <w:t xml:space="preserve"> - значения полного нормального напряжения и порового давления, соответственно;</w:t>
      </w:r>
    </w:p>
    <w:p w:rsidR="00E35632" w:rsidRDefault="00E35632">
      <w:pPr>
        <w:pStyle w:val="ConsPlusNormal"/>
        <w:spacing w:before="220"/>
        <w:ind w:firstLine="540"/>
        <w:jc w:val="both"/>
      </w:pPr>
      <w:r>
        <w:rPr>
          <w:noProof/>
          <w:position w:val="-8"/>
        </w:rPr>
        <w:drawing>
          <wp:inline distT="0" distB="0" distL="0" distR="0">
            <wp:extent cx="175895" cy="251460"/>
            <wp:effectExtent l="0" t="0" r="0" b="0"/>
            <wp:docPr id="1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175895" cy="251460"/>
                    </a:xfrm>
                    <a:prstGeom prst="rect">
                      <a:avLst/>
                    </a:prstGeom>
                    <a:noFill/>
                    <a:ln>
                      <a:noFill/>
                    </a:ln>
                  </pic:spPr>
                </pic:pic>
              </a:graphicData>
            </a:graphic>
          </wp:inline>
        </w:drawing>
      </w:r>
      <w:r>
        <w:t xml:space="preserve"> и </w:t>
      </w:r>
      <w:r>
        <w:rPr>
          <w:i/>
        </w:rPr>
        <w:t>c</w:t>
      </w:r>
      <w:r>
        <w:rPr>
          <w:vertAlign w:val="subscript"/>
        </w:rPr>
        <w:t>I</w:t>
      </w:r>
      <w:r>
        <w:t xml:space="preserve"> - соответствуют стабилизированному состоянию грунтов основания и определяются по результатам консолидированного среза или трехосного сжатия.</w:t>
      </w:r>
    </w:p>
    <w:p w:rsidR="00E35632" w:rsidRDefault="00E35632">
      <w:pPr>
        <w:pStyle w:val="ConsPlusNormal"/>
        <w:spacing w:before="220"/>
        <w:ind w:firstLine="540"/>
        <w:jc w:val="both"/>
      </w:pPr>
      <w:r>
        <w:t>Избыточное давление в поровой воде допускается определять методами фильтрационной консолидации грунтов с учетом скорости приложения нагрузки на основание.</w:t>
      </w:r>
    </w:p>
    <w:p w:rsidR="00E35632" w:rsidRDefault="00E35632">
      <w:pPr>
        <w:pStyle w:val="ConsPlusNormal"/>
        <w:spacing w:before="220"/>
        <w:ind w:firstLine="540"/>
        <w:jc w:val="both"/>
      </w:pPr>
      <w:r>
        <w:t>Контроль стабилизации грунтов основания, сложенного медленно уплотняющимися грунтами, допускается определять статическим зондированием с использованием зонда с датчиком порового давления по данным зондирования со стабилизацией зонда с одновременным проведением диссипационных испытаний.</w:t>
      </w:r>
    </w:p>
    <w:p w:rsidR="00E35632" w:rsidRDefault="00E35632">
      <w:pPr>
        <w:pStyle w:val="ConsPlusNormal"/>
        <w:jc w:val="both"/>
      </w:pPr>
      <w:r>
        <w:t xml:space="preserve">(абзац введен </w:t>
      </w:r>
      <w:hyperlink r:id="rId439">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bookmarkStart w:id="95" w:name="P1873"/>
      <w:bookmarkEnd w:id="95"/>
      <w:r>
        <w:t>5.7.6 При проверке несущей способности основания фундамента следует учитывать, что потеря устойчивости может происходить по следующим возможным вариантам (в зависимости от соотношения вертикальной и горизонтальной составляющих равнодействующей, а также значения эксцентриситета):</w:t>
      </w:r>
    </w:p>
    <w:p w:rsidR="00E35632" w:rsidRDefault="00E35632">
      <w:pPr>
        <w:pStyle w:val="ConsPlusNormal"/>
        <w:spacing w:before="220"/>
        <w:ind w:firstLine="540"/>
        <w:jc w:val="both"/>
      </w:pPr>
      <w:r>
        <w:t>- плоский сдвиг по подошве;</w:t>
      </w:r>
    </w:p>
    <w:p w:rsidR="00E35632" w:rsidRDefault="00E35632">
      <w:pPr>
        <w:pStyle w:val="ConsPlusNormal"/>
        <w:spacing w:before="220"/>
        <w:ind w:firstLine="540"/>
        <w:jc w:val="both"/>
      </w:pPr>
      <w:r>
        <w:t>- глубинный сдвиг;</w:t>
      </w:r>
    </w:p>
    <w:p w:rsidR="00E35632" w:rsidRDefault="00E35632">
      <w:pPr>
        <w:pStyle w:val="ConsPlusNormal"/>
        <w:spacing w:before="220"/>
        <w:ind w:firstLine="540"/>
        <w:jc w:val="both"/>
      </w:pPr>
      <w:r>
        <w:t>- смешанный сдвиг (плоский сдвиг по части подошвы и глубинный сдвиг по поверхности, охватывающей оставшуюся часть подошвы).</w:t>
      </w:r>
    </w:p>
    <w:p w:rsidR="00E35632" w:rsidRDefault="00E35632">
      <w:pPr>
        <w:pStyle w:val="ConsPlusNormal"/>
        <w:spacing w:before="220"/>
        <w:ind w:firstLine="540"/>
        <w:jc w:val="both"/>
      </w:pPr>
      <w:r>
        <w:t>Необходимо учитывать форму фундамента и характер его подошвы, наличие связей фундамента с другими элементами сооружения, напластование и свойства грунтов основания.</w:t>
      </w:r>
    </w:p>
    <w:p w:rsidR="00E35632" w:rsidRDefault="00E35632">
      <w:pPr>
        <w:pStyle w:val="ConsPlusNormal"/>
        <w:spacing w:before="220"/>
        <w:ind w:firstLine="540"/>
        <w:jc w:val="both"/>
      </w:pPr>
      <w:r>
        <w:t>Проверку устойчивости основания отдельного фундамента следует проводить с учетом работы основания всего сооружения в целом.</w:t>
      </w:r>
    </w:p>
    <w:p w:rsidR="00E35632" w:rsidRDefault="00E35632">
      <w:pPr>
        <w:pStyle w:val="ConsPlusNormal"/>
        <w:spacing w:before="220"/>
        <w:ind w:firstLine="540"/>
        <w:jc w:val="both"/>
      </w:pPr>
      <w:r>
        <w:t>5.7.7 Расчет оснований по несущей способности в общем случае следует выполнять методами теории предельного равновесия, основанными на поиске наиболее опасной поверхности скольжения и обеспечивающими равенство сдвигающих и удерживающих сил. Возможные поверхности скольжения, отделяющие сдвигаемый массив грунта от неподвижного, могут быть приняты круглоцилиндрическими, ломаными, в виде логарифмической спирали и другой формы.</w:t>
      </w:r>
    </w:p>
    <w:p w:rsidR="00E35632" w:rsidRDefault="00E35632">
      <w:pPr>
        <w:pStyle w:val="ConsPlusNormal"/>
        <w:spacing w:before="220"/>
        <w:ind w:firstLine="540"/>
        <w:jc w:val="both"/>
      </w:pPr>
      <w:r>
        <w:t>5.7.8 Возможные поверхности скольжения могут полностью или частично совпадать с выраженными ослабленными поверхностями в грунтовом массиве или пересекать слои слабых грунтов; при их выборе необходимо учитывать ограничения на перемещения грунта, исходя из конструктивных особенностей сооружения. При расчете следует учитывать различные сочетания нагрузок, отвечающие как периоду строительства, так и периоду эксплуатации сооружения.</w:t>
      </w:r>
    </w:p>
    <w:p w:rsidR="00E35632" w:rsidRDefault="00E35632">
      <w:pPr>
        <w:pStyle w:val="ConsPlusNormal"/>
        <w:spacing w:before="220"/>
        <w:ind w:firstLine="540"/>
        <w:jc w:val="both"/>
      </w:pPr>
      <w:r>
        <w:t xml:space="preserve">5.7.9 Для каждой возможной поверхности скольжения вычисляют предельную нагрузку. При этом используют соотношения между вертикальными, горизонтальными и моментными </w:t>
      </w:r>
      <w:r>
        <w:lastRenderedPageBreak/>
        <w:t>компонентами нагрузки, которые ожидаются в момент потери устойчивости, и описывают нагрузку одним параметром. Этот параметр определяется из условия равновесия сил (в проекции на заданную ось) или моментов (относительно заданной оси). В качестве предельной нагрузки принимают минимальное значение.</w:t>
      </w:r>
    </w:p>
    <w:p w:rsidR="00E35632" w:rsidRDefault="00E35632">
      <w:pPr>
        <w:pStyle w:val="ConsPlusNormal"/>
        <w:spacing w:before="220"/>
        <w:ind w:firstLine="540"/>
        <w:jc w:val="both"/>
      </w:pPr>
      <w:bookmarkStart w:id="96" w:name="P1882"/>
      <w:bookmarkEnd w:id="96"/>
      <w:r>
        <w:t>5.7.10 В число рассматриваемых при определении равновесия сил включают вертикальные, горизонтальные и моментные нагрузки от сооружения, вес грунта, фильтрационные силы, силы трения и сцепления по выбранной поверхности скольжения, активное и (или) пассивное давление грунта на сдвигаемую часть грунтового массива вне поверхности скольжения.</w:t>
      </w:r>
    </w:p>
    <w:p w:rsidR="00E35632" w:rsidRDefault="00E35632">
      <w:pPr>
        <w:pStyle w:val="ConsPlusNormal"/>
        <w:spacing w:before="220"/>
        <w:ind w:firstLine="540"/>
        <w:jc w:val="both"/>
      </w:pPr>
      <w:r>
        <w:t xml:space="preserve">5.7.11 Вертикальную составляющую силы предельного сопротивления </w:t>
      </w:r>
      <w:r>
        <w:rPr>
          <w:i/>
        </w:rPr>
        <w:t>N</w:t>
      </w:r>
      <w:r>
        <w:rPr>
          <w:i/>
          <w:vertAlign w:val="subscript"/>
        </w:rPr>
        <w:t>u</w:t>
      </w:r>
      <w:r>
        <w:t>, кН, основания, сложенного дисперсными грунтами в стабилизированном состоянии, допускается вычислять по формуле (5.32), если фундамент имеет плоскую подошву и грунты основания ниже подошвы однородны до глубины не менее ее ширины, а в случае различной вертикальной пригрузки с разных сторон фундамента интенсивность большей из них не превышает 0,5</w:t>
      </w:r>
      <w:r>
        <w:rPr>
          <w:i/>
        </w:rPr>
        <w:t>R</w:t>
      </w:r>
      <w:r>
        <w:t xml:space="preserve"> (</w:t>
      </w:r>
      <w:r>
        <w:rPr>
          <w:i/>
        </w:rPr>
        <w:t>R</w:t>
      </w:r>
      <w:r>
        <w:t xml:space="preserve"> - расчетное сопротивление грунта основания, определяемое в соответствии с </w:t>
      </w:r>
      <w:hyperlink w:anchor="P849">
        <w:r>
          <w:rPr>
            <w:color w:val="0000FF"/>
          </w:rPr>
          <w:t>5.6.7</w:t>
        </w:r>
      </w:hyperlink>
      <w:r>
        <w:t xml:space="preserve"> - </w:t>
      </w:r>
      <w:hyperlink w:anchor="P1219">
        <w:r>
          <w:rPr>
            <w:color w:val="0000FF"/>
          </w:rPr>
          <w:t>5.6.25</w:t>
        </w:r>
      </w:hyperlink>
      <w:r>
        <w:t>)</w:t>
      </w:r>
    </w:p>
    <w:p w:rsidR="00E35632" w:rsidRDefault="00E35632">
      <w:pPr>
        <w:pStyle w:val="ConsPlusNormal"/>
        <w:jc w:val="both"/>
      </w:pPr>
    </w:p>
    <w:p w:rsidR="00E35632" w:rsidRDefault="00E35632">
      <w:pPr>
        <w:pStyle w:val="ConsPlusNormal"/>
        <w:jc w:val="center"/>
      </w:pPr>
      <w:bookmarkStart w:id="97" w:name="P1885"/>
      <w:bookmarkEnd w:id="97"/>
      <w:r>
        <w:rPr>
          <w:noProof/>
          <w:position w:val="-10"/>
        </w:rPr>
        <w:drawing>
          <wp:inline distT="0" distB="0" distL="0" distR="0">
            <wp:extent cx="2654300" cy="267970"/>
            <wp:effectExtent l="0" t="0" r="0" b="0"/>
            <wp:docPr id="1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0" cstate="print">
                      <a:extLst>
                        <a:ext uri="{28A0092B-C50C-407E-A947-70E740481C1C}">
                          <a14:useLocalDpi xmlns:a14="http://schemas.microsoft.com/office/drawing/2010/main" val="0"/>
                        </a:ext>
                      </a:extLst>
                    </a:blip>
                    <a:srcRect/>
                    <a:stretch>
                      <a:fillRect/>
                    </a:stretch>
                  </pic:blipFill>
                  <pic:spPr bwMode="auto">
                    <a:xfrm>
                      <a:off x="0" y="0"/>
                      <a:ext cx="2654300" cy="267970"/>
                    </a:xfrm>
                    <a:prstGeom prst="rect">
                      <a:avLst/>
                    </a:prstGeom>
                    <a:noFill/>
                    <a:ln>
                      <a:noFill/>
                    </a:ln>
                  </pic:spPr>
                </pic:pic>
              </a:graphicData>
            </a:graphic>
          </wp:inline>
        </w:drawing>
      </w:r>
      <w:r>
        <w:t xml:space="preserve"> (5.32)</w:t>
      </w:r>
    </w:p>
    <w:p w:rsidR="00E35632" w:rsidRDefault="00E35632">
      <w:pPr>
        <w:pStyle w:val="ConsPlusNormal"/>
        <w:jc w:val="both"/>
      </w:pPr>
    </w:p>
    <w:p w:rsidR="00E35632" w:rsidRDefault="00E35632">
      <w:pPr>
        <w:pStyle w:val="ConsPlusNormal"/>
        <w:ind w:firstLine="540"/>
        <w:jc w:val="both"/>
      </w:pPr>
      <w:r>
        <w:t xml:space="preserve">где </w:t>
      </w:r>
      <w:r>
        <w:rPr>
          <w:i/>
        </w:rPr>
        <w:t>b</w:t>
      </w:r>
      <w:r>
        <w:t xml:space="preserve">' и </w:t>
      </w:r>
      <w:r>
        <w:rPr>
          <w:i/>
        </w:rPr>
        <w:t>l</w:t>
      </w:r>
      <w:r>
        <w:t xml:space="preserve">' - то же, что и в </w:t>
      </w:r>
      <w:hyperlink w:anchor="P1856">
        <w:r>
          <w:rPr>
            <w:color w:val="0000FF"/>
          </w:rPr>
          <w:t>формуле (5.29)</w:t>
        </w:r>
      </w:hyperlink>
      <w:r>
        <w:t xml:space="preserve">, при этом буквой </w:t>
      </w:r>
      <w:r>
        <w:rPr>
          <w:i/>
        </w:rPr>
        <w:t>b</w:t>
      </w:r>
      <w:r>
        <w:t xml:space="preserve"> обозначена сторона фундамента, в направлении которой предполагается потеря устойчивости основания;</w:t>
      </w:r>
    </w:p>
    <w:p w:rsidR="00E35632" w:rsidRDefault="00E35632">
      <w:pPr>
        <w:pStyle w:val="ConsPlusNormal"/>
        <w:spacing w:before="220"/>
        <w:ind w:firstLine="540"/>
        <w:jc w:val="both"/>
      </w:pPr>
      <w:r>
        <w:rPr>
          <w:noProof/>
          <w:position w:val="-10"/>
        </w:rPr>
        <w:drawing>
          <wp:inline distT="0" distB="0" distL="0" distR="0">
            <wp:extent cx="241935" cy="267970"/>
            <wp:effectExtent l="0" t="0" r="0" b="0"/>
            <wp:docPr id="1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w:t>
      </w:r>
      <w:r>
        <w:rPr>
          <w:i/>
        </w:rPr>
        <w:t>N</w:t>
      </w:r>
      <w:r>
        <w:rPr>
          <w:i/>
          <w:vertAlign w:val="subscript"/>
        </w:rPr>
        <w:t>q</w:t>
      </w:r>
      <w:r>
        <w:t xml:space="preserve">, </w:t>
      </w:r>
      <w:r>
        <w:rPr>
          <w:i/>
        </w:rPr>
        <w:t>N</w:t>
      </w:r>
      <w:r>
        <w:rPr>
          <w:i/>
          <w:vertAlign w:val="subscript"/>
        </w:rPr>
        <w:t>c</w:t>
      </w:r>
      <w:r>
        <w:t xml:space="preserve"> - безразмерные коэффициенты несущей способности, определяемые по </w:t>
      </w:r>
      <w:hyperlink w:anchor="P1900">
        <w:r>
          <w:rPr>
            <w:color w:val="0000FF"/>
          </w:rPr>
          <w:t>таблице 5.12</w:t>
        </w:r>
      </w:hyperlink>
      <w:r>
        <w:t xml:space="preserve"> в зависимости от расчетного значения угла внутреннего трения грунта </w:t>
      </w:r>
      <w:r>
        <w:rPr>
          <w:noProof/>
          <w:position w:val="-8"/>
        </w:rPr>
        <w:drawing>
          <wp:inline distT="0" distB="0" distL="0" distR="0">
            <wp:extent cx="193040" cy="251460"/>
            <wp:effectExtent l="0" t="0" r="0" b="0"/>
            <wp:docPr id="1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193040" cy="251460"/>
                    </a:xfrm>
                    <a:prstGeom prst="rect">
                      <a:avLst/>
                    </a:prstGeom>
                    <a:noFill/>
                    <a:ln>
                      <a:noFill/>
                    </a:ln>
                  </pic:spPr>
                </pic:pic>
              </a:graphicData>
            </a:graphic>
          </wp:inline>
        </w:drawing>
      </w:r>
      <w:r>
        <w:t xml:space="preserve"> и угла наклона к вертикали </w:t>
      </w:r>
      <w:r>
        <w:rPr>
          <w:noProof/>
          <w:position w:val="-3"/>
        </w:rPr>
        <w:drawing>
          <wp:inline distT="0" distB="0" distL="0" distR="0">
            <wp:extent cx="160020" cy="182880"/>
            <wp:effectExtent l="0" t="0" r="0" b="0"/>
            <wp:docPr id="1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160020" cy="182880"/>
                    </a:xfrm>
                    <a:prstGeom prst="rect">
                      <a:avLst/>
                    </a:prstGeom>
                    <a:noFill/>
                    <a:ln>
                      <a:noFill/>
                    </a:ln>
                  </pic:spPr>
                </pic:pic>
              </a:graphicData>
            </a:graphic>
          </wp:inline>
        </w:drawing>
      </w:r>
      <w:r>
        <w:t xml:space="preserve"> равнодействующей внешней нагрузки на основание </w:t>
      </w:r>
      <w:r>
        <w:rPr>
          <w:i/>
        </w:rPr>
        <w:t>F</w:t>
      </w:r>
      <w:r>
        <w:t xml:space="preserve"> в уровне подошвы фундамента;</w:t>
      </w:r>
    </w:p>
    <w:p w:rsidR="00E35632" w:rsidRDefault="00E35632">
      <w:pPr>
        <w:pStyle w:val="ConsPlusNormal"/>
        <w:spacing w:before="220"/>
        <w:ind w:firstLine="540"/>
        <w:jc w:val="both"/>
      </w:pPr>
      <w:r>
        <w:rPr>
          <w:noProof/>
          <w:position w:val="-8"/>
        </w:rPr>
        <w:drawing>
          <wp:inline distT="0" distB="0" distL="0" distR="0">
            <wp:extent cx="167640" cy="251460"/>
            <wp:effectExtent l="0" t="0" r="0" b="0"/>
            <wp:docPr id="1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и </w:t>
      </w:r>
      <w:r>
        <w:rPr>
          <w:noProof/>
          <w:position w:val="-8"/>
        </w:rPr>
        <w:drawing>
          <wp:inline distT="0" distB="0" distL="0" distR="0">
            <wp:extent cx="185420" cy="251460"/>
            <wp:effectExtent l="0" t="0" r="0" b="0"/>
            <wp:docPr id="1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 расчетные значения удельного веса грунтов, кН/м</w:t>
      </w:r>
      <w:r>
        <w:rPr>
          <w:vertAlign w:val="superscript"/>
        </w:rPr>
        <w:t>3</w:t>
      </w:r>
      <w:r>
        <w:t>, находящихся в пределах возможной призмы выпирания соответственно ниже и выше подошвы фундамента (при наличии подземных вод определяют с учетом взвешивающего действия воды для грунтов, находящихся выше водоупора);</w:t>
      </w:r>
    </w:p>
    <w:p w:rsidR="00E35632" w:rsidRDefault="00E35632">
      <w:pPr>
        <w:pStyle w:val="ConsPlusNormal"/>
        <w:spacing w:before="220"/>
        <w:ind w:firstLine="540"/>
        <w:jc w:val="both"/>
      </w:pPr>
      <w:r>
        <w:rPr>
          <w:i/>
        </w:rPr>
        <w:t>c</w:t>
      </w:r>
      <w:r>
        <w:rPr>
          <w:vertAlign w:val="subscript"/>
        </w:rPr>
        <w:t>I</w:t>
      </w:r>
      <w:r>
        <w:t xml:space="preserve"> - расчетное значение удельного сцепления грунта, кПа;</w:t>
      </w:r>
    </w:p>
    <w:p w:rsidR="00E35632" w:rsidRDefault="00E35632">
      <w:pPr>
        <w:pStyle w:val="ConsPlusNormal"/>
        <w:spacing w:before="220"/>
        <w:ind w:firstLine="540"/>
        <w:jc w:val="both"/>
      </w:pPr>
      <w:r>
        <w:rPr>
          <w:i/>
        </w:rPr>
        <w:t>d</w:t>
      </w:r>
      <w:r>
        <w:t xml:space="preserve"> - глубина заложения фундамента, м (в случае неодинаковой вертикальной пригрузки с разных сторон фундамента принимают значение </w:t>
      </w:r>
      <w:r>
        <w:rPr>
          <w:i/>
        </w:rPr>
        <w:t>d</w:t>
      </w:r>
      <w:r>
        <w:t>, соответствующее наименьшей пригрузке, например, со стороны подвала);</w:t>
      </w:r>
    </w:p>
    <w:p w:rsidR="00E35632" w:rsidRDefault="00E35632">
      <w:pPr>
        <w:pStyle w:val="ConsPlusNormal"/>
        <w:spacing w:before="220"/>
        <w:ind w:firstLine="540"/>
        <w:jc w:val="both"/>
      </w:pPr>
      <w:r>
        <w:rPr>
          <w:noProof/>
          <w:position w:val="-10"/>
        </w:rPr>
        <w:drawing>
          <wp:inline distT="0" distB="0" distL="0" distR="0">
            <wp:extent cx="185420" cy="267970"/>
            <wp:effectExtent l="0" t="0" r="0" b="0"/>
            <wp:docPr id="1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185420" cy="267970"/>
                    </a:xfrm>
                    <a:prstGeom prst="rect">
                      <a:avLst/>
                    </a:prstGeom>
                    <a:noFill/>
                    <a:ln>
                      <a:noFill/>
                    </a:ln>
                  </pic:spPr>
                </pic:pic>
              </a:graphicData>
            </a:graphic>
          </wp:inline>
        </w:drawing>
      </w:r>
      <w:r>
        <w:t xml:space="preserve">, </w:t>
      </w:r>
      <w:r>
        <w:rPr>
          <w:noProof/>
          <w:position w:val="-10"/>
        </w:rPr>
        <w:drawing>
          <wp:inline distT="0" distB="0" distL="0" distR="0">
            <wp:extent cx="192405" cy="267970"/>
            <wp:effectExtent l="0" t="0" r="0" b="0"/>
            <wp:docPr id="1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92405" cy="267970"/>
                    </a:xfrm>
                    <a:prstGeom prst="rect">
                      <a:avLst/>
                    </a:prstGeom>
                    <a:noFill/>
                    <a:ln>
                      <a:noFill/>
                    </a:ln>
                  </pic:spPr>
                </pic:pic>
              </a:graphicData>
            </a:graphic>
          </wp:inline>
        </w:drawing>
      </w:r>
      <w:r>
        <w:t xml:space="preserve">, </w:t>
      </w:r>
      <w:r>
        <w:rPr>
          <w:noProof/>
          <w:position w:val="-8"/>
        </w:rPr>
        <w:drawing>
          <wp:inline distT="0" distB="0" distL="0" distR="0">
            <wp:extent cx="192405" cy="251460"/>
            <wp:effectExtent l="0" t="0" r="0" b="0"/>
            <wp:docPr id="18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w:t>
      </w:r>
      <w:r>
        <w:rPr>
          <w:vertAlign w:val="superscript"/>
        </w:rPr>
        <w:t>_</w:t>
      </w:r>
      <w:r>
        <w:t xml:space="preserve"> коэффициенты формы фундамента, вычисляемые по формулам:</w:t>
      </w:r>
    </w:p>
    <w:p w:rsidR="00E35632" w:rsidRDefault="00E35632">
      <w:pPr>
        <w:pStyle w:val="ConsPlusNormal"/>
        <w:jc w:val="both"/>
      </w:pPr>
    </w:p>
    <w:p w:rsidR="00E35632" w:rsidRDefault="00E35632">
      <w:pPr>
        <w:pStyle w:val="ConsPlusNormal"/>
        <w:jc w:val="center"/>
      </w:pPr>
      <w:bookmarkStart w:id="98" w:name="P1894"/>
      <w:bookmarkEnd w:id="98"/>
      <w:r>
        <w:rPr>
          <w:noProof/>
          <w:position w:val="-10"/>
        </w:rPr>
        <w:drawing>
          <wp:inline distT="0" distB="0" distL="0" distR="0">
            <wp:extent cx="3115310" cy="267970"/>
            <wp:effectExtent l="0" t="0" r="0" b="0"/>
            <wp:docPr id="18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3115310" cy="267970"/>
                    </a:xfrm>
                    <a:prstGeom prst="rect">
                      <a:avLst/>
                    </a:prstGeom>
                    <a:noFill/>
                    <a:ln>
                      <a:noFill/>
                    </a:ln>
                  </pic:spPr>
                </pic:pic>
              </a:graphicData>
            </a:graphic>
          </wp:inline>
        </w:drawing>
      </w:r>
      <w:r>
        <w:t xml:space="preserve"> (5.33)</w:t>
      </w:r>
    </w:p>
    <w:p w:rsidR="00E35632" w:rsidRDefault="00E35632">
      <w:pPr>
        <w:pStyle w:val="ConsPlusNormal"/>
        <w:jc w:val="both"/>
      </w:pPr>
    </w:p>
    <w:p w:rsidR="00E35632" w:rsidRDefault="00E35632">
      <w:pPr>
        <w:pStyle w:val="ConsPlusNormal"/>
        <w:ind w:firstLine="540"/>
        <w:jc w:val="both"/>
      </w:pPr>
      <w:r>
        <w:t xml:space="preserve">здесь </w:t>
      </w:r>
      <w:r>
        <w:rPr>
          <w:noProof/>
          <w:position w:val="-6"/>
        </w:rPr>
        <w:drawing>
          <wp:inline distT="0" distB="0" distL="0" distR="0">
            <wp:extent cx="544830" cy="226060"/>
            <wp:effectExtent l="0" t="0" r="0" b="0"/>
            <wp:docPr id="18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544830" cy="226060"/>
                    </a:xfrm>
                    <a:prstGeom prst="rect">
                      <a:avLst/>
                    </a:prstGeom>
                    <a:noFill/>
                    <a:ln>
                      <a:noFill/>
                    </a:ln>
                  </pic:spPr>
                </pic:pic>
              </a:graphicData>
            </a:graphic>
          </wp:inline>
        </w:drawing>
      </w:r>
      <w:r>
        <w:t>;</w:t>
      </w:r>
    </w:p>
    <w:p w:rsidR="00E35632" w:rsidRDefault="00E35632">
      <w:pPr>
        <w:pStyle w:val="ConsPlusNormal"/>
        <w:spacing w:before="220"/>
        <w:ind w:firstLine="540"/>
        <w:jc w:val="both"/>
      </w:pPr>
      <w:r>
        <w:rPr>
          <w:i/>
        </w:rPr>
        <w:t>l</w:t>
      </w:r>
      <w:r>
        <w:t xml:space="preserve"> и </w:t>
      </w:r>
      <w:r>
        <w:rPr>
          <w:i/>
        </w:rPr>
        <w:t>b</w:t>
      </w:r>
      <w:r>
        <w:t xml:space="preserve"> - соответственно длина и ширина подошвы фундамента, м, принимаемые в случае внецентренного приложения равнодействующей нагрузки равными приведенным значениям </w:t>
      </w:r>
      <w:r>
        <w:rPr>
          <w:i/>
        </w:rPr>
        <w:t>l</w:t>
      </w:r>
      <w:r>
        <w:t xml:space="preserve">' и </w:t>
      </w:r>
      <w:r>
        <w:rPr>
          <w:i/>
        </w:rPr>
        <w:t>b</w:t>
      </w:r>
      <w:r>
        <w:t xml:space="preserve">', определяемым по </w:t>
      </w:r>
      <w:hyperlink w:anchor="P1856">
        <w:r>
          <w:rPr>
            <w:color w:val="0000FF"/>
          </w:rPr>
          <w:t>формуле (5.29)</w:t>
        </w:r>
      </w:hyperlink>
      <w:r>
        <w:t>.</w:t>
      </w:r>
    </w:p>
    <w:p w:rsidR="00E35632" w:rsidRDefault="00E35632">
      <w:pPr>
        <w:pStyle w:val="ConsPlusNormal"/>
        <w:spacing w:before="220"/>
        <w:ind w:firstLine="540"/>
        <w:jc w:val="both"/>
      </w:pPr>
      <w:r>
        <w:t xml:space="preserve">Если </w:t>
      </w:r>
      <w:r>
        <w:rPr>
          <w:noProof/>
          <w:position w:val="-6"/>
        </w:rPr>
        <w:drawing>
          <wp:inline distT="0" distB="0" distL="0" distR="0">
            <wp:extent cx="760095" cy="226060"/>
            <wp:effectExtent l="0" t="0" r="0" b="0"/>
            <wp:docPr id="18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760095" cy="226060"/>
                    </a:xfrm>
                    <a:prstGeom prst="rect">
                      <a:avLst/>
                    </a:prstGeom>
                    <a:noFill/>
                    <a:ln>
                      <a:noFill/>
                    </a:ln>
                  </pic:spPr>
                </pic:pic>
              </a:graphicData>
            </a:graphic>
          </wp:inline>
        </w:drawing>
      </w:r>
      <w:r>
        <w:t xml:space="preserve">, в </w:t>
      </w:r>
      <w:hyperlink w:anchor="P1894">
        <w:r>
          <w:rPr>
            <w:color w:val="0000FF"/>
          </w:rPr>
          <w:t>формулах (5.33)</w:t>
        </w:r>
      </w:hyperlink>
      <w:r>
        <w:t xml:space="preserve"> следует принимать </w:t>
      </w:r>
      <w:r>
        <w:rPr>
          <w:noProof/>
          <w:position w:val="-6"/>
        </w:rPr>
        <w:drawing>
          <wp:inline distT="0" distB="0" distL="0" distR="0">
            <wp:extent cx="370205" cy="226060"/>
            <wp:effectExtent l="0" t="0" r="0" b="0"/>
            <wp:docPr id="18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370205" cy="226060"/>
                    </a:xfrm>
                    <a:prstGeom prst="rect">
                      <a:avLst/>
                    </a:prstGeom>
                    <a:noFill/>
                    <a:ln>
                      <a:noFill/>
                    </a:ln>
                  </pic:spPr>
                </pic:pic>
              </a:graphicData>
            </a:graphic>
          </wp:inline>
        </w:drawing>
      </w:r>
      <w:r>
        <w:t>.</w:t>
      </w:r>
    </w:p>
    <w:p w:rsidR="00E35632" w:rsidRDefault="00E35632">
      <w:pPr>
        <w:pStyle w:val="ConsPlusNormal"/>
        <w:jc w:val="both"/>
      </w:pPr>
    </w:p>
    <w:p w:rsidR="00E35632" w:rsidRDefault="00E35632">
      <w:pPr>
        <w:pStyle w:val="ConsPlusNormal"/>
        <w:jc w:val="right"/>
      </w:pPr>
      <w:bookmarkStart w:id="99" w:name="P1900"/>
      <w:bookmarkEnd w:id="99"/>
      <w:r>
        <w:t>Таблица 5.12</w:t>
      </w:r>
    </w:p>
    <w:p w:rsidR="00E35632" w:rsidRDefault="00E35632">
      <w:pPr>
        <w:pStyle w:val="ConsPlusNormal"/>
        <w:jc w:val="both"/>
      </w:pPr>
    </w:p>
    <w:p w:rsidR="00E35632" w:rsidRDefault="00E35632">
      <w:pPr>
        <w:pStyle w:val="ConsPlusNormal"/>
        <w:sectPr w:rsidR="00E35632" w:rsidSect="00A25C06">
          <w:pgSz w:w="11906" w:h="16838"/>
          <w:pgMar w:top="1134" w:right="850" w:bottom="1134" w:left="1701" w:header="708" w:footer="708" w:gutter="0"/>
          <w:cols w:space="708"/>
          <w:docGrid w:linePitch="36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020"/>
        <w:gridCol w:w="1077"/>
        <w:gridCol w:w="850"/>
        <w:gridCol w:w="453"/>
        <w:gridCol w:w="623"/>
        <w:gridCol w:w="453"/>
        <w:gridCol w:w="453"/>
        <w:gridCol w:w="623"/>
        <w:gridCol w:w="453"/>
        <w:gridCol w:w="453"/>
        <w:gridCol w:w="623"/>
        <w:gridCol w:w="453"/>
        <w:gridCol w:w="453"/>
        <w:gridCol w:w="623"/>
        <w:gridCol w:w="453"/>
        <w:gridCol w:w="453"/>
        <w:gridCol w:w="623"/>
        <w:gridCol w:w="453"/>
        <w:gridCol w:w="453"/>
        <w:gridCol w:w="566"/>
        <w:gridCol w:w="453"/>
        <w:gridCol w:w="453"/>
        <w:gridCol w:w="737"/>
        <w:gridCol w:w="453"/>
        <w:gridCol w:w="453"/>
        <w:gridCol w:w="737"/>
        <w:gridCol w:w="453"/>
        <w:gridCol w:w="1077"/>
      </w:tblGrid>
      <w:tr w:rsidR="00E35632">
        <w:tc>
          <w:tcPr>
            <w:tcW w:w="1020" w:type="dxa"/>
            <w:vMerge w:val="restart"/>
            <w:vAlign w:val="center"/>
          </w:tcPr>
          <w:p w:rsidR="00E35632" w:rsidRDefault="00E35632">
            <w:pPr>
              <w:pStyle w:val="ConsPlusNormal"/>
              <w:jc w:val="center"/>
            </w:pPr>
            <w:r>
              <w:lastRenderedPageBreak/>
              <w:t xml:space="preserve">Угол внутреннего трения грунта </w:t>
            </w:r>
            <w:r>
              <w:rPr>
                <w:noProof/>
                <w:position w:val="-8"/>
              </w:rPr>
              <w:drawing>
                <wp:inline distT="0" distB="0" distL="0" distR="0">
                  <wp:extent cx="185420" cy="251460"/>
                  <wp:effectExtent l="0" t="0" r="0" b="0"/>
                  <wp:docPr id="18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град.</w:t>
            </w:r>
          </w:p>
        </w:tc>
        <w:tc>
          <w:tcPr>
            <w:tcW w:w="1077" w:type="dxa"/>
            <w:vMerge w:val="restart"/>
            <w:vAlign w:val="center"/>
          </w:tcPr>
          <w:p w:rsidR="00E35632" w:rsidRDefault="00E35632">
            <w:pPr>
              <w:pStyle w:val="ConsPlusNormal"/>
              <w:jc w:val="center"/>
            </w:pPr>
            <w:r>
              <w:t>Обозначение коэффициентов</w:t>
            </w:r>
          </w:p>
        </w:tc>
        <w:tc>
          <w:tcPr>
            <w:tcW w:w="14330" w:type="dxa"/>
            <w:gridSpan w:val="26"/>
            <w:vAlign w:val="center"/>
          </w:tcPr>
          <w:p w:rsidR="00E35632" w:rsidRDefault="00E35632">
            <w:pPr>
              <w:pStyle w:val="ConsPlusNormal"/>
              <w:jc w:val="center"/>
            </w:pPr>
            <w:r>
              <w:t xml:space="preserve">Коэффициенты несущей способности </w:t>
            </w:r>
            <w:r>
              <w:rPr>
                <w:noProof/>
                <w:position w:val="-10"/>
              </w:rPr>
              <w:drawing>
                <wp:inline distT="0" distB="0" distL="0" distR="0">
                  <wp:extent cx="241935" cy="267970"/>
                  <wp:effectExtent l="0" t="0" r="0" b="0"/>
                  <wp:docPr id="19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w:t>
            </w:r>
            <w:r>
              <w:rPr>
                <w:i/>
              </w:rPr>
              <w:t>N</w:t>
            </w:r>
            <w:r>
              <w:rPr>
                <w:i/>
                <w:vertAlign w:val="subscript"/>
              </w:rPr>
              <w:t>q</w:t>
            </w:r>
            <w:r>
              <w:t xml:space="preserve"> и </w:t>
            </w:r>
            <w:r>
              <w:rPr>
                <w:i/>
              </w:rPr>
              <w:t>N</w:t>
            </w:r>
            <w:r>
              <w:rPr>
                <w:i/>
                <w:vertAlign w:val="subscript"/>
              </w:rPr>
              <w:t>c</w:t>
            </w:r>
          </w:p>
          <w:p w:rsidR="00E35632" w:rsidRDefault="00E35632">
            <w:pPr>
              <w:pStyle w:val="ConsPlusNormal"/>
              <w:jc w:val="center"/>
            </w:pPr>
            <w:r>
              <w:t>при углах наклона к вертикали равнодействующей внешней</w:t>
            </w:r>
          </w:p>
          <w:p w:rsidR="00E35632" w:rsidRDefault="00E35632">
            <w:pPr>
              <w:pStyle w:val="ConsPlusNormal"/>
              <w:jc w:val="center"/>
            </w:pPr>
            <w:r>
              <w:t xml:space="preserve">нагрузки </w:t>
            </w:r>
            <w:r>
              <w:rPr>
                <w:noProof/>
                <w:position w:val="-3"/>
              </w:rPr>
              <w:drawing>
                <wp:inline distT="0" distB="0" distL="0" distR="0">
                  <wp:extent cx="160020" cy="182880"/>
                  <wp:effectExtent l="0" t="0" r="0" b="0"/>
                  <wp:docPr id="19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160020" cy="182880"/>
                          </a:xfrm>
                          <a:prstGeom prst="rect">
                            <a:avLst/>
                          </a:prstGeom>
                          <a:noFill/>
                          <a:ln>
                            <a:noFill/>
                          </a:ln>
                        </pic:spPr>
                      </pic:pic>
                    </a:graphicData>
                  </a:graphic>
                </wp:inline>
              </w:drawing>
            </w:r>
            <w:r>
              <w:t>, град, равных</w:t>
            </w:r>
          </w:p>
        </w:tc>
      </w:tr>
      <w:tr w:rsidR="00E35632">
        <w:tc>
          <w:tcPr>
            <w:tcW w:w="1020" w:type="dxa"/>
            <w:vMerge/>
          </w:tcPr>
          <w:p w:rsidR="00E35632" w:rsidRDefault="00E35632">
            <w:pPr>
              <w:pStyle w:val="ConsPlusNormal"/>
            </w:pPr>
          </w:p>
        </w:tc>
        <w:tc>
          <w:tcPr>
            <w:tcW w:w="1077" w:type="dxa"/>
            <w:vMerge/>
          </w:tcPr>
          <w:p w:rsidR="00E35632" w:rsidRDefault="00E35632">
            <w:pPr>
              <w:pStyle w:val="ConsPlusNormal"/>
            </w:pPr>
          </w:p>
        </w:tc>
        <w:tc>
          <w:tcPr>
            <w:tcW w:w="850" w:type="dxa"/>
            <w:vAlign w:val="center"/>
          </w:tcPr>
          <w:p w:rsidR="00E35632" w:rsidRDefault="00E35632">
            <w:pPr>
              <w:pStyle w:val="ConsPlusNormal"/>
              <w:jc w:val="center"/>
            </w:pPr>
            <w:r>
              <w:t>0</w:t>
            </w:r>
          </w:p>
        </w:tc>
        <w:tc>
          <w:tcPr>
            <w:tcW w:w="1529" w:type="dxa"/>
            <w:gridSpan w:val="3"/>
            <w:vAlign w:val="center"/>
          </w:tcPr>
          <w:p w:rsidR="00E35632" w:rsidRDefault="00E35632">
            <w:pPr>
              <w:pStyle w:val="ConsPlusNormal"/>
              <w:jc w:val="center"/>
            </w:pPr>
            <w:r>
              <w:t>5</w:t>
            </w:r>
          </w:p>
        </w:tc>
        <w:tc>
          <w:tcPr>
            <w:tcW w:w="1529" w:type="dxa"/>
            <w:gridSpan w:val="3"/>
            <w:vAlign w:val="center"/>
          </w:tcPr>
          <w:p w:rsidR="00E35632" w:rsidRDefault="00E35632">
            <w:pPr>
              <w:pStyle w:val="ConsPlusNormal"/>
              <w:jc w:val="center"/>
            </w:pPr>
            <w:r>
              <w:t>10</w:t>
            </w:r>
          </w:p>
        </w:tc>
        <w:tc>
          <w:tcPr>
            <w:tcW w:w="1529" w:type="dxa"/>
            <w:gridSpan w:val="3"/>
            <w:vAlign w:val="center"/>
          </w:tcPr>
          <w:p w:rsidR="00E35632" w:rsidRDefault="00E35632">
            <w:pPr>
              <w:pStyle w:val="ConsPlusNormal"/>
              <w:jc w:val="center"/>
            </w:pPr>
            <w:r>
              <w:t>15</w:t>
            </w:r>
          </w:p>
        </w:tc>
        <w:tc>
          <w:tcPr>
            <w:tcW w:w="1529" w:type="dxa"/>
            <w:gridSpan w:val="3"/>
            <w:vAlign w:val="center"/>
          </w:tcPr>
          <w:p w:rsidR="00E35632" w:rsidRDefault="00E35632">
            <w:pPr>
              <w:pStyle w:val="ConsPlusNormal"/>
              <w:jc w:val="center"/>
            </w:pPr>
            <w:r>
              <w:t>20</w:t>
            </w:r>
          </w:p>
        </w:tc>
        <w:tc>
          <w:tcPr>
            <w:tcW w:w="1529" w:type="dxa"/>
            <w:gridSpan w:val="3"/>
            <w:vAlign w:val="center"/>
          </w:tcPr>
          <w:p w:rsidR="00E35632" w:rsidRDefault="00E35632">
            <w:pPr>
              <w:pStyle w:val="ConsPlusNormal"/>
              <w:jc w:val="center"/>
            </w:pPr>
            <w:r>
              <w:t>25</w:t>
            </w:r>
          </w:p>
        </w:tc>
        <w:tc>
          <w:tcPr>
            <w:tcW w:w="1472" w:type="dxa"/>
            <w:gridSpan w:val="3"/>
            <w:vAlign w:val="center"/>
          </w:tcPr>
          <w:p w:rsidR="00E35632" w:rsidRDefault="00E35632">
            <w:pPr>
              <w:pStyle w:val="ConsPlusNormal"/>
              <w:jc w:val="center"/>
            </w:pPr>
            <w:r>
              <w:t>30</w:t>
            </w:r>
          </w:p>
        </w:tc>
        <w:tc>
          <w:tcPr>
            <w:tcW w:w="1643" w:type="dxa"/>
            <w:gridSpan w:val="3"/>
            <w:vAlign w:val="center"/>
          </w:tcPr>
          <w:p w:rsidR="00E35632" w:rsidRDefault="00E35632">
            <w:pPr>
              <w:pStyle w:val="ConsPlusNormal"/>
              <w:jc w:val="center"/>
            </w:pPr>
            <w:r>
              <w:t>35</w:t>
            </w:r>
          </w:p>
        </w:tc>
        <w:tc>
          <w:tcPr>
            <w:tcW w:w="1643" w:type="dxa"/>
            <w:gridSpan w:val="3"/>
            <w:vAlign w:val="center"/>
          </w:tcPr>
          <w:p w:rsidR="00E35632" w:rsidRDefault="00E35632">
            <w:pPr>
              <w:pStyle w:val="ConsPlusNormal"/>
              <w:jc w:val="center"/>
            </w:pPr>
            <w:r>
              <w:t>40</w:t>
            </w:r>
          </w:p>
        </w:tc>
        <w:tc>
          <w:tcPr>
            <w:tcW w:w="1077" w:type="dxa"/>
            <w:vAlign w:val="center"/>
          </w:tcPr>
          <w:p w:rsidR="00E35632" w:rsidRDefault="00E35632">
            <w:pPr>
              <w:pStyle w:val="ConsPlusNormal"/>
              <w:jc w:val="center"/>
            </w:pPr>
            <w:r>
              <w:t>45</w:t>
            </w:r>
          </w:p>
        </w:tc>
      </w:tr>
      <w:tr w:rsidR="00E35632">
        <w:tc>
          <w:tcPr>
            <w:tcW w:w="1020" w:type="dxa"/>
            <w:vMerge w:val="restart"/>
          </w:tcPr>
          <w:p w:rsidR="00E35632" w:rsidRDefault="00E35632">
            <w:pPr>
              <w:pStyle w:val="ConsPlusNormal"/>
              <w:jc w:val="center"/>
            </w:pPr>
            <w:r>
              <w:t>0</w:t>
            </w:r>
          </w:p>
        </w:tc>
        <w:tc>
          <w:tcPr>
            <w:tcW w:w="1077" w:type="dxa"/>
            <w:tcBorders>
              <w:bottom w:val="nil"/>
            </w:tcBorders>
            <w:vAlign w:val="center"/>
          </w:tcPr>
          <w:p w:rsidR="00E35632" w:rsidRDefault="00E35632">
            <w:pPr>
              <w:pStyle w:val="ConsPlusNormal"/>
              <w:jc w:val="center"/>
            </w:pPr>
            <w:r>
              <w:rPr>
                <w:noProof/>
                <w:position w:val="-10"/>
              </w:rPr>
              <w:drawing>
                <wp:inline distT="0" distB="0" distL="0" distR="0">
                  <wp:extent cx="241935" cy="267970"/>
                  <wp:effectExtent l="0" t="0" r="0" b="0"/>
                  <wp:docPr id="19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p>
        </w:tc>
        <w:tc>
          <w:tcPr>
            <w:tcW w:w="850" w:type="dxa"/>
            <w:tcBorders>
              <w:bottom w:val="nil"/>
            </w:tcBorders>
            <w:vAlign w:val="center"/>
          </w:tcPr>
          <w:p w:rsidR="00E35632" w:rsidRDefault="00E35632">
            <w:pPr>
              <w:pStyle w:val="ConsPlusNormal"/>
              <w:jc w:val="center"/>
            </w:pPr>
            <w:r>
              <w:t>0</w:t>
            </w:r>
          </w:p>
        </w:tc>
        <w:tc>
          <w:tcPr>
            <w:tcW w:w="1529" w:type="dxa"/>
            <w:gridSpan w:val="3"/>
            <w:vMerge w:val="restart"/>
          </w:tcPr>
          <w:p w:rsidR="00E35632" w:rsidRDefault="00E35632">
            <w:pPr>
              <w:pStyle w:val="ConsPlusNormal"/>
              <w:jc w:val="center"/>
            </w:pPr>
            <w:r>
              <w:t>-</w:t>
            </w:r>
          </w:p>
        </w:tc>
        <w:tc>
          <w:tcPr>
            <w:tcW w:w="1529" w:type="dxa"/>
            <w:gridSpan w:val="3"/>
            <w:vMerge w:val="restart"/>
          </w:tcPr>
          <w:p w:rsidR="00E35632" w:rsidRDefault="00E35632">
            <w:pPr>
              <w:pStyle w:val="ConsPlusNormal"/>
              <w:jc w:val="center"/>
            </w:pPr>
            <w:r>
              <w:t>-</w:t>
            </w:r>
          </w:p>
        </w:tc>
        <w:tc>
          <w:tcPr>
            <w:tcW w:w="1529" w:type="dxa"/>
            <w:gridSpan w:val="3"/>
            <w:vMerge w:val="restart"/>
          </w:tcPr>
          <w:p w:rsidR="00E35632" w:rsidRDefault="00E35632">
            <w:pPr>
              <w:pStyle w:val="ConsPlusNormal"/>
              <w:jc w:val="center"/>
            </w:pPr>
            <w:r>
              <w:t>-</w:t>
            </w:r>
          </w:p>
        </w:tc>
        <w:tc>
          <w:tcPr>
            <w:tcW w:w="1529" w:type="dxa"/>
            <w:gridSpan w:val="3"/>
            <w:vMerge w:val="restart"/>
          </w:tcPr>
          <w:p w:rsidR="00E35632" w:rsidRDefault="00E35632">
            <w:pPr>
              <w:pStyle w:val="ConsPlusNormal"/>
              <w:jc w:val="center"/>
            </w:pPr>
            <w:r>
              <w:t>-</w:t>
            </w:r>
          </w:p>
        </w:tc>
        <w:tc>
          <w:tcPr>
            <w:tcW w:w="1529" w:type="dxa"/>
            <w:gridSpan w:val="3"/>
            <w:vMerge w:val="restart"/>
          </w:tcPr>
          <w:p w:rsidR="00E35632" w:rsidRDefault="00E35632">
            <w:pPr>
              <w:pStyle w:val="ConsPlusNormal"/>
              <w:jc w:val="center"/>
            </w:pPr>
            <w:r>
              <w:t>-</w:t>
            </w:r>
          </w:p>
        </w:tc>
        <w:tc>
          <w:tcPr>
            <w:tcW w:w="1472" w:type="dxa"/>
            <w:gridSpan w:val="3"/>
            <w:vMerge w:val="restart"/>
          </w:tcPr>
          <w:p w:rsidR="00E35632" w:rsidRDefault="00E35632">
            <w:pPr>
              <w:pStyle w:val="ConsPlusNormal"/>
              <w:jc w:val="center"/>
            </w:pPr>
            <w:r>
              <w:t>-</w:t>
            </w:r>
          </w:p>
        </w:tc>
        <w:tc>
          <w:tcPr>
            <w:tcW w:w="1643" w:type="dxa"/>
            <w:gridSpan w:val="3"/>
            <w:vMerge w:val="restart"/>
          </w:tcPr>
          <w:p w:rsidR="00E35632" w:rsidRDefault="00E35632">
            <w:pPr>
              <w:pStyle w:val="ConsPlusNormal"/>
              <w:jc w:val="center"/>
            </w:pPr>
            <w:r>
              <w:t>-</w:t>
            </w:r>
          </w:p>
        </w:tc>
        <w:tc>
          <w:tcPr>
            <w:tcW w:w="1643" w:type="dxa"/>
            <w:gridSpan w:val="3"/>
            <w:vMerge w:val="restart"/>
          </w:tcPr>
          <w:p w:rsidR="00E35632" w:rsidRDefault="00E35632">
            <w:pPr>
              <w:pStyle w:val="ConsPlusNormal"/>
              <w:jc w:val="center"/>
            </w:pPr>
            <w:r>
              <w:t>-</w:t>
            </w:r>
          </w:p>
        </w:tc>
        <w:tc>
          <w:tcPr>
            <w:tcW w:w="1077" w:type="dxa"/>
            <w:vMerge w:val="restart"/>
          </w:tcPr>
          <w:p w:rsidR="00E35632" w:rsidRDefault="00E35632">
            <w:pPr>
              <w:pStyle w:val="ConsPlusNormal"/>
              <w:jc w:val="center"/>
            </w:pPr>
            <w:r>
              <w:t>-</w:t>
            </w:r>
          </w:p>
        </w:tc>
      </w:tr>
      <w:tr w:rsidR="00E35632">
        <w:tblPrEx>
          <w:tblBorders>
            <w:insideH w:val="nil"/>
          </w:tblBorders>
        </w:tblPrEx>
        <w:tc>
          <w:tcPr>
            <w:tcW w:w="1020" w:type="dxa"/>
            <w:vMerge/>
          </w:tcPr>
          <w:p w:rsidR="00E35632" w:rsidRDefault="00E35632">
            <w:pPr>
              <w:pStyle w:val="ConsPlusNormal"/>
            </w:pPr>
          </w:p>
        </w:tc>
        <w:tc>
          <w:tcPr>
            <w:tcW w:w="1077" w:type="dxa"/>
            <w:tcBorders>
              <w:top w:val="nil"/>
              <w:bottom w:val="nil"/>
            </w:tcBorders>
            <w:vAlign w:val="center"/>
          </w:tcPr>
          <w:p w:rsidR="00E35632" w:rsidRDefault="00E35632">
            <w:pPr>
              <w:pStyle w:val="ConsPlusNormal"/>
              <w:jc w:val="center"/>
            </w:pPr>
            <w:r>
              <w:rPr>
                <w:i/>
              </w:rPr>
              <w:t>N</w:t>
            </w:r>
            <w:r>
              <w:rPr>
                <w:i/>
                <w:vertAlign w:val="subscript"/>
              </w:rPr>
              <w:t>q</w:t>
            </w:r>
          </w:p>
        </w:tc>
        <w:tc>
          <w:tcPr>
            <w:tcW w:w="850" w:type="dxa"/>
            <w:tcBorders>
              <w:top w:val="nil"/>
              <w:bottom w:val="nil"/>
            </w:tcBorders>
            <w:vAlign w:val="center"/>
          </w:tcPr>
          <w:p w:rsidR="00E35632" w:rsidRDefault="00E35632">
            <w:pPr>
              <w:pStyle w:val="ConsPlusNormal"/>
              <w:jc w:val="center"/>
            </w:pPr>
            <w:r>
              <w:t>1,00</w:t>
            </w: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472"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tcPr>
          <w:p w:rsidR="00E35632" w:rsidRDefault="00E35632">
            <w:pPr>
              <w:pStyle w:val="ConsPlusNormal"/>
            </w:pPr>
          </w:p>
        </w:tc>
        <w:tc>
          <w:tcPr>
            <w:tcW w:w="1077" w:type="dxa"/>
            <w:tcBorders>
              <w:top w:val="nil"/>
            </w:tcBorders>
            <w:vAlign w:val="center"/>
          </w:tcPr>
          <w:p w:rsidR="00E35632" w:rsidRDefault="00E35632">
            <w:pPr>
              <w:pStyle w:val="ConsPlusNormal"/>
              <w:jc w:val="center"/>
            </w:pPr>
            <w:r>
              <w:rPr>
                <w:i/>
              </w:rPr>
              <w:t>N</w:t>
            </w:r>
            <w:r>
              <w:rPr>
                <w:i/>
                <w:vertAlign w:val="subscript"/>
              </w:rPr>
              <w:t>c</w:t>
            </w:r>
          </w:p>
        </w:tc>
        <w:tc>
          <w:tcPr>
            <w:tcW w:w="850" w:type="dxa"/>
            <w:tcBorders>
              <w:top w:val="nil"/>
            </w:tcBorders>
            <w:vAlign w:val="center"/>
          </w:tcPr>
          <w:p w:rsidR="00E35632" w:rsidRDefault="00E35632">
            <w:pPr>
              <w:pStyle w:val="ConsPlusNormal"/>
              <w:jc w:val="center"/>
            </w:pPr>
            <w:r>
              <w:t>5,14</w:t>
            </w: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472"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val="restart"/>
          </w:tcPr>
          <w:p w:rsidR="00E35632" w:rsidRDefault="00E35632">
            <w:pPr>
              <w:pStyle w:val="ConsPlusNormal"/>
              <w:jc w:val="center"/>
            </w:pPr>
            <w:r>
              <w:t>5</w:t>
            </w:r>
          </w:p>
        </w:tc>
        <w:tc>
          <w:tcPr>
            <w:tcW w:w="1077" w:type="dxa"/>
            <w:tcBorders>
              <w:bottom w:val="nil"/>
            </w:tcBorders>
            <w:vAlign w:val="center"/>
          </w:tcPr>
          <w:p w:rsidR="00E35632" w:rsidRDefault="00E35632">
            <w:pPr>
              <w:pStyle w:val="ConsPlusNormal"/>
              <w:jc w:val="center"/>
            </w:pPr>
            <w:r>
              <w:rPr>
                <w:noProof/>
                <w:position w:val="-10"/>
              </w:rPr>
              <w:drawing>
                <wp:inline distT="0" distB="0" distL="0" distR="0">
                  <wp:extent cx="241935" cy="267970"/>
                  <wp:effectExtent l="0" t="0" r="0" b="0"/>
                  <wp:docPr id="19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p>
        </w:tc>
        <w:tc>
          <w:tcPr>
            <w:tcW w:w="850" w:type="dxa"/>
            <w:tcBorders>
              <w:bottom w:val="nil"/>
            </w:tcBorders>
            <w:vAlign w:val="center"/>
          </w:tcPr>
          <w:p w:rsidR="00E35632" w:rsidRDefault="00E35632">
            <w:pPr>
              <w:pStyle w:val="ConsPlusNormal"/>
              <w:jc w:val="center"/>
            </w:pPr>
            <w:r>
              <w:t>0,20</w:t>
            </w:r>
          </w:p>
        </w:tc>
        <w:tc>
          <w:tcPr>
            <w:tcW w:w="453" w:type="dxa"/>
            <w:vMerge w:val="restart"/>
            <w:tcBorders>
              <w:righ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19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623" w:type="dxa"/>
            <w:tcBorders>
              <w:left w:val="nil"/>
              <w:bottom w:val="nil"/>
              <w:right w:val="nil"/>
            </w:tcBorders>
            <w:vAlign w:val="center"/>
          </w:tcPr>
          <w:p w:rsidR="00E35632" w:rsidRDefault="00E35632">
            <w:pPr>
              <w:pStyle w:val="ConsPlusNormal"/>
              <w:jc w:val="center"/>
            </w:pPr>
            <w:r>
              <w:t>0,05</w:t>
            </w:r>
          </w:p>
        </w:tc>
        <w:tc>
          <w:tcPr>
            <w:tcW w:w="453" w:type="dxa"/>
            <w:vMerge w:val="restart"/>
            <w:tcBorders>
              <w:lef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1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1529" w:type="dxa"/>
            <w:gridSpan w:val="3"/>
            <w:vMerge w:val="restart"/>
          </w:tcPr>
          <w:p w:rsidR="00E35632" w:rsidRDefault="00E35632">
            <w:pPr>
              <w:pStyle w:val="ConsPlusNormal"/>
              <w:jc w:val="center"/>
            </w:pPr>
            <w:r>
              <w:rPr>
                <w:noProof/>
                <w:position w:val="-6"/>
              </w:rPr>
              <w:drawing>
                <wp:inline distT="0" distB="0" distL="0" distR="0">
                  <wp:extent cx="572770" cy="226060"/>
                  <wp:effectExtent l="0" t="0" r="0" b="0"/>
                  <wp:docPr id="19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572770" cy="226060"/>
                          </a:xfrm>
                          <a:prstGeom prst="rect">
                            <a:avLst/>
                          </a:prstGeom>
                          <a:noFill/>
                          <a:ln>
                            <a:noFill/>
                          </a:ln>
                        </pic:spPr>
                      </pic:pic>
                    </a:graphicData>
                  </a:graphic>
                </wp:inline>
              </w:drawing>
            </w:r>
          </w:p>
        </w:tc>
        <w:tc>
          <w:tcPr>
            <w:tcW w:w="1529" w:type="dxa"/>
            <w:gridSpan w:val="3"/>
            <w:vMerge w:val="restart"/>
          </w:tcPr>
          <w:p w:rsidR="00E35632" w:rsidRDefault="00E35632">
            <w:pPr>
              <w:pStyle w:val="ConsPlusNormal"/>
              <w:jc w:val="center"/>
            </w:pPr>
            <w:r>
              <w:t>-</w:t>
            </w:r>
          </w:p>
        </w:tc>
        <w:tc>
          <w:tcPr>
            <w:tcW w:w="1529" w:type="dxa"/>
            <w:gridSpan w:val="3"/>
            <w:vMerge w:val="restart"/>
          </w:tcPr>
          <w:p w:rsidR="00E35632" w:rsidRDefault="00E35632">
            <w:pPr>
              <w:pStyle w:val="ConsPlusNormal"/>
              <w:jc w:val="center"/>
            </w:pPr>
            <w:r>
              <w:t>-</w:t>
            </w:r>
          </w:p>
        </w:tc>
        <w:tc>
          <w:tcPr>
            <w:tcW w:w="1529" w:type="dxa"/>
            <w:gridSpan w:val="3"/>
            <w:vMerge w:val="restart"/>
          </w:tcPr>
          <w:p w:rsidR="00E35632" w:rsidRDefault="00E35632">
            <w:pPr>
              <w:pStyle w:val="ConsPlusNormal"/>
              <w:jc w:val="center"/>
            </w:pPr>
            <w:r>
              <w:t>-</w:t>
            </w:r>
          </w:p>
        </w:tc>
        <w:tc>
          <w:tcPr>
            <w:tcW w:w="1472" w:type="dxa"/>
            <w:gridSpan w:val="3"/>
            <w:vMerge w:val="restart"/>
          </w:tcPr>
          <w:p w:rsidR="00E35632" w:rsidRDefault="00E35632">
            <w:pPr>
              <w:pStyle w:val="ConsPlusNormal"/>
              <w:jc w:val="center"/>
            </w:pPr>
            <w:r>
              <w:t>-</w:t>
            </w:r>
          </w:p>
        </w:tc>
        <w:tc>
          <w:tcPr>
            <w:tcW w:w="1643" w:type="dxa"/>
            <w:gridSpan w:val="3"/>
            <w:vMerge w:val="restart"/>
          </w:tcPr>
          <w:p w:rsidR="00E35632" w:rsidRDefault="00E35632">
            <w:pPr>
              <w:pStyle w:val="ConsPlusNormal"/>
              <w:jc w:val="center"/>
            </w:pPr>
            <w:r>
              <w:t>-</w:t>
            </w:r>
          </w:p>
        </w:tc>
        <w:tc>
          <w:tcPr>
            <w:tcW w:w="1643" w:type="dxa"/>
            <w:gridSpan w:val="3"/>
            <w:vMerge w:val="restart"/>
          </w:tcPr>
          <w:p w:rsidR="00E35632" w:rsidRDefault="00E35632">
            <w:pPr>
              <w:pStyle w:val="ConsPlusNormal"/>
              <w:jc w:val="center"/>
            </w:pPr>
            <w:r>
              <w:t>-</w:t>
            </w:r>
          </w:p>
        </w:tc>
        <w:tc>
          <w:tcPr>
            <w:tcW w:w="1077" w:type="dxa"/>
            <w:vMerge w:val="restart"/>
          </w:tcPr>
          <w:p w:rsidR="00E35632" w:rsidRDefault="00E35632">
            <w:pPr>
              <w:pStyle w:val="ConsPlusNormal"/>
              <w:jc w:val="center"/>
            </w:pPr>
            <w:r>
              <w:t>-</w:t>
            </w:r>
          </w:p>
        </w:tc>
      </w:tr>
      <w:tr w:rsidR="00E35632">
        <w:tblPrEx>
          <w:tblBorders>
            <w:insideH w:val="nil"/>
          </w:tblBorders>
        </w:tblPrEx>
        <w:tc>
          <w:tcPr>
            <w:tcW w:w="1020" w:type="dxa"/>
            <w:vMerge/>
          </w:tcPr>
          <w:p w:rsidR="00E35632" w:rsidRDefault="00E35632">
            <w:pPr>
              <w:pStyle w:val="ConsPlusNormal"/>
            </w:pPr>
          </w:p>
        </w:tc>
        <w:tc>
          <w:tcPr>
            <w:tcW w:w="1077" w:type="dxa"/>
            <w:tcBorders>
              <w:top w:val="nil"/>
              <w:bottom w:val="nil"/>
            </w:tcBorders>
            <w:vAlign w:val="center"/>
          </w:tcPr>
          <w:p w:rsidR="00E35632" w:rsidRDefault="00E35632">
            <w:pPr>
              <w:pStyle w:val="ConsPlusNormal"/>
              <w:jc w:val="center"/>
            </w:pPr>
            <w:r>
              <w:rPr>
                <w:i/>
              </w:rPr>
              <w:t>N</w:t>
            </w:r>
            <w:r>
              <w:rPr>
                <w:i/>
                <w:vertAlign w:val="subscript"/>
              </w:rPr>
              <w:t>q</w:t>
            </w:r>
          </w:p>
        </w:tc>
        <w:tc>
          <w:tcPr>
            <w:tcW w:w="850" w:type="dxa"/>
            <w:tcBorders>
              <w:top w:val="nil"/>
              <w:bottom w:val="nil"/>
            </w:tcBorders>
            <w:vAlign w:val="center"/>
          </w:tcPr>
          <w:p w:rsidR="00E35632" w:rsidRDefault="00E35632">
            <w:pPr>
              <w:pStyle w:val="ConsPlusNormal"/>
              <w:jc w:val="center"/>
            </w:pPr>
            <w:r>
              <w:t>1,57</w:t>
            </w:r>
          </w:p>
        </w:tc>
        <w:tc>
          <w:tcPr>
            <w:tcW w:w="453" w:type="dxa"/>
            <w:vMerge/>
            <w:tcBorders>
              <w:right w:val="nil"/>
            </w:tcBorders>
          </w:tcPr>
          <w:p w:rsidR="00E35632" w:rsidRDefault="00E35632">
            <w:pPr>
              <w:pStyle w:val="ConsPlusNormal"/>
            </w:pPr>
          </w:p>
        </w:tc>
        <w:tc>
          <w:tcPr>
            <w:tcW w:w="623" w:type="dxa"/>
            <w:tcBorders>
              <w:top w:val="nil"/>
              <w:left w:val="nil"/>
              <w:bottom w:val="nil"/>
              <w:right w:val="nil"/>
            </w:tcBorders>
            <w:vAlign w:val="center"/>
          </w:tcPr>
          <w:p w:rsidR="00E35632" w:rsidRDefault="00E35632">
            <w:pPr>
              <w:pStyle w:val="ConsPlusNormal"/>
              <w:jc w:val="center"/>
            </w:pPr>
            <w:r>
              <w:t>0,26</w:t>
            </w:r>
          </w:p>
        </w:tc>
        <w:tc>
          <w:tcPr>
            <w:tcW w:w="453" w:type="dxa"/>
            <w:vMerge/>
            <w:tcBorders>
              <w:left w:val="nil"/>
            </w:tcBorders>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472"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tcPr>
          <w:p w:rsidR="00E35632" w:rsidRDefault="00E35632">
            <w:pPr>
              <w:pStyle w:val="ConsPlusNormal"/>
            </w:pPr>
          </w:p>
        </w:tc>
        <w:tc>
          <w:tcPr>
            <w:tcW w:w="1077" w:type="dxa"/>
            <w:tcBorders>
              <w:top w:val="nil"/>
            </w:tcBorders>
            <w:vAlign w:val="center"/>
          </w:tcPr>
          <w:p w:rsidR="00E35632" w:rsidRDefault="00E35632">
            <w:pPr>
              <w:pStyle w:val="ConsPlusNormal"/>
              <w:jc w:val="center"/>
            </w:pPr>
            <w:r>
              <w:rPr>
                <w:i/>
              </w:rPr>
              <w:t>N</w:t>
            </w:r>
            <w:r>
              <w:rPr>
                <w:i/>
                <w:vertAlign w:val="subscript"/>
              </w:rPr>
              <w:t>c</w:t>
            </w:r>
          </w:p>
        </w:tc>
        <w:tc>
          <w:tcPr>
            <w:tcW w:w="850" w:type="dxa"/>
            <w:tcBorders>
              <w:top w:val="nil"/>
            </w:tcBorders>
            <w:vAlign w:val="center"/>
          </w:tcPr>
          <w:p w:rsidR="00E35632" w:rsidRDefault="00E35632">
            <w:pPr>
              <w:pStyle w:val="ConsPlusNormal"/>
              <w:jc w:val="center"/>
            </w:pPr>
            <w:r>
              <w:t>6,49</w:t>
            </w:r>
          </w:p>
        </w:tc>
        <w:tc>
          <w:tcPr>
            <w:tcW w:w="453" w:type="dxa"/>
            <w:vMerge/>
            <w:tcBorders>
              <w:right w:val="nil"/>
            </w:tcBorders>
          </w:tcPr>
          <w:p w:rsidR="00E35632" w:rsidRDefault="00E35632">
            <w:pPr>
              <w:pStyle w:val="ConsPlusNormal"/>
            </w:pPr>
          </w:p>
        </w:tc>
        <w:tc>
          <w:tcPr>
            <w:tcW w:w="623" w:type="dxa"/>
            <w:tcBorders>
              <w:top w:val="nil"/>
              <w:left w:val="nil"/>
              <w:right w:val="nil"/>
            </w:tcBorders>
            <w:vAlign w:val="center"/>
          </w:tcPr>
          <w:p w:rsidR="00E35632" w:rsidRDefault="00E35632">
            <w:pPr>
              <w:pStyle w:val="ConsPlusNormal"/>
              <w:jc w:val="center"/>
            </w:pPr>
            <w:r>
              <w:t>2,93</w:t>
            </w:r>
          </w:p>
        </w:tc>
        <w:tc>
          <w:tcPr>
            <w:tcW w:w="453" w:type="dxa"/>
            <w:vMerge/>
            <w:tcBorders>
              <w:left w:val="nil"/>
            </w:tcBorders>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472"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val="restart"/>
          </w:tcPr>
          <w:p w:rsidR="00E35632" w:rsidRDefault="00E35632">
            <w:pPr>
              <w:pStyle w:val="ConsPlusNormal"/>
              <w:jc w:val="center"/>
            </w:pPr>
            <w:r>
              <w:t>10</w:t>
            </w:r>
          </w:p>
        </w:tc>
        <w:tc>
          <w:tcPr>
            <w:tcW w:w="1077" w:type="dxa"/>
            <w:tcBorders>
              <w:bottom w:val="nil"/>
            </w:tcBorders>
            <w:vAlign w:val="center"/>
          </w:tcPr>
          <w:p w:rsidR="00E35632" w:rsidRDefault="00E35632">
            <w:pPr>
              <w:pStyle w:val="ConsPlusNormal"/>
              <w:jc w:val="center"/>
            </w:pPr>
            <w:r>
              <w:rPr>
                <w:noProof/>
                <w:position w:val="-10"/>
              </w:rPr>
              <w:drawing>
                <wp:inline distT="0" distB="0" distL="0" distR="0">
                  <wp:extent cx="241935" cy="267970"/>
                  <wp:effectExtent l="0" t="0" r="0" b="0"/>
                  <wp:docPr id="19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p>
        </w:tc>
        <w:tc>
          <w:tcPr>
            <w:tcW w:w="850" w:type="dxa"/>
            <w:tcBorders>
              <w:bottom w:val="nil"/>
            </w:tcBorders>
            <w:vAlign w:val="center"/>
          </w:tcPr>
          <w:p w:rsidR="00E35632" w:rsidRDefault="00E35632">
            <w:pPr>
              <w:pStyle w:val="ConsPlusNormal"/>
              <w:jc w:val="center"/>
            </w:pPr>
            <w:r>
              <w:t>0,60</w:t>
            </w:r>
          </w:p>
        </w:tc>
        <w:tc>
          <w:tcPr>
            <w:tcW w:w="1529" w:type="dxa"/>
            <w:gridSpan w:val="3"/>
            <w:tcBorders>
              <w:bottom w:val="nil"/>
            </w:tcBorders>
            <w:vAlign w:val="center"/>
          </w:tcPr>
          <w:p w:rsidR="00E35632" w:rsidRDefault="00E35632">
            <w:pPr>
              <w:pStyle w:val="ConsPlusNormal"/>
              <w:jc w:val="center"/>
            </w:pPr>
            <w:r>
              <w:t>0,42</w:t>
            </w:r>
          </w:p>
        </w:tc>
        <w:tc>
          <w:tcPr>
            <w:tcW w:w="453" w:type="dxa"/>
            <w:vMerge w:val="restart"/>
            <w:tcBorders>
              <w:righ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19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623" w:type="dxa"/>
            <w:tcBorders>
              <w:left w:val="nil"/>
              <w:bottom w:val="nil"/>
              <w:right w:val="nil"/>
            </w:tcBorders>
            <w:vAlign w:val="center"/>
          </w:tcPr>
          <w:p w:rsidR="00E35632" w:rsidRDefault="00E35632">
            <w:pPr>
              <w:pStyle w:val="ConsPlusNormal"/>
              <w:jc w:val="center"/>
            </w:pPr>
            <w:r>
              <w:t>0,12</w:t>
            </w:r>
          </w:p>
        </w:tc>
        <w:tc>
          <w:tcPr>
            <w:tcW w:w="453" w:type="dxa"/>
            <w:vMerge w:val="restart"/>
            <w:tcBorders>
              <w:lef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19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1529" w:type="dxa"/>
            <w:gridSpan w:val="3"/>
            <w:vMerge w:val="restart"/>
          </w:tcPr>
          <w:p w:rsidR="00E35632" w:rsidRDefault="00E35632">
            <w:pPr>
              <w:pStyle w:val="ConsPlusNormal"/>
              <w:jc w:val="center"/>
            </w:pPr>
            <w:r>
              <w:rPr>
                <w:noProof/>
                <w:position w:val="-6"/>
              </w:rPr>
              <w:drawing>
                <wp:inline distT="0" distB="0" distL="0" distR="0">
                  <wp:extent cx="572770" cy="226060"/>
                  <wp:effectExtent l="0" t="0" r="0" b="0"/>
                  <wp:docPr id="20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572770" cy="226060"/>
                          </a:xfrm>
                          <a:prstGeom prst="rect">
                            <a:avLst/>
                          </a:prstGeom>
                          <a:noFill/>
                          <a:ln>
                            <a:noFill/>
                          </a:ln>
                        </pic:spPr>
                      </pic:pic>
                    </a:graphicData>
                  </a:graphic>
                </wp:inline>
              </w:drawing>
            </w:r>
          </w:p>
        </w:tc>
        <w:tc>
          <w:tcPr>
            <w:tcW w:w="1529" w:type="dxa"/>
            <w:gridSpan w:val="3"/>
            <w:vMerge w:val="restart"/>
          </w:tcPr>
          <w:p w:rsidR="00E35632" w:rsidRDefault="00E35632">
            <w:pPr>
              <w:pStyle w:val="ConsPlusNormal"/>
              <w:jc w:val="center"/>
            </w:pPr>
            <w:r>
              <w:t>-</w:t>
            </w:r>
          </w:p>
        </w:tc>
        <w:tc>
          <w:tcPr>
            <w:tcW w:w="1529" w:type="dxa"/>
            <w:gridSpan w:val="3"/>
            <w:vMerge w:val="restart"/>
          </w:tcPr>
          <w:p w:rsidR="00E35632" w:rsidRDefault="00E35632">
            <w:pPr>
              <w:pStyle w:val="ConsPlusNormal"/>
              <w:jc w:val="center"/>
            </w:pPr>
            <w:r>
              <w:t>-</w:t>
            </w:r>
          </w:p>
        </w:tc>
        <w:tc>
          <w:tcPr>
            <w:tcW w:w="1472" w:type="dxa"/>
            <w:gridSpan w:val="3"/>
            <w:vMerge w:val="restart"/>
          </w:tcPr>
          <w:p w:rsidR="00E35632" w:rsidRDefault="00E35632">
            <w:pPr>
              <w:pStyle w:val="ConsPlusNormal"/>
              <w:jc w:val="center"/>
            </w:pPr>
            <w:r>
              <w:t>-</w:t>
            </w:r>
          </w:p>
        </w:tc>
        <w:tc>
          <w:tcPr>
            <w:tcW w:w="1643" w:type="dxa"/>
            <w:gridSpan w:val="3"/>
            <w:vMerge w:val="restart"/>
          </w:tcPr>
          <w:p w:rsidR="00E35632" w:rsidRDefault="00E35632">
            <w:pPr>
              <w:pStyle w:val="ConsPlusNormal"/>
              <w:jc w:val="center"/>
            </w:pPr>
            <w:r>
              <w:t>-</w:t>
            </w:r>
          </w:p>
        </w:tc>
        <w:tc>
          <w:tcPr>
            <w:tcW w:w="1643" w:type="dxa"/>
            <w:gridSpan w:val="3"/>
            <w:vMerge w:val="restart"/>
          </w:tcPr>
          <w:p w:rsidR="00E35632" w:rsidRDefault="00E35632">
            <w:pPr>
              <w:pStyle w:val="ConsPlusNormal"/>
              <w:jc w:val="center"/>
            </w:pPr>
            <w:r>
              <w:t>-</w:t>
            </w:r>
          </w:p>
        </w:tc>
        <w:tc>
          <w:tcPr>
            <w:tcW w:w="1077" w:type="dxa"/>
            <w:vMerge w:val="restart"/>
          </w:tcPr>
          <w:p w:rsidR="00E35632" w:rsidRDefault="00E35632">
            <w:pPr>
              <w:pStyle w:val="ConsPlusNormal"/>
              <w:jc w:val="center"/>
            </w:pPr>
            <w:r>
              <w:t>-</w:t>
            </w:r>
          </w:p>
        </w:tc>
      </w:tr>
      <w:tr w:rsidR="00E35632">
        <w:tblPrEx>
          <w:tblBorders>
            <w:insideH w:val="nil"/>
          </w:tblBorders>
        </w:tblPrEx>
        <w:tc>
          <w:tcPr>
            <w:tcW w:w="1020" w:type="dxa"/>
            <w:vMerge/>
          </w:tcPr>
          <w:p w:rsidR="00E35632" w:rsidRDefault="00E35632">
            <w:pPr>
              <w:pStyle w:val="ConsPlusNormal"/>
            </w:pPr>
          </w:p>
        </w:tc>
        <w:tc>
          <w:tcPr>
            <w:tcW w:w="1077" w:type="dxa"/>
            <w:tcBorders>
              <w:top w:val="nil"/>
              <w:bottom w:val="nil"/>
            </w:tcBorders>
            <w:vAlign w:val="center"/>
          </w:tcPr>
          <w:p w:rsidR="00E35632" w:rsidRDefault="00E35632">
            <w:pPr>
              <w:pStyle w:val="ConsPlusNormal"/>
              <w:jc w:val="center"/>
            </w:pPr>
            <w:r>
              <w:rPr>
                <w:i/>
              </w:rPr>
              <w:t>N</w:t>
            </w:r>
            <w:r>
              <w:rPr>
                <w:i/>
                <w:vertAlign w:val="subscript"/>
              </w:rPr>
              <w:t>q</w:t>
            </w:r>
          </w:p>
        </w:tc>
        <w:tc>
          <w:tcPr>
            <w:tcW w:w="850" w:type="dxa"/>
            <w:tcBorders>
              <w:top w:val="nil"/>
              <w:bottom w:val="nil"/>
            </w:tcBorders>
            <w:vAlign w:val="center"/>
          </w:tcPr>
          <w:p w:rsidR="00E35632" w:rsidRDefault="00E35632">
            <w:pPr>
              <w:pStyle w:val="ConsPlusNormal"/>
              <w:jc w:val="center"/>
            </w:pPr>
            <w:r>
              <w:t>2,47</w:t>
            </w:r>
          </w:p>
        </w:tc>
        <w:tc>
          <w:tcPr>
            <w:tcW w:w="1529" w:type="dxa"/>
            <w:gridSpan w:val="3"/>
            <w:tcBorders>
              <w:top w:val="nil"/>
              <w:bottom w:val="nil"/>
            </w:tcBorders>
            <w:vAlign w:val="center"/>
          </w:tcPr>
          <w:p w:rsidR="00E35632" w:rsidRDefault="00E35632">
            <w:pPr>
              <w:pStyle w:val="ConsPlusNormal"/>
              <w:jc w:val="center"/>
            </w:pPr>
            <w:r>
              <w:t>2,16</w:t>
            </w:r>
          </w:p>
        </w:tc>
        <w:tc>
          <w:tcPr>
            <w:tcW w:w="453" w:type="dxa"/>
            <w:vMerge/>
            <w:tcBorders>
              <w:right w:val="nil"/>
            </w:tcBorders>
          </w:tcPr>
          <w:p w:rsidR="00E35632" w:rsidRDefault="00E35632">
            <w:pPr>
              <w:pStyle w:val="ConsPlusNormal"/>
            </w:pPr>
          </w:p>
        </w:tc>
        <w:tc>
          <w:tcPr>
            <w:tcW w:w="623" w:type="dxa"/>
            <w:tcBorders>
              <w:top w:val="nil"/>
              <w:left w:val="nil"/>
              <w:bottom w:val="nil"/>
              <w:right w:val="nil"/>
            </w:tcBorders>
            <w:vAlign w:val="center"/>
          </w:tcPr>
          <w:p w:rsidR="00E35632" w:rsidRDefault="00E35632">
            <w:pPr>
              <w:pStyle w:val="ConsPlusNormal"/>
              <w:jc w:val="center"/>
            </w:pPr>
            <w:r>
              <w:t>1,60</w:t>
            </w:r>
          </w:p>
        </w:tc>
        <w:tc>
          <w:tcPr>
            <w:tcW w:w="453" w:type="dxa"/>
            <w:vMerge/>
            <w:tcBorders>
              <w:left w:val="nil"/>
            </w:tcBorders>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472"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tcPr>
          <w:p w:rsidR="00E35632" w:rsidRDefault="00E35632">
            <w:pPr>
              <w:pStyle w:val="ConsPlusNormal"/>
            </w:pPr>
          </w:p>
        </w:tc>
        <w:tc>
          <w:tcPr>
            <w:tcW w:w="1077" w:type="dxa"/>
            <w:tcBorders>
              <w:top w:val="nil"/>
            </w:tcBorders>
            <w:vAlign w:val="center"/>
          </w:tcPr>
          <w:p w:rsidR="00E35632" w:rsidRDefault="00E35632">
            <w:pPr>
              <w:pStyle w:val="ConsPlusNormal"/>
              <w:jc w:val="center"/>
            </w:pPr>
            <w:r>
              <w:rPr>
                <w:i/>
              </w:rPr>
              <w:t>N</w:t>
            </w:r>
            <w:r>
              <w:rPr>
                <w:i/>
                <w:vertAlign w:val="subscript"/>
              </w:rPr>
              <w:t>c</w:t>
            </w:r>
          </w:p>
        </w:tc>
        <w:tc>
          <w:tcPr>
            <w:tcW w:w="850" w:type="dxa"/>
            <w:tcBorders>
              <w:top w:val="nil"/>
            </w:tcBorders>
            <w:vAlign w:val="center"/>
          </w:tcPr>
          <w:p w:rsidR="00E35632" w:rsidRDefault="00E35632">
            <w:pPr>
              <w:pStyle w:val="ConsPlusNormal"/>
              <w:jc w:val="center"/>
            </w:pPr>
            <w:r>
              <w:t>8,34</w:t>
            </w:r>
          </w:p>
        </w:tc>
        <w:tc>
          <w:tcPr>
            <w:tcW w:w="1529" w:type="dxa"/>
            <w:gridSpan w:val="3"/>
            <w:tcBorders>
              <w:top w:val="nil"/>
            </w:tcBorders>
            <w:vAlign w:val="center"/>
          </w:tcPr>
          <w:p w:rsidR="00E35632" w:rsidRDefault="00E35632">
            <w:pPr>
              <w:pStyle w:val="ConsPlusNormal"/>
              <w:jc w:val="center"/>
            </w:pPr>
            <w:r>
              <w:t>6,57</w:t>
            </w:r>
          </w:p>
        </w:tc>
        <w:tc>
          <w:tcPr>
            <w:tcW w:w="453" w:type="dxa"/>
            <w:vMerge/>
            <w:tcBorders>
              <w:right w:val="nil"/>
            </w:tcBorders>
          </w:tcPr>
          <w:p w:rsidR="00E35632" w:rsidRDefault="00E35632">
            <w:pPr>
              <w:pStyle w:val="ConsPlusNormal"/>
            </w:pPr>
          </w:p>
        </w:tc>
        <w:tc>
          <w:tcPr>
            <w:tcW w:w="623" w:type="dxa"/>
            <w:tcBorders>
              <w:top w:val="nil"/>
              <w:left w:val="nil"/>
              <w:right w:val="nil"/>
            </w:tcBorders>
            <w:vAlign w:val="center"/>
          </w:tcPr>
          <w:p w:rsidR="00E35632" w:rsidRDefault="00E35632">
            <w:pPr>
              <w:pStyle w:val="ConsPlusNormal"/>
              <w:jc w:val="center"/>
            </w:pPr>
            <w:r>
              <w:t>3,38</w:t>
            </w:r>
          </w:p>
        </w:tc>
        <w:tc>
          <w:tcPr>
            <w:tcW w:w="453" w:type="dxa"/>
            <w:vMerge/>
            <w:tcBorders>
              <w:left w:val="nil"/>
            </w:tcBorders>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472"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val="restart"/>
          </w:tcPr>
          <w:p w:rsidR="00E35632" w:rsidRDefault="00E35632">
            <w:pPr>
              <w:pStyle w:val="ConsPlusNormal"/>
              <w:jc w:val="center"/>
            </w:pPr>
            <w:r>
              <w:t>15</w:t>
            </w:r>
          </w:p>
        </w:tc>
        <w:tc>
          <w:tcPr>
            <w:tcW w:w="1077" w:type="dxa"/>
            <w:tcBorders>
              <w:bottom w:val="nil"/>
            </w:tcBorders>
            <w:vAlign w:val="center"/>
          </w:tcPr>
          <w:p w:rsidR="00E35632" w:rsidRDefault="00E35632">
            <w:pPr>
              <w:pStyle w:val="ConsPlusNormal"/>
              <w:jc w:val="center"/>
            </w:pPr>
            <w:r>
              <w:rPr>
                <w:noProof/>
                <w:position w:val="-10"/>
              </w:rPr>
              <w:drawing>
                <wp:inline distT="0" distB="0" distL="0" distR="0">
                  <wp:extent cx="241935" cy="267970"/>
                  <wp:effectExtent l="0" t="0" r="0" b="0"/>
                  <wp:docPr id="20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p>
        </w:tc>
        <w:tc>
          <w:tcPr>
            <w:tcW w:w="850" w:type="dxa"/>
            <w:tcBorders>
              <w:bottom w:val="nil"/>
            </w:tcBorders>
            <w:vAlign w:val="center"/>
          </w:tcPr>
          <w:p w:rsidR="00E35632" w:rsidRDefault="00E35632">
            <w:pPr>
              <w:pStyle w:val="ConsPlusNormal"/>
              <w:jc w:val="center"/>
            </w:pPr>
            <w:r>
              <w:t>1,35</w:t>
            </w:r>
          </w:p>
        </w:tc>
        <w:tc>
          <w:tcPr>
            <w:tcW w:w="1529" w:type="dxa"/>
            <w:gridSpan w:val="3"/>
            <w:tcBorders>
              <w:bottom w:val="nil"/>
            </w:tcBorders>
            <w:vAlign w:val="center"/>
          </w:tcPr>
          <w:p w:rsidR="00E35632" w:rsidRDefault="00E35632">
            <w:pPr>
              <w:pStyle w:val="ConsPlusNormal"/>
              <w:jc w:val="center"/>
            </w:pPr>
            <w:r>
              <w:t>1,02</w:t>
            </w:r>
          </w:p>
        </w:tc>
        <w:tc>
          <w:tcPr>
            <w:tcW w:w="1529" w:type="dxa"/>
            <w:gridSpan w:val="3"/>
            <w:tcBorders>
              <w:bottom w:val="nil"/>
            </w:tcBorders>
            <w:vAlign w:val="center"/>
          </w:tcPr>
          <w:p w:rsidR="00E35632" w:rsidRDefault="00E35632">
            <w:pPr>
              <w:pStyle w:val="ConsPlusNormal"/>
              <w:jc w:val="center"/>
            </w:pPr>
            <w:r>
              <w:t>0,61</w:t>
            </w:r>
          </w:p>
        </w:tc>
        <w:tc>
          <w:tcPr>
            <w:tcW w:w="453" w:type="dxa"/>
            <w:vMerge w:val="restart"/>
            <w:tcBorders>
              <w:righ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20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623" w:type="dxa"/>
            <w:tcBorders>
              <w:left w:val="nil"/>
              <w:bottom w:val="nil"/>
              <w:right w:val="nil"/>
            </w:tcBorders>
            <w:vAlign w:val="center"/>
          </w:tcPr>
          <w:p w:rsidR="00E35632" w:rsidRDefault="00E35632">
            <w:pPr>
              <w:pStyle w:val="ConsPlusNormal"/>
              <w:jc w:val="center"/>
            </w:pPr>
            <w:r>
              <w:t>0,21</w:t>
            </w:r>
          </w:p>
        </w:tc>
        <w:tc>
          <w:tcPr>
            <w:tcW w:w="453" w:type="dxa"/>
            <w:vMerge w:val="restart"/>
            <w:tcBorders>
              <w:lef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20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1529" w:type="dxa"/>
            <w:gridSpan w:val="3"/>
            <w:vMerge w:val="restart"/>
          </w:tcPr>
          <w:p w:rsidR="00E35632" w:rsidRDefault="00E35632">
            <w:pPr>
              <w:pStyle w:val="ConsPlusNormal"/>
              <w:jc w:val="center"/>
            </w:pPr>
            <w:r>
              <w:rPr>
                <w:noProof/>
                <w:position w:val="-6"/>
              </w:rPr>
              <w:drawing>
                <wp:inline distT="0" distB="0" distL="0" distR="0">
                  <wp:extent cx="636270" cy="226060"/>
                  <wp:effectExtent l="0" t="0" r="0" b="0"/>
                  <wp:docPr id="20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636270" cy="226060"/>
                          </a:xfrm>
                          <a:prstGeom prst="rect">
                            <a:avLst/>
                          </a:prstGeom>
                          <a:noFill/>
                          <a:ln>
                            <a:noFill/>
                          </a:ln>
                        </pic:spPr>
                      </pic:pic>
                    </a:graphicData>
                  </a:graphic>
                </wp:inline>
              </w:drawing>
            </w:r>
          </w:p>
        </w:tc>
        <w:tc>
          <w:tcPr>
            <w:tcW w:w="1529" w:type="dxa"/>
            <w:gridSpan w:val="3"/>
            <w:vMerge w:val="restart"/>
          </w:tcPr>
          <w:p w:rsidR="00E35632" w:rsidRDefault="00E35632">
            <w:pPr>
              <w:pStyle w:val="ConsPlusNormal"/>
              <w:jc w:val="center"/>
            </w:pPr>
            <w:r>
              <w:t>-</w:t>
            </w:r>
          </w:p>
        </w:tc>
        <w:tc>
          <w:tcPr>
            <w:tcW w:w="1472" w:type="dxa"/>
            <w:gridSpan w:val="3"/>
            <w:vMerge w:val="restart"/>
          </w:tcPr>
          <w:p w:rsidR="00E35632" w:rsidRDefault="00E35632">
            <w:pPr>
              <w:pStyle w:val="ConsPlusNormal"/>
              <w:jc w:val="center"/>
            </w:pPr>
            <w:r>
              <w:t>-</w:t>
            </w:r>
          </w:p>
        </w:tc>
        <w:tc>
          <w:tcPr>
            <w:tcW w:w="1643" w:type="dxa"/>
            <w:gridSpan w:val="3"/>
            <w:vMerge w:val="restart"/>
          </w:tcPr>
          <w:p w:rsidR="00E35632" w:rsidRDefault="00E35632">
            <w:pPr>
              <w:pStyle w:val="ConsPlusNormal"/>
              <w:jc w:val="center"/>
            </w:pPr>
            <w:r>
              <w:t>-</w:t>
            </w:r>
          </w:p>
        </w:tc>
        <w:tc>
          <w:tcPr>
            <w:tcW w:w="1643" w:type="dxa"/>
            <w:gridSpan w:val="3"/>
            <w:vMerge w:val="restart"/>
          </w:tcPr>
          <w:p w:rsidR="00E35632" w:rsidRDefault="00E35632">
            <w:pPr>
              <w:pStyle w:val="ConsPlusNormal"/>
              <w:jc w:val="center"/>
            </w:pPr>
            <w:r>
              <w:t>-</w:t>
            </w:r>
          </w:p>
        </w:tc>
        <w:tc>
          <w:tcPr>
            <w:tcW w:w="1077" w:type="dxa"/>
            <w:vMerge w:val="restart"/>
          </w:tcPr>
          <w:p w:rsidR="00E35632" w:rsidRDefault="00E35632">
            <w:pPr>
              <w:pStyle w:val="ConsPlusNormal"/>
              <w:jc w:val="center"/>
            </w:pPr>
            <w:r>
              <w:t>-</w:t>
            </w:r>
          </w:p>
        </w:tc>
      </w:tr>
      <w:tr w:rsidR="00E35632">
        <w:tblPrEx>
          <w:tblBorders>
            <w:insideH w:val="nil"/>
          </w:tblBorders>
        </w:tblPrEx>
        <w:tc>
          <w:tcPr>
            <w:tcW w:w="1020" w:type="dxa"/>
            <w:vMerge/>
          </w:tcPr>
          <w:p w:rsidR="00E35632" w:rsidRDefault="00E35632">
            <w:pPr>
              <w:pStyle w:val="ConsPlusNormal"/>
            </w:pPr>
          </w:p>
        </w:tc>
        <w:tc>
          <w:tcPr>
            <w:tcW w:w="1077" w:type="dxa"/>
            <w:tcBorders>
              <w:top w:val="nil"/>
              <w:bottom w:val="nil"/>
            </w:tcBorders>
            <w:vAlign w:val="center"/>
          </w:tcPr>
          <w:p w:rsidR="00E35632" w:rsidRDefault="00E35632">
            <w:pPr>
              <w:pStyle w:val="ConsPlusNormal"/>
              <w:jc w:val="center"/>
            </w:pPr>
            <w:r>
              <w:rPr>
                <w:i/>
              </w:rPr>
              <w:t>N</w:t>
            </w:r>
            <w:r>
              <w:rPr>
                <w:i/>
                <w:vertAlign w:val="subscript"/>
              </w:rPr>
              <w:t>q</w:t>
            </w:r>
          </w:p>
        </w:tc>
        <w:tc>
          <w:tcPr>
            <w:tcW w:w="850" w:type="dxa"/>
            <w:tcBorders>
              <w:top w:val="nil"/>
              <w:bottom w:val="nil"/>
            </w:tcBorders>
            <w:vAlign w:val="center"/>
          </w:tcPr>
          <w:p w:rsidR="00E35632" w:rsidRDefault="00E35632">
            <w:pPr>
              <w:pStyle w:val="ConsPlusNormal"/>
              <w:jc w:val="center"/>
            </w:pPr>
            <w:r>
              <w:t>3,94</w:t>
            </w:r>
          </w:p>
        </w:tc>
        <w:tc>
          <w:tcPr>
            <w:tcW w:w="1529" w:type="dxa"/>
            <w:gridSpan w:val="3"/>
            <w:tcBorders>
              <w:top w:val="nil"/>
              <w:bottom w:val="nil"/>
            </w:tcBorders>
            <w:vAlign w:val="center"/>
          </w:tcPr>
          <w:p w:rsidR="00E35632" w:rsidRDefault="00E35632">
            <w:pPr>
              <w:pStyle w:val="ConsPlusNormal"/>
              <w:jc w:val="center"/>
            </w:pPr>
            <w:r>
              <w:t>3,45</w:t>
            </w:r>
          </w:p>
        </w:tc>
        <w:tc>
          <w:tcPr>
            <w:tcW w:w="1529" w:type="dxa"/>
            <w:gridSpan w:val="3"/>
            <w:tcBorders>
              <w:top w:val="nil"/>
              <w:bottom w:val="nil"/>
            </w:tcBorders>
            <w:vAlign w:val="center"/>
          </w:tcPr>
          <w:p w:rsidR="00E35632" w:rsidRDefault="00E35632">
            <w:pPr>
              <w:pStyle w:val="ConsPlusNormal"/>
              <w:jc w:val="center"/>
            </w:pPr>
            <w:r>
              <w:t>2,84</w:t>
            </w:r>
          </w:p>
        </w:tc>
        <w:tc>
          <w:tcPr>
            <w:tcW w:w="453" w:type="dxa"/>
            <w:vMerge/>
            <w:tcBorders>
              <w:right w:val="nil"/>
            </w:tcBorders>
          </w:tcPr>
          <w:p w:rsidR="00E35632" w:rsidRDefault="00E35632">
            <w:pPr>
              <w:pStyle w:val="ConsPlusNormal"/>
            </w:pPr>
          </w:p>
        </w:tc>
        <w:tc>
          <w:tcPr>
            <w:tcW w:w="623" w:type="dxa"/>
            <w:tcBorders>
              <w:top w:val="nil"/>
              <w:left w:val="nil"/>
              <w:bottom w:val="nil"/>
              <w:right w:val="nil"/>
            </w:tcBorders>
            <w:vAlign w:val="center"/>
          </w:tcPr>
          <w:p w:rsidR="00E35632" w:rsidRDefault="00E35632">
            <w:pPr>
              <w:pStyle w:val="ConsPlusNormal"/>
              <w:jc w:val="center"/>
            </w:pPr>
            <w:r>
              <w:t>2,06</w:t>
            </w:r>
          </w:p>
        </w:tc>
        <w:tc>
          <w:tcPr>
            <w:tcW w:w="453" w:type="dxa"/>
            <w:vMerge/>
            <w:tcBorders>
              <w:left w:val="nil"/>
            </w:tcBorders>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472"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tcPr>
          <w:p w:rsidR="00E35632" w:rsidRDefault="00E35632">
            <w:pPr>
              <w:pStyle w:val="ConsPlusNormal"/>
            </w:pPr>
          </w:p>
        </w:tc>
        <w:tc>
          <w:tcPr>
            <w:tcW w:w="1077" w:type="dxa"/>
            <w:tcBorders>
              <w:top w:val="nil"/>
            </w:tcBorders>
            <w:vAlign w:val="center"/>
          </w:tcPr>
          <w:p w:rsidR="00E35632" w:rsidRDefault="00E35632">
            <w:pPr>
              <w:pStyle w:val="ConsPlusNormal"/>
              <w:jc w:val="center"/>
            </w:pPr>
            <w:r>
              <w:rPr>
                <w:i/>
              </w:rPr>
              <w:t>N</w:t>
            </w:r>
            <w:r>
              <w:rPr>
                <w:i/>
                <w:vertAlign w:val="subscript"/>
              </w:rPr>
              <w:t>c</w:t>
            </w:r>
          </w:p>
        </w:tc>
        <w:tc>
          <w:tcPr>
            <w:tcW w:w="850" w:type="dxa"/>
            <w:tcBorders>
              <w:top w:val="nil"/>
            </w:tcBorders>
            <w:vAlign w:val="center"/>
          </w:tcPr>
          <w:p w:rsidR="00E35632" w:rsidRDefault="00E35632">
            <w:pPr>
              <w:pStyle w:val="ConsPlusNormal"/>
              <w:jc w:val="center"/>
            </w:pPr>
            <w:r>
              <w:t>10,98</w:t>
            </w:r>
          </w:p>
        </w:tc>
        <w:tc>
          <w:tcPr>
            <w:tcW w:w="1529" w:type="dxa"/>
            <w:gridSpan w:val="3"/>
            <w:tcBorders>
              <w:top w:val="nil"/>
            </w:tcBorders>
            <w:vAlign w:val="center"/>
          </w:tcPr>
          <w:p w:rsidR="00E35632" w:rsidRDefault="00E35632">
            <w:pPr>
              <w:pStyle w:val="ConsPlusNormal"/>
              <w:jc w:val="center"/>
            </w:pPr>
            <w:r>
              <w:t>9,13</w:t>
            </w:r>
          </w:p>
        </w:tc>
        <w:tc>
          <w:tcPr>
            <w:tcW w:w="1529" w:type="dxa"/>
            <w:gridSpan w:val="3"/>
            <w:tcBorders>
              <w:top w:val="nil"/>
            </w:tcBorders>
            <w:vAlign w:val="center"/>
          </w:tcPr>
          <w:p w:rsidR="00E35632" w:rsidRDefault="00E35632">
            <w:pPr>
              <w:pStyle w:val="ConsPlusNormal"/>
              <w:jc w:val="center"/>
            </w:pPr>
            <w:r>
              <w:t>6,88</w:t>
            </w:r>
          </w:p>
        </w:tc>
        <w:tc>
          <w:tcPr>
            <w:tcW w:w="453" w:type="dxa"/>
            <w:vMerge/>
            <w:tcBorders>
              <w:right w:val="nil"/>
            </w:tcBorders>
          </w:tcPr>
          <w:p w:rsidR="00E35632" w:rsidRDefault="00E35632">
            <w:pPr>
              <w:pStyle w:val="ConsPlusNormal"/>
            </w:pPr>
          </w:p>
        </w:tc>
        <w:tc>
          <w:tcPr>
            <w:tcW w:w="623" w:type="dxa"/>
            <w:tcBorders>
              <w:top w:val="nil"/>
              <w:left w:val="nil"/>
              <w:right w:val="nil"/>
            </w:tcBorders>
            <w:vAlign w:val="center"/>
          </w:tcPr>
          <w:p w:rsidR="00E35632" w:rsidRDefault="00E35632">
            <w:pPr>
              <w:pStyle w:val="ConsPlusNormal"/>
              <w:jc w:val="center"/>
            </w:pPr>
            <w:r>
              <w:t>3,94</w:t>
            </w:r>
          </w:p>
        </w:tc>
        <w:tc>
          <w:tcPr>
            <w:tcW w:w="453" w:type="dxa"/>
            <w:vMerge/>
            <w:tcBorders>
              <w:left w:val="nil"/>
            </w:tcBorders>
          </w:tcPr>
          <w:p w:rsidR="00E35632" w:rsidRDefault="00E35632">
            <w:pPr>
              <w:pStyle w:val="ConsPlusNormal"/>
            </w:pPr>
          </w:p>
        </w:tc>
        <w:tc>
          <w:tcPr>
            <w:tcW w:w="1529" w:type="dxa"/>
            <w:gridSpan w:val="3"/>
            <w:vMerge/>
          </w:tcPr>
          <w:p w:rsidR="00E35632" w:rsidRDefault="00E35632">
            <w:pPr>
              <w:pStyle w:val="ConsPlusNormal"/>
            </w:pPr>
          </w:p>
        </w:tc>
        <w:tc>
          <w:tcPr>
            <w:tcW w:w="1529" w:type="dxa"/>
            <w:gridSpan w:val="3"/>
            <w:vMerge/>
          </w:tcPr>
          <w:p w:rsidR="00E35632" w:rsidRDefault="00E35632">
            <w:pPr>
              <w:pStyle w:val="ConsPlusNormal"/>
            </w:pPr>
          </w:p>
        </w:tc>
        <w:tc>
          <w:tcPr>
            <w:tcW w:w="1472"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val="restart"/>
          </w:tcPr>
          <w:p w:rsidR="00E35632" w:rsidRDefault="00E35632">
            <w:pPr>
              <w:pStyle w:val="ConsPlusNormal"/>
              <w:jc w:val="center"/>
            </w:pPr>
            <w:r>
              <w:lastRenderedPageBreak/>
              <w:t>20</w:t>
            </w:r>
          </w:p>
        </w:tc>
        <w:tc>
          <w:tcPr>
            <w:tcW w:w="1077" w:type="dxa"/>
            <w:tcBorders>
              <w:bottom w:val="nil"/>
            </w:tcBorders>
            <w:vAlign w:val="center"/>
          </w:tcPr>
          <w:p w:rsidR="00E35632" w:rsidRDefault="00E35632">
            <w:pPr>
              <w:pStyle w:val="ConsPlusNormal"/>
              <w:jc w:val="center"/>
            </w:pPr>
            <w:r>
              <w:rPr>
                <w:noProof/>
                <w:position w:val="-10"/>
              </w:rPr>
              <w:drawing>
                <wp:inline distT="0" distB="0" distL="0" distR="0">
                  <wp:extent cx="241935" cy="267970"/>
                  <wp:effectExtent l="0" t="0" r="0" b="0"/>
                  <wp:docPr id="20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p>
        </w:tc>
        <w:tc>
          <w:tcPr>
            <w:tcW w:w="850" w:type="dxa"/>
            <w:tcBorders>
              <w:bottom w:val="nil"/>
            </w:tcBorders>
            <w:vAlign w:val="center"/>
          </w:tcPr>
          <w:p w:rsidR="00E35632" w:rsidRDefault="00E35632">
            <w:pPr>
              <w:pStyle w:val="ConsPlusNormal"/>
              <w:jc w:val="center"/>
            </w:pPr>
            <w:r>
              <w:t>2,88</w:t>
            </w:r>
          </w:p>
        </w:tc>
        <w:tc>
          <w:tcPr>
            <w:tcW w:w="1529" w:type="dxa"/>
            <w:gridSpan w:val="3"/>
            <w:tcBorders>
              <w:bottom w:val="nil"/>
            </w:tcBorders>
            <w:vAlign w:val="center"/>
          </w:tcPr>
          <w:p w:rsidR="00E35632" w:rsidRDefault="00E35632">
            <w:pPr>
              <w:pStyle w:val="ConsPlusNormal"/>
              <w:jc w:val="center"/>
            </w:pPr>
            <w:r>
              <w:t>2,18</w:t>
            </w:r>
          </w:p>
        </w:tc>
        <w:tc>
          <w:tcPr>
            <w:tcW w:w="1529" w:type="dxa"/>
            <w:gridSpan w:val="3"/>
            <w:tcBorders>
              <w:bottom w:val="nil"/>
            </w:tcBorders>
            <w:vAlign w:val="center"/>
          </w:tcPr>
          <w:p w:rsidR="00E35632" w:rsidRDefault="00E35632">
            <w:pPr>
              <w:pStyle w:val="ConsPlusNormal"/>
              <w:jc w:val="center"/>
            </w:pPr>
            <w:r>
              <w:t>1,47</w:t>
            </w:r>
          </w:p>
        </w:tc>
        <w:tc>
          <w:tcPr>
            <w:tcW w:w="1529" w:type="dxa"/>
            <w:gridSpan w:val="3"/>
            <w:tcBorders>
              <w:bottom w:val="nil"/>
            </w:tcBorders>
            <w:vAlign w:val="center"/>
          </w:tcPr>
          <w:p w:rsidR="00E35632" w:rsidRDefault="00E35632">
            <w:pPr>
              <w:pStyle w:val="ConsPlusNormal"/>
              <w:jc w:val="center"/>
            </w:pPr>
            <w:r>
              <w:t>0,82</w:t>
            </w:r>
          </w:p>
        </w:tc>
        <w:tc>
          <w:tcPr>
            <w:tcW w:w="453" w:type="dxa"/>
            <w:vMerge w:val="restart"/>
            <w:tcBorders>
              <w:righ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20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623" w:type="dxa"/>
            <w:tcBorders>
              <w:left w:val="nil"/>
              <w:bottom w:val="nil"/>
              <w:right w:val="nil"/>
            </w:tcBorders>
            <w:vAlign w:val="center"/>
          </w:tcPr>
          <w:p w:rsidR="00E35632" w:rsidRDefault="00E35632">
            <w:pPr>
              <w:pStyle w:val="ConsPlusNormal"/>
              <w:jc w:val="center"/>
            </w:pPr>
            <w:r>
              <w:t>0,36</w:t>
            </w:r>
          </w:p>
        </w:tc>
        <w:tc>
          <w:tcPr>
            <w:tcW w:w="453" w:type="dxa"/>
            <w:vMerge w:val="restart"/>
            <w:tcBorders>
              <w:lef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20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1529" w:type="dxa"/>
            <w:gridSpan w:val="3"/>
            <w:vMerge w:val="restart"/>
          </w:tcPr>
          <w:p w:rsidR="00E35632" w:rsidRDefault="00E35632">
            <w:pPr>
              <w:pStyle w:val="ConsPlusNormal"/>
              <w:jc w:val="center"/>
            </w:pPr>
            <w:r>
              <w:rPr>
                <w:noProof/>
                <w:position w:val="-6"/>
              </w:rPr>
              <w:drawing>
                <wp:inline distT="0" distB="0" distL="0" distR="0">
                  <wp:extent cx="636270" cy="226060"/>
                  <wp:effectExtent l="0" t="0" r="0" b="0"/>
                  <wp:docPr id="20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36270" cy="226060"/>
                          </a:xfrm>
                          <a:prstGeom prst="rect">
                            <a:avLst/>
                          </a:prstGeom>
                          <a:noFill/>
                          <a:ln>
                            <a:noFill/>
                          </a:ln>
                        </pic:spPr>
                      </pic:pic>
                    </a:graphicData>
                  </a:graphic>
                </wp:inline>
              </w:drawing>
            </w:r>
          </w:p>
        </w:tc>
        <w:tc>
          <w:tcPr>
            <w:tcW w:w="1472" w:type="dxa"/>
            <w:gridSpan w:val="3"/>
            <w:vMerge w:val="restart"/>
          </w:tcPr>
          <w:p w:rsidR="00E35632" w:rsidRDefault="00E35632">
            <w:pPr>
              <w:pStyle w:val="ConsPlusNormal"/>
              <w:jc w:val="center"/>
            </w:pPr>
            <w:r>
              <w:t>-</w:t>
            </w:r>
          </w:p>
        </w:tc>
        <w:tc>
          <w:tcPr>
            <w:tcW w:w="1643" w:type="dxa"/>
            <w:gridSpan w:val="3"/>
            <w:vMerge w:val="restart"/>
          </w:tcPr>
          <w:p w:rsidR="00E35632" w:rsidRDefault="00E35632">
            <w:pPr>
              <w:pStyle w:val="ConsPlusNormal"/>
              <w:jc w:val="center"/>
            </w:pPr>
            <w:r>
              <w:t>-</w:t>
            </w:r>
          </w:p>
        </w:tc>
        <w:tc>
          <w:tcPr>
            <w:tcW w:w="1643" w:type="dxa"/>
            <w:gridSpan w:val="3"/>
            <w:vMerge w:val="restart"/>
          </w:tcPr>
          <w:p w:rsidR="00E35632" w:rsidRDefault="00E35632">
            <w:pPr>
              <w:pStyle w:val="ConsPlusNormal"/>
              <w:jc w:val="center"/>
            </w:pPr>
            <w:r>
              <w:t>-</w:t>
            </w:r>
          </w:p>
        </w:tc>
        <w:tc>
          <w:tcPr>
            <w:tcW w:w="1077" w:type="dxa"/>
            <w:vMerge w:val="restart"/>
          </w:tcPr>
          <w:p w:rsidR="00E35632" w:rsidRDefault="00E35632">
            <w:pPr>
              <w:pStyle w:val="ConsPlusNormal"/>
              <w:jc w:val="center"/>
            </w:pPr>
            <w:r>
              <w:t>-</w:t>
            </w:r>
          </w:p>
        </w:tc>
      </w:tr>
      <w:tr w:rsidR="00E35632">
        <w:tblPrEx>
          <w:tblBorders>
            <w:insideH w:val="nil"/>
          </w:tblBorders>
        </w:tblPrEx>
        <w:tc>
          <w:tcPr>
            <w:tcW w:w="1020" w:type="dxa"/>
            <w:vMerge/>
          </w:tcPr>
          <w:p w:rsidR="00E35632" w:rsidRDefault="00E35632">
            <w:pPr>
              <w:pStyle w:val="ConsPlusNormal"/>
            </w:pPr>
          </w:p>
        </w:tc>
        <w:tc>
          <w:tcPr>
            <w:tcW w:w="1077" w:type="dxa"/>
            <w:tcBorders>
              <w:top w:val="nil"/>
              <w:bottom w:val="nil"/>
            </w:tcBorders>
            <w:vAlign w:val="center"/>
          </w:tcPr>
          <w:p w:rsidR="00E35632" w:rsidRDefault="00E35632">
            <w:pPr>
              <w:pStyle w:val="ConsPlusNormal"/>
              <w:jc w:val="center"/>
            </w:pPr>
            <w:r>
              <w:rPr>
                <w:i/>
              </w:rPr>
              <w:t>N</w:t>
            </w:r>
            <w:r>
              <w:rPr>
                <w:i/>
                <w:vertAlign w:val="subscript"/>
              </w:rPr>
              <w:t>q</w:t>
            </w:r>
          </w:p>
        </w:tc>
        <w:tc>
          <w:tcPr>
            <w:tcW w:w="850" w:type="dxa"/>
            <w:tcBorders>
              <w:top w:val="nil"/>
              <w:bottom w:val="nil"/>
            </w:tcBorders>
            <w:vAlign w:val="center"/>
          </w:tcPr>
          <w:p w:rsidR="00E35632" w:rsidRDefault="00E35632">
            <w:pPr>
              <w:pStyle w:val="ConsPlusNormal"/>
              <w:jc w:val="center"/>
            </w:pPr>
            <w:r>
              <w:t>6,40</w:t>
            </w:r>
          </w:p>
        </w:tc>
        <w:tc>
          <w:tcPr>
            <w:tcW w:w="1529" w:type="dxa"/>
            <w:gridSpan w:val="3"/>
            <w:tcBorders>
              <w:top w:val="nil"/>
              <w:bottom w:val="nil"/>
            </w:tcBorders>
            <w:vAlign w:val="center"/>
          </w:tcPr>
          <w:p w:rsidR="00E35632" w:rsidRDefault="00E35632">
            <w:pPr>
              <w:pStyle w:val="ConsPlusNormal"/>
              <w:jc w:val="center"/>
            </w:pPr>
            <w:r>
              <w:t>5,56</w:t>
            </w:r>
          </w:p>
        </w:tc>
        <w:tc>
          <w:tcPr>
            <w:tcW w:w="1529" w:type="dxa"/>
            <w:gridSpan w:val="3"/>
            <w:tcBorders>
              <w:top w:val="nil"/>
              <w:bottom w:val="nil"/>
            </w:tcBorders>
            <w:vAlign w:val="center"/>
          </w:tcPr>
          <w:p w:rsidR="00E35632" w:rsidRDefault="00E35632">
            <w:pPr>
              <w:pStyle w:val="ConsPlusNormal"/>
              <w:jc w:val="center"/>
            </w:pPr>
            <w:r>
              <w:t>4,64</w:t>
            </w:r>
          </w:p>
        </w:tc>
        <w:tc>
          <w:tcPr>
            <w:tcW w:w="1529" w:type="dxa"/>
            <w:gridSpan w:val="3"/>
            <w:tcBorders>
              <w:top w:val="nil"/>
              <w:bottom w:val="nil"/>
            </w:tcBorders>
            <w:vAlign w:val="center"/>
          </w:tcPr>
          <w:p w:rsidR="00E35632" w:rsidRDefault="00E35632">
            <w:pPr>
              <w:pStyle w:val="ConsPlusNormal"/>
              <w:jc w:val="center"/>
            </w:pPr>
            <w:r>
              <w:t>3,64</w:t>
            </w:r>
          </w:p>
        </w:tc>
        <w:tc>
          <w:tcPr>
            <w:tcW w:w="453" w:type="dxa"/>
            <w:vMerge/>
            <w:tcBorders>
              <w:right w:val="nil"/>
            </w:tcBorders>
          </w:tcPr>
          <w:p w:rsidR="00E35632" w:rsidRDefault="00E35632">
            <w:pPr>
              <w:pStyle w:val="ConsPlusNormal"/>
            </w:pPr>
          </w:p>
        </w:tc>
        <w:tc>
          <w:tcPr>
            <w:tcW w:w="623" w:type="dxa"/>
            <w:tcBorders>
              <w:top w:val="nil"/>
              <w:left w:val="nil"/>
              <w:bottom w:val="nil"/>
              <w:right w:val="nil"/>
            </w:tcBorders>
            <w:vAlign w:val="center"/>
          </w:tcPr>
          <w:p w:rsidR="00E35632" w:rsidRDefault="00E35632">
            <w:pPr>
              <w:pStyle w:val="ConsPlusNormal"/>
              <w:jc w:val="center"/>
            </w:pPr>
            <w:r>
              <w:t>2,69</w:t>
            </w:r>
          </w:p>
        </w:tc>
        <w:tc>
          <w:tcPr>
            <w:tcW w:w="453" w:type="dxa"/>
            <w:vMerge/>
            <w:tcBorders>
              <w:left w:val="nil"/>
            </w:tcBorders>
          </w:tcPr>
          <w:p w:rsidR="00E35632" w:rsidRDefault="00E35632">
            <w:pPr>
              <w:pStyle w:val="ConsPlusNormal"/>
            </w:pPr>
          </w:p>
        </w:tc>
        <w:tc>
          <w:tcPr>
            <w:tcW w:w="1529" w:type="dxa"/>
            <w:gridSpan w:val="3"/>
            <w:vMerge/>
          </w:tcPr>
          <w:p w:rsidR="00E35632" w:rsidRDefault="00E35632">
            <w:pPr>
              <w:pStyle w:val="ConsPlusNormal"/>
            </w:pPr>
          </w:p>
        </w:tc>
        <w:tc>
          <w:tcPr>
            <w:tcW w:w="1472"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tcPr>
          <w:p w:rsidR="00E35632" w:rsidRDefault="00E35632">
            <w:pPr>
              <w:pStyle w:val="ConsPlusNormal"/>
            </w:pPr>
          </w:p>
        </w:tc>
        <w:tc>
          <w:tcPr>
            <w:tcW w:w="1077" w:type="dxa"/>
            <w:tcBorders>
              <w:top w:val="nil"/>
            </w:tcBorders>
            <w:vAlign w:val="center"/>
          </w:tcPr>
          <w:p w:rsidR="00E35632" w:rsidRDefault="00E35632">
            <w:pPr>
              <w:pStyle w:val="ConsPlusNormal"/>
              <w:jc w:val="center"/>
            </w:pPr>
            <w:r>
              <w:rPr>
                <w:i/>
              </w:rPr>
              <w:t>N</w:t>
            </w:r>
            <w:r>
              <w:rPr>
                <w:i/>
                <w:vertAlign w:val="subscript"/>
              </w:rPr>
              <w:t>c</w:t>
            </w:r>
          </w:p>
        </w:tc>
        <w:tc>
          <w:tcPr>
            <w:tcW w:w="850" w:type="dxa"/>
            <w:tcBorders>
              <w:top w:val="nil"/>
            </w:tcBorders>
            <w:vAlign w:val="center"/>
          </w:tcPr>
          <w:p w:rsidR="00E35632" w:rsidRDefault="00E35632">
            <w:pPr>
              <w:pStyle w:val="ConsPlusNormal"/>
              <w:jc w:val="center"/>
            </w:pPr>
            <w:r>
              <w:t>14,84</w:t>
            </w:r>
          </w:p>
        </w:tc>
        <w:tc>
          <w:tcPr>
            <w:tcW w:w="1529" w:type="dxa"/>
            <w:gridSpan w:val="3"/>
            <w:tcBorders>
              <w:top w:val="nil"/>
            </w:tcBorders>
            <w:vAlign w:val="center"/>
          </w:tcPr>
          <w:p w:rsidR="00E35632" w:rsidRDefault="00E35632">
            <w:pPr>
              <w:pStyle w:val="ConsPlusNormal"/>
              <w:jc w:val="center"/>
            </w:pPr>
            <w:r>
              <w:t>12,53</w:t>
            </w:r>
          </w:p>
        </w:tc>
        <w:tc>
          <w:tcPr>
            <w:tcW w:w="1529" w:type="dxa"/>
            <w:gridSpan w:val="3"/>
            <w:tcBorders>
              <w:top w:val="nil"/>
            </w:tcBorders>
            <w:vAlign w:val="center"/>
          </w:tcPr>
          <w:p w:rsidR="00E35632" w:rsidRDefault="00E35632">
            <w:pPr>
              <w:pStyle w:val="ConsPlusNormal"/>
              <w:jc w:val="center"/>
            </w:pPr>
            <w:r>
              <w:t>10,02</w:t>
            </w:r>
          </w:p>
        </w:tc>
        <w:tc>
          <w:tcPr>
            <w:tcW w:w="1529" w:type="dxa"/>
            <w:gridSpan w:val="3"/>
            <w:tcBorders>
              <w:top w:val="nil"/>
            </w:tcBorders>
            <w:vAlign w:val="center"/>
          </w:tcPr>
          <w:p w:rsidR="00E35632" w:rsidRDefault="00E35632">
            <w:pPr>
              <w:pStyle w:val="ConsPlusNormal"/>
              <w:jc w:val="center"/>
            </w:pPr>
            <w:r>
              <w:t>7,26</w:t>
            </w:r>
          </w:p>
        </w:tc>
        <w:tc>
          <w:tcPr>
            <w:tcW w:w="453" w:type="dxa"/>
            <w:vMerge/>
            <w:tcBorders>
              <w:right w:val="nil"/>
            </w:tcBorders>
          </w:tcPr>
          <w:p w:rsidR="00E35632" w:rsidRDefault="00E35632">
            <w:pPr>
              <w:pStyle w:val="ConsPlusNormal"/>
            </w:pPr>
          </w:p>
        </w:tc>
        <w:tc>
          <w:tcPr>
            <w:tcW w:w="623" w:type="dxa"/>
            <w:tcBorders>
              <w:top w:val="nil"/>
              <w:left w:val="nil"/>
              <w:right w:val="nil"/>
            </w:tcBorders>
            <w:vAlign w:val="center"/>
          </w:tcPr>
          <w:p w:rsidR="00E35632" w:rsidRDefault="00E35632">
            <w:pPr>
              <w:pStyle w:val="ConsPlusNormal"/>
              <w:jc w:val="center"/>
            </w:pPr>
            <w:r>
              <w:t>4,65</w:t>
            </w:r>
          </w:p>
        </w:tc>
        <w:tc>
          <w:tcPr>
            <w:tcW w:w="453" w:type="dxa"/>
            <w:vMerge/>
            <w:tcBorders>
              <w:left w:val="nil"/>
            </w:tcBorders>
          </w:tcPr>
          <w:p w:rsidR="00E35632" w:rsidRDefault="00E35632">
            <w:pPr>
              <w:pStyle w:val="ConsPlusNormal"/>
            </w:pPr>
          </w:p>
        </w:tc>
        <w:tc>
          <w:tcPr>
            <w:tcW w:w="1529" w:type="dxa"/>
            <w:gridSpan w:val="3"/>
            <w:vMerge/>
          </w:tcPr>
          <w:p w:rsidR="00E35632" w:rsidRDefault="00E35632">
            <w:pPr>
              <w:pStyle w:val="ConsPlusNormal"/>
            </w:pPr>
          </w:p>
        </w:tc>
        <w:tc>
          <w:tcPr>
            <w:tcW w:w="1472"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val="restart"/>
          </w:tcPr>
          <w:p w:rsidR="00E35632" w:rsidRDefault="00E35632">
            <w:pPr>
              <w:pStyle w:val="ConsPlusNormal"/>
              <w:jc w:val="center"/>
            </w:pPr>
            <w:r>
              <w:t>25</w:t>
            </w:r>
          </w:p>
        </w:tc>
        <w:tc>
          <w:tcPr>
            <w:tcW w:w="1077" w:type="dxa"/>
            <w:tcBorders>
              <w:bottom w:val="nil"/>
            </w:tcBorders>
            <w:vAlign w:val="center"/>
          </w:tcPr>
          <w:p w:rsidR="00E35632" w:rsidRDefault="00E35632">
            <w:pPr>
              <w:pStyle w:val="ConsPlusNormal"/>
              <w:jc w:val="center"/>
            </w:pPr>
            <w:r>
              <w:rPr>
                <w:noProof/>
                <w:position w:val="-10"/>
              </w:rPr>
              <w:drawing>
                <wp:inline distT="0" distB="0" distL="0" distR="0">
                  <wp:extent cx="241935" cy="267970"/>
                  <wp:effectExtent l="0" t="0" r="0" b="0"/>
                  <wp:docPr id="20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p>
        </w:tc>
        <w:tc>
          <w:tcPr>
            <w:tcW w:w="850" w:type="dxa"/>
            <w:tcBorders>
              <w:bottom w:val="nil"/>
            </w:tcBorders>
            <w:vAlign w:val="center"/>
          </w:tcPr>
          <w:p w:rsidR="00E35632" w:rsidRDefault="00E35632">
            <w:pPr>
              <w:pStyle w:val="ConsPlusNormal"/>
              <w:jc w:val="center"/>
            </w:pPr>
            <w:r>
              <w:t>5,87</w:t>
            </w:r>
          </w:p>
        </w:tc>
        <w:tc>
          <w:tcPr>
            <w:tcW w:w="1529" w:type="dxa"/>
            <w:gridSpan w:val="3"/>
            <w:tcBorders>
              <w:bottom w:val="nil"/>
            </w:tcBorders>
            <w:vAlign w:val="center"/>
          </w:tcPr>
          <w:p w:rsidR="00E35632" w:rsidRDefault="00E35632">
            <w:pPr>
              <w:pStyle w:val="ConsPlusNormal"/>
              <w:jc w:val="center"/>
            </w:pPr>
            <w:r>
              <w:t>4,50</w:t>
            </w:r>
          </w:p>
        </w:tc>
        <w:tc>
          <w:tcPr>
            <w:tcW w:w="1529" w:type="dxa"/>
            <w:gridSpan w:val="3"/>
            <w:tcBorders>
              <w:bottom w:val="nil"/>
            </w:tcBorders>
            <w:vAlign w:val="center"/>
          </w:tcPr>
          <w:p w:rsidR="00E35632" w:rsidRDefault="00E35632">
            <w:pPr>
              <w:pStyle w:val="ConsPlusNormal"/>
              <w:jc w:val="center"/>
            </w:pPr>
            <w:r>
              <w:t>3,18</w:t>
            </w:r>
          </w:p>
        </w:tc>
        <w:tc>
          <w:tcPr>
            <w:tcW w:w="1529" w:type="dxa"/>
            <w:gridSpan w:val="3"/>
            <w:tcBorders>
              <w:bottom w:val="nil"/>
            </w:tcBorders>
            <w:vAlign w:val="center"/>
          </w:tcPr>
          <w:p w:rsidR="00E35632" w:rsidRDefault="00E35632">
            <w:pPr>
              <w:pStyle w:val="ConsPlusNormal"/>
              <w:jc w:val="center"/>
            </w:pPr>
            <w:r>
              <w:t>2,00</w:t>
            </w:r>
          </w:p>
        </w:tc>
        <w:tc>
          <w:tcPr>
            <w:tcW w:w="1529" w:type="dxa"/>
            <w:gridSpan w:val="3"/>
            <w:tcBorders>
              <w:bottom w:val="nil"/>
            </w:tcBorders>
            <w:vAlign w:val="center"/>
          </w:tcPr>
          <w:p w:rsidR="00E35632" w:rsidRDefault="00E35632">
            <w:pPr>
              <w:pStyle w:val="ConsPlusNormal"/>
              <w:jc w:val="center"/>
            </w:pPr>
            <w:r>
              <w:t>1,05</w:t>
            </w:r>
          </w:p>
        </w:tc>
        <w:tc>
          <w:tcPr>
            <w:tcW w:w="453" w:type="dxa"/>
            <w:vMerge w:val="restart"/>
            <w:tcBorders>
              <w:righ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2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623" w:type="dxa"/>
            <w:tcBorders>
              <w:left w:val="nil"/>
              <w:bottom w:val="nil"/>
              <w:right w:val="nil"/>
            </w:tcBorders>
            <w:vAlign w:val="center"/>
          </w:tcPr>
          <w:p w:rsidR="00E35632" w:rsidRDefault="00E35632">
            <w:pPr>
              <w:pStyle w:val="ConsPlusNormal"/>
              <w:jc w:val="center"/>
            </w:pPr>
            <w:r>
              <w:t>0,58</w:t>
            </w:r>
          </w:p>
        </w:tc>
        <w:tc>
          <w:tcPr>
            <w:tcW w:w="453" w:type="dxa"/>
            <w:vMerge w:val="restart"/>
            <w:tcBorders>
              <w:lef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2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1472" w:type="dxa"/>
            <w:gridSpan w:val="3"/>
            <w:vMerge w:val="restart"/>
          </w:tcPr>
          <w:p w:rsidR="00E35632" w:rsidRDefault="00E35632">
            <w:pPr>
              <w:pStyle w:val="ConsPlusNormal"/>
              <w:jc w:val="center"/>
            </w:pPr>
            <w:r>
              <w:rPr>
                <w:noProof/>
                <w:position w:val="-6"/>
              </w:rPr>
              <w:drawing>
                <wp:inline distT="0" distB="0" distL="0" distR="0">
                  <wp:extent cx="655955" cy="226060"/>
                  <wp:effectExtent l="0" t="0" r="0" b="0"/>
                  <wp:docPr id="2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655955" cy="226060"/>
                          </a:xfrm>
                          <a:prstGeom prst="rect">
                            <a:avLst/>
                          </a:prstGeom>
                          <a:noFill/>
                          <a:ln>
                            <a:noFill/>
                          </a:ln>
                        </pic:spPr>
                      </pic:pic>
                    </a:graphicData>
                  </a:graphic>
                </wp:inline>
              </w:drawing>
            </w:r>
          </w:p>
        </w:tc>
        <w:tc>
          <w:tcPr>
            <w:tcW w:w="1643" w:type="dxa"/>
            <w:gridSpan w:val="3"/>
            <w:vMerge w:val="restart"/>
          </w:tcPr>
          <w:p w:rsidR="00E35632" w:rsidRDefault="00E35632">
            <w:pPr>
              <w:pStyle w:val="ConsPlusNormal"/>
              <w:jc w:val="center"/>
            </w:pPr>
            <w:r>
              <w:t>-</w:t>
            </w:r>
          </w:p>
        </w:tc>
        <w:tc>
          <w:tcPr>
            <w:tcW w:w="1643" w:type="dxa"/>
            <w:gridSpan w:val="3"/>
            <w:vMerge w:val="restart"/>
          </w:tcPr>
          <w:p w:rsidR="00E35632" w:rsidRDefault="00E35632">
            <w:pPr>
              <w:pStyle w:val="ConsPlusNormal"/>
              <w:jc w:val="center"/>
            </w:pPr>
            <w:r>
              <w:t>-</w:t>
            </w:r>
          </w:p>
        </w:tc>
        <w:tc>
          <w:tcPr>
            <w:tcW w:w="1077" w:type="dxa"/>
            <w:vMerge w:val="restart"/>
          </w:tcPr>
          <w:p w:rsidR="00E35632" w:rsidRDefault="00E35632">
            <w:pPr>
              <w:pStyle w:val="ConsPlusNormal"/>
              <w:jc w:val="center"/>
            </w:pPr>
            <w:r>
              <w:t>-</w:t>
            </w:r>
          </w:p>
        </w:tc>
      </w:tr>
      <w:tr w:rsidR="00E35632">
        <w:tblPrEx>
          <w:tblBorders>
            <w:insideH w:val="nil"/>
          </w:tblBorders>
        </w:tblPrEx>
        <w:tc>
          <w:tcPr>
            <w:tcW w:w="1020" w:type="dxa"/>
            <w:vMerge/>
          </w:tcPr>
          <w:p w:rsidR="00E35632" w:rsidRDefault="00E35632">
            <w:pPr>
              <w:pStyle w:val="ConsPlusNormal"/>
            </w:pPr>
          </w:p>
        </w:tc>
        <w:tc>
          <w:tcPr>
            <w:tcW w:w="1077" w:type="dxa"/>
            <w:tcBorders>
              <w:top w:val="nil"/>
              <w:bottom w:val="nil"/>
            </w:tcBorders>
            <w:vAlign w:val="center"/>
          </w:tcPr>
          <w:p w:rsidR="00E35632" w:rsidRDefault="00E35632">
            <w:pPr>
              <w:pStyle w:val="ConsPlusNormal"/>
              <w:jc w:val="center"/>
            </w:pPr>
            <w:r>
              <w:rPr>
                <w:i/>
              </w:rPr>
              <w:t>N</w:t>
            </w:r>
            <w:r>
              <w:rPr>
                <w:i/>
                <w:vertAlign w:val="subscript"/>
              </w:rPr>
              <w:t>q</w:t>
            </w:r>
          </w:p>
        </w:tc>
        <w:tc>
          <w:tcPr>
            <w:tcW w:w="850" w:type="dxa"/>
            <w:tcBorders>
              <w:top w:val="nil"/>
              <w:bottom w:val="nil"/>
            </w:tcBorders>
            <w:vAlign w:val="center"/>
          </w:tcPr>
          <w:p w:rsidR="00E35632" w:rsidRDefault="00E35632">
            <w:pPr>
              <w:pStyle w:val="ConsPlusNormal"/>
              <w:jc w:val="center"/>
            </w:pPr>
            <w:r>
              <w:t>10,66</w:t>
            </w:r>
          </w:p>
        </w:tc>
        <w:tc>
          <w:tcPr>
            <w:tcW w:w="1529" w:type="dxa"/>
            <w:gridSpan w:val="3"/>
            <w:tcBorders>
              <w:top w:val="nil"/>
              <w:bottom w:val="nil"/>
            </w:tcBorders>
            <w:vAlign w:val="center"/>
          </w:tcPr>
          <w:p w:rsidR="00E35632" w:rsidRDefault="00E35632">
            <w:pPr>
              <w:pStyle w:val="ConsPlusNormal"/>
              <w:jc w:val="center"/>
            </w:pPr>
            <w:r>
              <w:t>9,17</w:t>
            </w:r>
          </w:p>
        </w:tc>
        <w:tc>
          <w:tcPr>
            <w:tcW w:w="1529" w:type="dxa"/>
            <w:gridSpan w:val="3"/>
            <w:tcBorders>
              <w:top w:val="nil"/>
              <w:bottom w:val="nil"/>
            </w:tcBorders>
            <w:vAlign w:val="center"/>
          </w:tcPr>
          <w:p w:rsidR="00E35632" w:rsidRDefault="00E35632">
            <w:pPr>
              <w:pStyle w:val="ConsPlusNormal"/>
              <w:jc w:val="center"/>
            </w:pPr>
            <w:r>
              <w:t>7,65</w:t>
            </w:r>
          </w:p>
        </w:tc>
        <w:tc>
          <w:tcPr>
            <w:tcW w:w="1529" w:type="dxa"/>
            <w:gridSpan w:val="3"/>
            <w:tcBorders>
              <w:top w:val="nil"/>
              <w:bottom w:val="nil"/>
            </w:tcBorders>
            <w:vAlign w:val="center"/>
          </w:tcPr>
          <w:p w:rsidR="00E35632" w:rsidRDefault="00E35632">
            <w:pPr>
              <w:pStyle w:val="ConsPlusNormal"/>
              <w:jc w:val="center"/>
            </w:pPr>
            <w:r>
              <w:t>6,13</w:t>
            </w:r>
          </w:p>
        </w:tc>
        <w:tc>
          <w:tcPr>
            <w:tcW w:w="1529" w:type="dxa"/>
            <w:gridSpan w:val="3"/>
            <w:tcBorders>
              <w:top w:val="nil"/>
              <w:bottom w:val="nil"/>
            </w:tcBorders>
            <w:vAlign w:val="center"/>
          </w:tcPr>
          <w:p w:rsidR="00E35632" w:rsidRDefault="00E35632">
            <w:pPr>
              <w:pStyle w:val="ConsPlusNormal"/>
              <w:jc w:val="center"/>
            </w:pPr>
            <w:r>
              <w:t>4,58</w:t>
            </w:r>
          </w:p>
        </w:tc>
        <w:tc>
          <w:tcPr>
            <w:tcW w:w="453" w:type="dxa"/>
            <w:vMerge/>
            <w:tcBorders>
              <w:right w:val="nil"/>
            </w:tcBorders>
          </w:tcPr>
          <w:p w:rsidR="00E35632" w:rsidRDefault="00E35632">
            <w:pPr>
              <w:pStyle w:val="ConsPlusNormal"/>
            </w:pPr>
          </w:p>
        </w:tc>
        <w:tc>
          <w:tcPr>
            <w:tcW w:w="623" w:type="dxa"/>
            <w:tcBorders>
              <w:top w:val="nil"/>
              <w:left w:val="nil"/>
              <w:bottom w:val="nil"/>
              <w:right w:val="nil"/>
            </w:tcBorders>
            <w:vAlign w:val="center"/>
          </w:tcPr>
          <w:p w:rsidR="00E35632" w:rsidRDefault="00E35632">
            <w:pPr>
              <w:pStyle w:val="ConsPlusNormal"/>
              <w:jc w:val="center"/>
            </w:pPr>
            <w:r>
              <w:t>3,60</w:t>
            </w:r>
          </w:p>
        </w:tc>
        <w:tc>
          <w:tcPr>
            <w:tcW w:w="453" w:type="dxa"/>
            <w:vMerge/>
            <w:tcBorders>
              <w:left w:val="nil"/>
            </w:tcBorders>
          </w:tcPr>
          <w:p w:rsidR="00E35632" w:rsidRDefault="00E35632">
            <w:pPr>
              <w:pStyle w:val="ConsPlusNormal"/>
            </w:pPr>
          </w:p>
        </w:tc>
        <w:tc>
          <w:tcPr>
            <w:tcW w:w="1472"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tcPr>
          <w:p w:rsidR="00E35632" w:rsidRDefault="00E35632">
            <w:pPr>
              <w:pStyle w:val="ConsPlusNormal"/>
            </w:pPr>
          </w:p>
        </w:tc>
        <w:tc>
          <w:tcPr>
            <w:tcW w:w="1077" w:type="dxa"/>
            <w:tcBorders>
              <w:top w:val="nil"/>
            </w:tcBorders>
            <w:vAlign w:val="center"/>
          </w:tcPr>
          <w:p w:rsidR="00E35632" w:rsidRDefault="00E35632">
            <w:pPr>
              <w:pStyle w:val="ConsPlusNormal"/>
              <w:jc w:val="center"/>
            </w:pPr>
            <w:r>
              <w:rPr>
                <w:i/>
              </w:rPr>
              <w:t>N</w:t>
            </w:r>
            <w:r>
              <w:rPr>
                <w:i/>
                <w:vertAlign w:val="subscript"/>
              </w:rPr>
              <w:t>c</w:t>
            </w:r>
          </w:p>
        </w:tc>
        <w:tc>
          <w:tcPr>
            <w:tcW w:w="850" w:type="dxa"/>
            <w:tcBorders>
              <w:top w:val="nil"/>
            </w:tcBorders>
            <w:vAlign w:val="center"/>
          </w:tcPr>
          <w:p w:rsidR="00E35632" w:rsidRDefault="00E35632">
            <w:pPr>
              <w:pStyle w:val="ConsPlusNormal"/>
              <w:jc w:val="center"/>
            </w:pPr>
            <w:r>
              <w:t>20,72</w:t>
            </w:r>
          </w:p>
        </w:tc>
        <w:tc>
          <w:tcPr>
            <w:tcW w:w="1529" w:type="dxa"/>
            <w:gridSpan w:val="3"/>
            <w:tcBorders>
              <w:top w:val="nil"/>
            </w:tcBorders>
            <w:vAlign w:val="center"/>
          </w:tcPr>
          <w:p w:rsidR="00E35632" w:rsidRDefault="00E35632">
            <w:pPr>
              <w:pStyle w:val="ConsPlusNormal"/>
              <w:jc w:val="center"/>
            </w:pPr>
            <w:r>
              <w:t>17,53</w:t>
            </w:r>
          </w:p>
        </w:tc>
        <w:tc>
          <w:tcPr>
            <w:tcW w:w="1529" w:type="dxa"/>
            <w:gridSpan w:val="3"/>
            <w:tcBorders>
              <w:top w:val="nil"/>
            </w:tcBorders>
            <w:vAlign w:val="center"/>
          </w:tcPr>
          <w:p w:rsidR="00E35632" w:rsidRDefault="00E35632">
            <w:pPr>
              <w:pStyle w:val="ConsPlusNormal"/>
              <w:jc w:val="center"/>
            </w:pPr>
            <w:r>
              <w:t>14,26</w:t>
            </w:r>
          </w:p>
        </w:tc>
        <w:tc>
          <w:tcPr>
            <w:tcW w:w="1529" w:type="dxa"/>
            <w:gridSpan w:val="3"/>
            <w:tcBorders>
              <w:top w:val="nil"/>
            </w:tcBorders>
            <w:vAlign w:val="center"/>
          </w:tcPr>
          <w:p w:rsidR="00E35632" w:rsidRDefault="00E35632">
            <w:pPr>
              <w:pStyle w:val="ConsPlusNormal"/>
              <w:jc w:val="center"/>
            </w:pPr>
            <w:r>
              <w:t>10,99</w:t>
            </w:r>
          </w:p>
        </w:tc>
        <w:tc>
          <w:tcPr>
            <w:tcW w:w="1529" w:type="dxa"/>
            <w:gridSpan w:val="3"/>
            <w:tcBorders>
              <w:top w:val="nil"/>
            </w:tcBorders>
            <w:vAlign w:val="center"/>
          </w:tcPr>
          <w:p w:rsidR="00E35632" w:rsidRDefault="00E35632">
            <w:pPr>
              <w:pStyle w:val="ConsPlusNormal"/>
              <w:jc w:val="center"/>
            </w:pPr>
            <w:r>
              <w:t>7,68</w:t>
            </w:r>
          </w:p>
        </w:tc>
        <w:tc>
          <w:tcPr>
            <w:tcW w:w="453" w:type="dxa"/>
            <w:vMerge/>
            <w:tcBorders>
              <w:right w:val="nil"/>
            </w:tcBorders>
          </w:tcPr>
          <w:p w:rsidR="00E35632" w:rsidRDefault="00E35632">
            <w:pPr>
              <w:pStyle w:val="ConsPlusNormal"/>
            </w:pPr>
          </w:p>
        </w:tc>
        <w:tc>
          <w:tcPr>
            <w:tcW w:w="623" w:type="dxa"/>
            <w:tcBorders>
              <w:top w:val="nil"/>
              <w:left w:val="nil"/>
              <w:right w:val="nil"/>
            </w:tcBorders>
            <w:vAlign w:val="center"/>
          </w:tcPr>
          <w:p w:rsidR="00E35632" w:rsidRDefault="00E35632">
            <w:pPr>
              <w:pStyle w:val="ConsPlusNormal"/>
              <w:jc w:val="center"/>
            </w:pPr>
            <w:r>
              <w:t>5,58</w:t>
            </w:r>
          </w:p>
        </w:tc>
        <w:tc>
          <w:tcPr>
            <w:tcW w:w="453" w:type="dxa"/>
            <w:vMerge/>
            <w:tcBorders>
              <w:left w:val="nil"/>
            </w:tcBorders>
          </w:tcPr>
          <w:p w:rsidR="00E35632" w:rsidRDefault="00E35632">
            <w:pPr>
              <w:pStyle w:val="ConsPlusNormal"/>
            </w:pPr>
          </w:p>
        </w:tc>
        <w:tc>
          <w:tcPr>
            <w:tcW w:w="1472"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val="restart"/>
          </w:tcPr>
          <w:p w:rsidR="00E35632" w:rsidRDefault="00E35632">
            <w:pPr>
              <w:pStyle w:val="ConsPlusNormal"/>
              <w:jc w:val="center"/>
            </w:pPr>
            <w:r>
              <w:t>30</w:t>
            </w:r>
          </w:p>
        </w:tc>
        <w:tc>
          <w:tcPr>
            <w:tcW w:w="1077" w:type="dxa"/>
            <w:tcBorders>
              <w:bottom w:val="nil"/>
            </w:tcBorders>
            <w:vAlign w:val="center"/>
          </w:tcPr>
          <w:p w:rsidR="00E35632" w:rsidRDefault="00E35632">
            <w:pPr>
              <w:pStyle w:val="ConsPlusNormal"/>
              <w:jc w:val="center"/>
            </w:pPr>
            <w:r>
              <w:rPr>
                <w:noProof/>
                <w:position w:val="-10"/>
              </w:rPr>
              <w:drawing>
                <wp:inline distT="0" distB="0" distL="0" distR="0">
                  <wp:extent cx="241935" cy="267970"/>
                  <wp:effectExtent l="0" t="0" r="0" b="0"/>
                  <wp:docPr id="2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p>
        </w:tc>
        <w:tc>
          <w:tcPr>
            <w:tcW w:w="850" w:type="dxa"/>
            <w:tcBorders>
              <w:bottom w:val="nil"/>
            </w:tcBorders>
            <w:vAlign w:val="center"/>
          </w:tcPr>
          <w:p w:rsidR="00E35632" w:rsidRDefault="00E35632">
            <w:pPr>
              <w:pStyle w:val="ConsPlusNormal"/>
              <w:jc w:val="center"/>
            </w:pPr>
            <w:r>
              <w:t>12,39</w:t>
            </w:r>
          </w:p>
        </w:tc>
        <w:tc>
          <w:tcPr>
            <w:tcW w:w="1529" w:type="dxa"/>
            <w:gridSpan w:val="3"/>
            <w:tcBorders>
              <w:bottom w:val="nil"/>
            </w:tcBorders>
            <w:vAlign w:val="center"/>
          </w:tcPr>
          <w:p w:rsidR="00E35632" w:rsidRDefault="00E35632">
            <w:pPr>
              <w:pStyle w:val="ConsPlusNormal"/>
              <w:jc w:val="center"/>
            </w:pPr>
            <w:r>
              <w:t>9,43</w:t>
            </w:r>
          </w:p>
        </w:tc>
        <w:tc>
          <w:tcPr>
            <w:tcW w:w="1529" w:type="dxa"/>
            <w:gridSpan w:val="3"/>
            <w:tcBorders>
              <w:bottom w:val="nil"/>
            </w:tcBorders>
            <w:vAlign w:val="center"/>
          </w:tcPr>
          <w:p w:rsidR="00E35632" w:rsidRDefault="00E35632">
            <w:pPr>
              <w:pStyle w:val="ConsPlusNormal"/>
              <w:jc w:val="center"/>
            </w:pPr>
            <w:r>
              <w:t>6,72</w:t>
            </w:r>
          </w:p>
        </w:tc>
        <w:tc>
          <w:tcPr>
            <w:tcW w:w="1529" w:type="dxa"/>
            <w:gridSpan w:val="3"/>
            <w:tcBorders>
              <w:bottom w:val="nil"/>
            </w:tcBorders>
            <w:vAlign w:val="center"/>
          </w:tcPr>
          <w:p w:rsidR="00E35632" w:rsidRDefault="00E35632">
            <w:pPr>
              <w:pStyle w:val="ConsPlusNormal"/>
              <w:jc w:val="center"/>
            </w:pPr>
            <w:r>
              <w:t>4,44</w:t>
            </w:r>
          </w:p>
        </w:tc>
        <w:tc>
          <w:tcPr>
            <w:tcW w:w="1529" w:type="dxa"/>
            <w:gridSpan w:val="3"/>
            <w:tcBorders>
              <w:bottom w:val="nil"/>
            </w:tcBorders>
            <w:vAlign w:val="center"/>
          </w:tcPr>
          <w:p w:rsidR="00E35632" w:rsidRDefault="00E35632">
            <w:pPr>
              <w:pStyle w:val="ConsPlusNormal"/>
              <w:jc w:val="center"/>
            </w:pPr>
            <w:r>
              <w:t>2,63</w:t>
            </w:r>
          </w:p>
        </w:tc>
        <w:tc>
          <w:tcPr>
            <w:tcW w:w="1529" w:type="dxa"/>
            <w:gridSpan w:val="3"/>
            <w:tcBorders>
              <w:bottom w:val="nil"/>
            </w:tcBorders>
            <w:vAlign w:val="center"/>
          </w:tcPr>
          <w:p w:rsidR="00E35632" w:rsidRDefault="00E35632">
            <w:pPr>
              <w:pStyle w:val="ConsPlusNormal"/>
              <w:jc w:val="center"/>
            </w:pPr>
            <w:r>
              <w:t>1,29</w:t>
            </w:r>
          </w:p>
        </w:tc>
        <w:tc>
          <w:tcPr>
            <w:tcW w:w="453" w:type="dxa"/>
            <w:vMerge w:val="restart"/>
            <w:tcBorders>
              <w:righ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2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566" w:type="dxa"/>
            <w:tcBorders>
              <w:left w:val="nil"/>
              <w:bottom w:val="nil"/>
              <w:right w:val="nil"/>
            </w:tcBorders>
            <w:vAlign w:val="center"/>
          </w:tcPr>
          <w:p w:rsidR="00E35632" w:rsidRDefault="00E35632">
            <w:pPr>
              <w:pStyle w:val="ConsPlusNormal"/>
              <w:jc w:val="center"/>
            </w:pPr>
            <w:r>
              <w:t>0,95</w:t>
            </w:r>
          </w:p>
        </w:tc>
        <w:tc>
          <w:tcPr>
            <w:tcW w:w="453" w:type="dxa"/>
            <w:vMerge w:val="restart"/>
            <w:tcBorders>
              <w:lef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2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1643" w:type="dxa"/>
            <w:gridSpan w:val="3"/>
            <w:vMerge w:val="restart"/>
          </w:tcPr>
          <w:p w:rsidR="00E35632" w:rsidRDefault="00E35632">
            <w:pPr>
              <w:pStyle w:val="ConsPlusNormal"/>
              <w:jc w:val="center"/>
            </w:pPr>
            <w:r>
              <w:rPr>
                <w:noProof/>
                <w:position w:val="-6"/>
              </w:rPr>
              <w:drawing>
                <wp:inline distT="0" distB="0" distL="0" distR="0">
                  <wp:extent cx="655955" cy="226060"/>
                  <wp:effectExtent l="0" t="0" r="0" b="0"/>
                  <wp:docPr id="2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655955" cy="226060"/>
                          </a:xfrm>
                          <a:prstGeom prst="rect">
                            <a:avLst/>
                          </a:prstGeom>
                          <a:noFill/>
                          <a:ln>
                            <a:noFill/>
                          </a:ln>
                        </pic:spPr>
                      </pic:pic>
                    </a:graphicData>
                  </a:graphic>
                </wp:inline>
              </w:drawing>
            </w:r>
          </w:p>
        </w:tc>
        <w:tc>
          <w:tcPr>
            <w:tcW w:w="1643" w:type="dxa"/>
            <w:gridSpan w:val="3"/>
            <w:vMerge w:val="restart"/>
          </w:tcPr>
          <w:p w:rsidR="00E35632" w:rsidRDefault="00E35632">
            <w:pPr>
              <w:pStyle w:val="ConsPlusNormal"/>
              <w:jc w:val="center"/>
            </w:pPr>
            <w:r>
              <w:t>-</w:t>
            </w:r>
          </w:p>
        </w:tc>
        <w:tc>
          <w:tcPr>
            <w:tcW w:w="1077" w:type="dxa"/>
            <w:vMerge w:val="restart"/>
          </w:tcPr>
          <w:p w:rsidR="00E35632" w:rsidRDefault="00E35632">
            <w:pPr>
              <w:pStyle w:val="ConsPlusNormal"/>
              <w:jc w:val="center"/>
            </w:pPr>
            <w:r>
              <w:t>-</w:t>
            </w:r>
          </w:p>
        </w:tc>
      </w:tr>
      <w:tr w:rsidR="00E35632">
        <w:tblPrEx>
          <w:tblBorders>
            <w:insideH w:val="nil"/>
          </w:tblBorders>
        </w:tblPrEx>
        <w:tc>
          <w:tcPr>
            <w:tcW w:w="1020" w:type="dxa"/>
            <w:vMerge/>
          </w:tcPr>
          <w:p w:rsidR="00E35632" w:rsidRDefault="00E35632">
            <w:pPr>
              <w:pStyle w:val="ConsPlusNormal"/>
            </w:pPr>
          </w:p>
        </w:tc>
        <w:tc>
          <w:tcPr>
            <w:tcW w:w="1077" w:type="dxa"/>
            <w:tcBorders>
              <w:top w:val="nil"/>
              <w:bottom w:val="nil"/>
            </w:tcBorders>
            <w:vAlign w:val="center"/>
          </w:tcPr>
          <w:p w:rsidR="00E35632" w:rsidRDefault="00E35632">
            <w:pPr>
              <w:pStyle w:val="ConsPlusNormal"/>
              <w:jc w:val="center"/>
            </w:pPr>
            <w:r>
              <w:rPr>
                <w:i/>
              </w:rPr>
              <w:t>N</w:t>
            </w:r>
            <w:r>
              <w:rPr>
                <w:i/>
                <w:vertAlign w:val="subscript"/>
              </w:rPr>
              <w:t>q</w:t>
            </w:r>
          </w:p>
        </w:tc>
        <w:tc>
          <w:tcPr>
            <w:tcW w:w="850" w:type="dxa"/>
            <w:tcBorders>
              <w:top w:val="nil"/>
              <w:bottom w:val="nil"/>
            </w:tcBorders>
            <w:vAlign w:val="center"/>
          </w:tcPr>
          <w:p w:rsidR="00E35632" w:rsidRDefault="00E35632">
            <w:pPr>
              <w:pStyle w:val="ConsPlusNormal"/>
              <w:jc w:val="center"/>
            </w:pPr>
            <w:r>
              <w:t>18,40</w:t>
            </w:r>
          </w:p>
        </w:tc>
        <w:tc>
          <w:tcPr>
            <w:tcW w:w="1529" w:type="dxa"/>
            <w:gridSpan w:val="3"/>
            <w:tcBorders>
              <w:top w:val="nil"/>
              <w:bottom w:val="nil"/>
            </w:tcBorders>
            <w:vAlign w:val="center"/>
          </w:tcPr>
          <w:p w:rsidR="00E35632" w:rsidRDefault="00E35632">
            <w:pPr>
              <w:pStyle w:val="ConsPlusNormal"/>
              <w:jc w:val="center"/>
            </w:pPr>
            <w:r>
              <w:t>15,63</w:t>
            </w:r>
          </w:p>
        </w:tc>
        <w:tc>
          <w:tcPr>
            <w:tcW w:w="1529" w:type="dxa"/>
            <w:gridSpan w:val="3"/>
            <w:tcBorders>
              <w:top w:val="nil"/>
              <w:bottom w:val="nil"/>
            </w:tcBorders>
            <w:vAlign w:val="center"/>
          </w:tcPr>
          <w:p w:rsidR="00E35632" w:rsidRDefault="00E35632">
            <w:pPr>
              <w:pStyle w:val="ConsPlusNormal"/>
              <w:jc w:val="center"/>
            </w:pPr>
            <w:r>
              <w:t>12,94</w:t>
            </w:r>
          </w:p>
        </w:tc>
        <w:tc>
          <w:tcPr>
            <w:tcW w:w="1529" w:type="dxa"/>
            <w:gridSpan w:val="3"/>
            <w:tcBorders>
              <w:top w:val="nil"/>
              <w:bottom w:val="nil"/>
            </w:tcBorders>
            <w:vAlign w:val="center"/>
          </w:tcPr>
          <w:p w:rsidR="00E35632" w:rsidRDefault="00E35632">
            <w:pPr>
              <w:pStyle w:val="ConsPlusNormal"/>
              <w:jc w:val="center"/>
            </w:pPr>
            <w:r>
              <w:t>10,37</w:t>
            </w:r>
          </w:p>
        </w:tc>
        <w:tc>
          <w:tcPr>
            <w:tcW w:w="1529" w:type="dxa"/>
            <w:gridSpan w:val="3"/>
            <w:tcBorders>
              <w:top w:val="nil"/>
              <w:bottom w:val="nil"/>
            </w:tcBorders>
            <w:vAlign w:val="center"/>
          </w:tcPr>
          <w:p w:rsidR="00E35632" w:rsidRDefault="00E35632">
            <w:pPr>
              <w:pStyle w:val="ConsPlusNormal"/>
              <w:jc w:val="center"/>
            </w:pPr>
            <w:r>
              <w:t>7,96</w:t>
            </w:r>
          </w:p>
        </w:tc>
        <w:tc>
          <w:tcPr>
            <w:tcW w:w="1529" w:type="dxa"/>
            <w:gridSpan w:val="3"/>
            <w:tcBorders>
              <w:top w:val="nil"/>
              <w:bottom w:val="nil"/>
            </w:tcBorders>
            <w:vAlign w:val="center"/>
          </w:tcPr>
          <w:p w:rsidR="00E35632" w:rsidRDefault="00E35632">
            <w:pPr>
              <w:pStyle w:val="ConsPlusNormal"/>
              <w:jc w:val="center"/>
            </w:pPr>
            <w:r>
              <w:t>5,67</w:t>
            </w:r>
          </w:p>
        </w:tc>
        <w:tc>
          <w:tcPr>
            <w:tcW w:w="453" w:type="dxa"/>
            <w:vMerge/>
            <w:tcBorders>
              <w:right w:val="nil"/>
            </w:tcBorders>
          </w:tcPr>
          <w:p w:rsidR="00E35632" w:rsidRDefault="00E35632">
            <w:pPr>
              <w:pStyle w:val="ConsPlusNormal"/>
            </w:pPr>
          </w:p>
        </w:tc>
        <w:tc>
          <w:tcPr>
            <w:tcW w:w="566" w:type="dxa"/>
            <w:tcBorders>
              <w:top w:val="nil"/>
              <w:left w:val="nil"/>
              <w:bottom w:val="nil"/>
              <w:right w:val="nil"/>
            </w:tcBorders>
            <w:vAlign w:val="center"/>
          </w:tcPr>
          <w:p w:rsidR="00E35632" w:rsidRDefault="00E35632">
            <w:pPr>
              <w:pStyle w:val="ConsPlusNormal"/>
              <w:jc w:val="center"/>
            </w:pPr>
            <w:r>
              <w:t>4,95</w:t>
            </w:r>
          </w:p>
        </w:tc>
        <w:tc>
          <w:tcPr>
            <w:tcW w:w="453" w:type="dxa"/>
            <w:vMerge/>
            <w:tcBorders>
              <w:left w:val="nil"/>
            </w:tcBorders>
          </w:tcPr>
          <w:p w:rsidR="00E35632" w:rsidRDefault="00E35632">
            <w:pPr>
              <w:pStyle w:val="ConsPlusNormal"/>
            </w:pPr>
          </w:p>
        </w:tc>
        <w:tc>
          <w:tcPr>
            <w:tcW w:w="1643"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tcPr>
          <w:p w:rsidR="00E35632" w:rsidRDefault="00E35632">
            <w:pPr>
              <w:pStyle w:val="ConsPlusNormal"/>
            </w:pPr>
          </w:p>
        </w:tc>
        <w:tc>
          <w:tcPr>
            <w:tcW w:w="1077" w:type="dxa"/>
            <w:tcBorders>
              <w:top w:val="nil"/>
            </w:tcBorders>
            <w:vAlign w:val="center"/>
          </w:tcPr>
          <w:p w:rsidR="00E35632" w:rsidRDefault="00E35632">
            <w:pPr>
              <w:pStyle w:val="ConsPlusNormal"/>
              <w:jc w:val="center"/>
            </w:pPr>
            <w:r>
              <w:rPr>
                <w:i/>
              </w:rPr>
              <w:t>N</w:t>
            </w:r>
            <w:r>
              <w:rPr>
                <w:i/>
                <w:vertAlign w:val="subscript"/>
              </w:rPr>
              <w:t>c</w:t>
            </w:r>
          </w:p>
        </w:tc>
        <w:tc>
          <w:tcPr>
            <w:tcW w:w="850" w:type="dxa"/>
            <w:tcBorders>
              <w:top w:val="nil"/>
            </w:tcBorders>
            <w:vAlign w:val="center"/>
          </w:tcPr>
          <w:p w:rsidR="00E35632" w:rsidRDefault="00E35632">
            <w:pPr>
              <w:pStyle w:val="ConsPlusNormal"/>
              <w:jc w:val="center"/>
            </w:pPr>
            <w:r>
              <w:t>30,14</w:t>
            </w:r>
          </w:p>
        </w:tc>
        <w:tc>
          <w:tcPr>
            <w:tcW w:w="1529" w:type="dxa"/>
            <w:gridSpan w:val="3"/>
            <w:tcBorders>
              <w:top w:val="nil"/>
            </w:tcBorders>
            <w:vAlign w:val="center"/>
          </w:tcPr>
          <w:p w:rsidR="00E35632" w:rsidRDefault="00E35632">
            <w:pPr>
              <w:pStyle w:val="ConsPlusNormal"/>
              <w:jc w:val="center"/>
            </w:pPr>
            <w:r>
              <w:t>25,34</w:t>
            </w:r>
          </w:p>
        </w:tc>
        <w:tc>
          <w:tcPr>
            <w:tcW w:w="1529" w:type="dxa"/>
            <w:gridSpan w:val="3"/>
            <w:tcBorders>
              <w:top w:val="nil"/>
            </w:tcBorders>
            <w:vAlign w:val="center"/>
          </w:tcPr>
          <w:p w:rsidR="00E35632" w:rsidRDefault="00E35632">
            <w:pPr>
              <w:pStyle w:val="ConsPlusNormal"/>
              <w:jc w:val="center"/>
            </w:pPr>
            <w:r>
              <w:t>20,68</w:t>
            </w:r>
          </w:p>
        </w:tc>
        <w:tc>
          <w:tcPr>
            <w:tcW w:w="1529" w:type="dxa"/>
            <w:gridSpan w:val="3"/>
            <w:tcBorders>
              <w:top w:val="nil"/>
            </w:tcBorders>
            <w:vAlign w:val="center"/>
          </w:tcPr>
          <w:p w:rsidR="00E35632" w:rsidRDefault="00E35632">
            <w:pPr>
              <w:pStyle w:val="ConsPlusNormal"/>
              <w:jc w:val="center"/>
            </w:pPr>
            <w:r>
              <w:t>16,23</w:t>
            </w:r>
          </w:p>
        </w:tc>
        <w:tc>
          <w:tcPr>
            <w:tcW w:w="1529" w:type="dxa"/>
            <w:gridSpan w:val="3"/>
            <w:tcBorders>
              <w:top w:val="nil"/>
            </w:tcBorders>
            <w:vAlign w:val="center"/>
          </w:tcPr>
          <w:p w:rsidR="00E35632" w:rsidRDefault="00E35632">
            <w:pPr>
              <w:pStyle w:val="ConsPlusNormal"/>
              <w:jc w:val="center"/>
            </w:pPr>
            <w:r>
              <w:t>12,05</w:t>
            </w:r>
          </w:p>
        </w:tc>
        <w:tc>
          <w:tcPr>
            <w:tcW w:w="1529" w:type="dxa"/>
            <w:gridSpan w:val="3"/>
            <w:tcBorders>
              <w:top w:val="nil"/>
            </w:tcBorders>
            <w:vAlign w:val="center"/>
          </w:tcPr>
          <w:p w:rsidR="00E35632" w:rsidRDefault="00E35632">
            <w:pPr>
              <w:pStyle w:val="ConsPlusNormal"/>
              <w:jc w:val="center"/>
            </w:pPr>
            <w:r>
              <w:t>8,09</w:t>
            </w:r>
          </w:p>
        </w:tc>
        <w:tc>
          <w:tcPr>
            <w:tcW w:w="453" w:type="dxa"/>
            <w:vMerge/>
            <w:tcBorders>
              <w:right w:val="nil"/>
            </w:tcBorders>
          </w:tcPr>
          <w:p w:rsidR="00E35632" w:rsidRDefault="00E35632">
            <w:pPr>
              <w:pStyle w:val="ConsPlusNormal"/>
            </w:pPr>
          </w:p>
        </w:tc>
        <w:tc>
          <w:tcPr>
            <w:tcW w:w="566" w:type="dxa"/>
            <w:tcBorders>
              <w:top w:val="nil"/>
              <w:left w:val="nil"/>
              <w:right w:val="nil"/>
            </w:tcBorders>
            <w:vAlign w:val="center"/>
          </w:tcPr>
          <w:p w:rsidR="00E35632" w:rsidRDefault="00E35632">
            <w:pPr>
              <w:pStyle w:val="ConsPlusNormal"/>
              <w:jc w:val="center"/>
            </w:pPr>
            <w:r>
              <w:t>6,85</w:t>
            </w:r>
          </w:p>
        </w:tc>
        <w:tc>
          <w:tcPr>
            <w:tcW w:w="453" w:type="dxa"/>
            <w:vMerge/>
            <w:tcBorders>
              <w:left w:val="nil"/>
            </w:tcBorders>
          </w:tcPr>
          <w:p w:rsidR="00E35632" w:rsidRDefault="00E35632">
            <w:pPr>
              <w:pStyle w:val="ConsPlusNormal"/>
            </w:pPr>
          </w:p>
        </w:tc>
        <w:tc>
          <w:tcPr>
            <w:tcW w:w="1643"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val="restart"/>
          </w:tcPr>
          <w:p w:rsidR="00E35632" w:rsidRDefault="00E35632">
            <w:pPr>
              <w:pStyle w:val="ConsPlusNormal"/>
              <w:jc w:val="center"/>
            </w:pPr>
            <w:r>
              <w:t>35</w:t>
            </w:r>
          </w:p>
        </w:tc>
        <w:tc>
          <w:tcPr>
            <w:tcW w:w="1077" w:type="dxa"/>
            <w:tcBorders>
              <w:bottom w:val="nil"/>
            </w:tcBorders>
            <w:vAlign w:val="center"/>
          </w:tcPr>
          <w:p w:rsidR="00E35632" w:rsidRDefault="00E35632">
            <w:pPr>
              <w:pStyle w:val="ConsPlusNormal"/>
              <w:jc w:val="center"/>
            </w:pPr>
            <w:r>
              <w:rPr>
                <w:noProof/>
                <w:position w:val="-10"/>
              </w:rPr>
              <w:drawing>
                <wp:inline distT="0" distB="0" distL="0" distR="0">
                  <wp:extent cx="241935" cy="267970"/>
                  <wp:effectExtent l="0" t="0" r="0" b="0"/>
                  <wp:docPr id="2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p>
        </w:tc>
        <w:tc>
          <w:tcPr>
            <w:tcW w:w="850" w:type="dxa"/>
            <w:tcBorders>
              <w:bottom w:val="nil"/>
            </w:tcBorders>
            <w:vAlign w:val="center"/>
          </w:tcPr>
          <w:p w:rsidR="00E35632" w:rsidRDefault="00E35632">
            <w:pPr>
              <w:pStyle w:val="ConsPlusNormal"/>
              <w:jc w:val="center"/>
            </w:pPr>
            <w:r>
              <w:t>27,50</w:t>
            </w:r>
          </w:p>
        </w:tc>
        <w:tc>
          <w:tcPr>
            <w:tcW w:w="1529" w:type="dxa"/>
            <w:gridSpan w:val="3"/>
            <w:tcBorders>
              <w:bottom w:val="nil"/>
            </w:tcBorders>
            <w:vAlign w:val="center"/>
          </w:tcPr>
          <w:p w:rsidR="00E35632" w:rsidRDefault="00E35632">
            <w:pPr>
              <w:pStyle w:val="ConsPlusNormal"/>
              <w:jc w:val="center"/>
            </w:pPr>
            <w:r>
              <w:t>20,58</w:t>
            </w:r>
          </w:p>
        </w:tc>
        <w:tc>
          <w:tcPr>
            <w:tcW w:w="1529" w:type="dxa"/>
            <w:gridSpan w:val="3"/>
            <w:tcBorders>
              <w:bottom w:val="nil"/>
            </w:tcBorders>
            <w:vAlign w:val="center"/>
          </w:tcPr>
          <w:p w:rsidR="00E35632" w:rsidRDefault="00E35632">
            <w:pPr>
              <w:pStyle w:val="ConsPlusNormal"/>
              <w:jc w:val="center"/>
            </w:pPr>
            <w:r>
              <w:t>14,63</w:t>
            </w:r>
          </w:p>
        </w:tc>
        <w:tc>
          <w:tcPr>
            <w:tcW w:w="1529" w:type="dxa"/>
            <w:gridSpan w:val="3"/>
            <w:tcBorders>
              <w:bottom w:val="nil"/>
            </w:tcBorders>
            <w:vAlign w:val="center"/>
          </w:tcPr>
          <w:p w:rsidR="00E35632" w:rsidRDefault="00E35632">
            <w:pPr>
              <w:pStyle w:val="ConsPlusNormal"/>
              <w:jc w:val="center"/>
            </w:pPr>
            <w:r>
              <w:t>9,79</w:t>
            </w:r>
          </w:p>
        </w:tc>
        <w:tc>
          <w:tcPr>
            <w:tcW w:w="1529" w:type="dxa"/>
            <w:gridSpan w:val="3"/>
            <w:tcBorders>
              <w:bottom w:val="nil"/>
            </w:tcBorders>
            <w:vAlign w:val="center"/>
          </w:tcPr>
          <w:p w:rsidR="00E35632" w:rsidRDefault="00E35632">
            <w:pPr>
              <w:pStyle w:val="ConsPlusNormal"/>
              <w:jc w:val="center"/>
            </w:pPr>
            <w:r>
              <w:t>6,08</w:t>
            </w:r>
          </w:p>
        </w:tc>
        <w:tc>
          <w:tcPr>
            <w:tcW w:w="1529" w:type="dxa"/>
            <w:gridSpan w:val="3"/>
            <w:tcBorders>
              <w:bottom w:val="nil"/>
            </w:tcBorders>
            <w:vAlign w:val="center"/>
          </w:tcPr>
          <w:p w:rsidR="00E35632" w:rsidRDefault="00E35632">
            <w:pPr>
              <w:pStyle w:val="ConsPlusNormal"/>
              <w:jc w:val="center"/>
            </w:pPr>
            <w:r>
              <w:t>3,38</w:t>
            </w:r>
          </w:p>
        </w:tc>
        <w:tc>
          <w:tcPr>
            <w:tcW w:w="453" w:type="dxa"/>
            <w:vMerge w:val="restart"/>
            <w:tcBorders>
              <w:righ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2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566" w:type="dxa"/>
            <w:tcBorders>
              <w:left w:val="nil"/>
              <w:bottom w:val="nil"/>
              <w:right w:val="nil"/>
            </w:tcBorders>
            <w:vAlign w:val="center"/>
          </w:tcPr>
          <w:p w:rsidR="00E35632" w:rsidRDefault="00E35632">
            <w:pPr>
              <w:pStyle w:val="ConsPlusNormal"/>
              <w:jc w:val="center"/>
            </w:pPr>
            <w:r>
              <w:t>1,60</w:t>
            </w:r>
          </w:p>
        </w:tc>
        <w:tc>
          <w:tcPr>
            <w:tcW w:w="453" w:type="dxa"/>
            <w:vMerge w:val="restart"/>
            <w:tcBorders>
              <w:lef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2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1643" w:type="dxa"/>
            <w:gridSpan w:val="3"/>
            <w:vMerge w:val="restart"/>
          </w:tcPr>
          <w:p w:rsidR="00E35632" w:rsidRDefault="00E35632">
            <w:pPr>
              <w:pStyle w:val="ConsPlusNormal"/>
              <w:jc w:val="center"/>
            </w:pPr>
            <w:r>
              <w:rPr>
                <w:noProof/>
                <w:position w:val="-6"/>
              </w:rPr>
              <w:drawing>
                <wp:inline distT="0" distB="0" distL="0" distR="0">
                  <wp:extent cx="655955" cy="226060"/>
                  <wp:effectExtent l="0" t="0" r="0" b="0"/>
                  <wp:docPr id="2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655955" cy="226060"/>
                          </a:xfrm>
                          <a:prstGeom prst="rect">
                            <a:avLst/>
                          </a:prstGeom>
                          <a:noFill/>
                          <a:ln>
                            <a:noFill/>
                          </a:ln>
                        </pic:spPr>
                      </pic:pic>
                    </a:graphicData>
                  </a:graphic>
                </wp:inline>
              </w:drawing>
            </w:r>
          </w:p>
        </w:tc>
        <w:tc>
          <w:tcPr>
            <w:tcW w:w="1643" w:type="dxa"/>
            <w:gridSpan w:val="3"/>
            <w:vMerge w:val="restart"/>
          </w:tcPr>
          <w:p w:rsidR="00E35632" w:rsidRDefault="00E35632">
            <w:pPr>
              <w:pStyle w:val="ConsPlusNormal"/>
              <w:jc w:val="center"/>
            </w:pPr>
            <w:r>
              <w:t>-</w:t>
            </w:r>
          </w:p>
        </w:tc>
        <w:tc>
          <w:tcPr>
            <w:tcW w:w="1077" w:type="dxa"/>
            <w:vMerge w:val="restart"/>
          </w:tcPr>
          <w:p w:rsidR="00E35632" w:rsidRDefault="00E35632">
            <w:pPr>
              <w:pStyle w:val="ConsPlusNormal"/>
              <w:jc w:val="center"/>
            </w:pPr>
            <w:r>
              <w:t>-</w:t>
            </w:r>
          </w:p>
        </w:tc>
      </w:tr>
      <w:tr w:rsidR="00E35632">
        <w:tblPrEx>
          <w:tblBorders>
            <w:insideH w:val="nil"/>
          </w:tblBorders>
        </w:tblPrEx>
        <w:tc>
          <w:tcPr>
            <w:tcW w:w="1020" w:type="dxa"/>
            <w:vMerge/>
          </w:tcPr>
          <w:p w:rsidR="00E35632" w:rsidRDefault="00E35632">
            <w:pPr>
              <w:pStyle w:val="ConsPlusNormal"/>
            </w:pPr>
          </w:p>
        </w:tc>
        <w:tc>
          <w:tcPr>
            <w:tcW w:w="1077" w:type="dxa"/>
            <w:tcBorders>
              <w:top w:val="nil"/>
              <w:bottom w:val="nil"/>
            </w:tcBorders>
            <w:vAlign w:val="center"/>
          </w:tcPr>
          <w:p w:rsidR="00E35632" w:rsidRDefault="00E35632">
            <w:pPr>
              <w:pStyle w:val="ConsPlusNormal"/>
              <w:jc w:val="center"/>
            </w:pPr>
            <w:r>
              <w:rPr>
                <w:i/>
              </w:rPr>
              <w:t>N</w:t>
            </w:r>
            <w:r>
              <w:rPr>
                <w:i/>
                <w:vertAlign w:val="subscript"/>
              </w:rPr>
              <w:t>q</w:t>
            </w:r>
          </w:p>
        </w:tc>
        <w:tc>
          <w:tcPr>
            <w:tcW w:w="850" w:type="dxa"/>
            <w:tcBorders>
              <w:top w:val="nil"/>
              <w:bottom w:val="nil"/>
            </w:tcBorders>
            <w:vAlign w:val="center"/>
          </w:tcPr>
          <w:p w:rsidR="00E35632" w:rsidRDefault="00E35632">
            <w:pPr>
              <w:pStyle w:val="ConsPlusNormal"/>
              <w:jc w:val="center"/>
            </w:pPr>
            <w:r>
              <w:t>33,30</w:t>
            </w:r>
          </w:p>
        </w:tc>
        <w:tc>
          <w:tcPr>
            <w:tcW w:w="1529" w:type="dxa"/>
            <w:gridSpan w:val="3"/>
            <w:tcBorders>
              <w:top w:val="nil"/>
              <w:bottom w:val="nil"/>
            </w:tcBorders>
            <w:vAlign w:val="center"/>
          </w:tcPr>
          <w:p w:rsidR="00E35632" w:rsidRDefault="00E35632">
            <w:pPr>
              <w:pStyle w:val="ConsPlusNormal"/>
              <w:jc w:val="center"/>
            </w:pPr>
            <w:r>
              <w:t>27,86</w:t>
            </w:r>
          </w:p>
        </w:tc>
        <w:tc>
          <w:tcPr>
            <w:tcW w:w="1529" w:type="dxa"/>
            <w:gridSpan w:val="3"/>
            <w:tcBorders>
              <w:top w:val="nil"/>
              <w:bottom w:val="nil"/>
            </w:tcBorders>
            <w:vAlign w:val="center"/>
          </w:tcPr>
          <w:p w:rsidR="00E35632" w:rsidRDefault="00E35632">
            <w:pPr>
              <w:pStyle w:val="ConsPlusNormal"/>
              <w:jc w:val="center"/>
            </w:pPr>
            <w:r>
              <w:t>22,77</w:t>
            </w:r>
          </w:p>
        </w:tc>
        <w:tc>
          <w:tcPr>
            <w:tcW w:w="1529" w:type="dxa"/>
            <w:gridSpan w:val="3"/>
            <w:tcBorders>
              <w:top w:val="nil"/>
              <w:bottom w:val="nil"/>
            </w:tcBorders>
            <w:vAlign w:val="center"/>
          </w:tcPr>
          <w:p w:rsidR="00E35632" w:rsidRDefault="00E35632">
            <w:pPr>
              <w:pStyle w:val="ConsPlusNormal"/>
              <w:jc w:val="center"/>
            </w:pPr>
            <w:r>
              <w:t>18,12</w:t>
            </w:r>
          </w:p>
        </w:tc>
        <w:tc>
          <w:tcPr>
            <w:tcW w:w="1529" w:type="dxa"/>
            <w:gridSpan w:val="3"/>
            <w:tcBorders>
              <w:top w:val="nil"/>
              <w:bottom w:val="nil"/>
            </w:tcBorders>
            <w:vAlign w:val="center"/>
          </w:tcPr>
          <w:p w:rsidR="00E35632" w:rsidRDefault="00E35632">
            <w:pPr>
              <w:pStyle w:val="ConsPlusNormal"/>
              <w:jc w:val="center"/>
            </w:pPr>
            <w:r>
              <w:t>13,94</w:t>
            </w:r>
          </w:p>
        </w:tc>
        <w:tc>
          <w:tcPr>
            <w:tcW w:w="1529" w:type="dxa"/>
            <w:gridSpan w:val="3"/>
            <w:tcBorders>
              <w:top w:val="nil"/>
              <w:bottom w:val="nil"/>
            </w:tcBorders>
            <w:vAlign w:val="center"/>
          </w:tcPr>
          <w:p w:rsidR="00E35632" w:rsidRDefault="00E35632">
            <w:pPr>
              <w:pStyle w:val="ConsPlusNormal"/>
              <w:jc w:val="center"/>
            </w:pPr>
            <w:r>
              <w:t>10,24</w:t>
            </w:r>
          </w:p>
        </w:tc>
        <w:tc>
          <w:tcPr>
            <w:tcW w:w="453" w:type="dxa"/>
            <w:vMerge/>
            <w:tcBorders>
              <w:right w:val="nil"/>
            </w:tcBorders>
          </w:tcPr>
          <w:p w:rsidR="00E35632" w:rsidRDefault="00E35632">
            <w:pPr>
              <w:pStyle w:val="ConsPlusNormal"/>
            </w:pPr>
          </w:p>
        </w:tc>
        <w:tc>
          <w:tcPr>
            <w:tcW w:w="566" w:type="dxa"/>
            <w:tcBorders>
              <w:top w:val="nil"/>
              <w:left w:val="nil"/>
              <w:bottom w:val="nil"/>
              <w:right w:val="nil"/>
            </w:tcBorders>
            <w:vAlign w:val="center"/>
          </w:tcPr>
          <w:p w:rsidR="00E35632" w:rsidRDefault="00E35632">
            <w:pPr>
              <w:pStyle w:val="ConsPlusNormal"/>
              <w:jc w:val="center"/>
            </w:pPr>
            <w:r>
              <w:t>7,04</w:t>
            </w:r>
          </w:p>
        </w:tc>
        <w:tc>
          <w:tcPr>
            <w:tcW w:w="453" w:type="dxa"/>
            <w:vMerge/>
            <w:tcBorders>
              <w:left w:val="nil"/>
            </w:tcBorders>
          </w:tcPr>
          <w:p w:rsidR="00E35632" w:rsidRDefault="00E35632">
            <w:pPr>
              <w:pStyle w:val="ConsPlusNormal"/>
            </w:pPr>
          </w:p>
        </w:tc>
        <w:tc>
          <w:tcPr>
            <w:tcW w:w="1643"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tcPr>
          <w:p w:rsidR="00E35632" w:rsidRDefault="00E35632">
            <w:pPr>
              <w:pStyle w:val="ConsPlusNormal"/>
            </w:pPr>
          </w:p>
        </w:tc>
        <w:tc>
          <w:tcPr>
            <w:tcW w:w="1077" w:type="dxa"/>
            <w:tcBorders>
              <w:top w:val="nil"/>
            </w:tcBorders>
            <w:vAlign w:val="center"/>
          </w:tcPr>
          <w:p w:rsidR="00E35632" w:rsidRDefault="00E35632">
            <w:pPr>
              <w:pStyle w:val="ConsPlusNormal"/>
              <w:jc w:val="center"/>
            </w:pPr>
            <w:r>
              <w:rPr>
                <w:i/>
              </w:rPr>
              <w:t>N</w:t>
            </w:r>
            <w:r>
              <w:rPr>
                <w:i/>
                <w:vertAlign w:val="subscript"/>
              </w:rPr>
              <w:t>c</w:t>
            </w:r>
          </w:p>
        </w:tc>
        <w:tc>
          <w:tcPr>
            <w:tcW w:w="850" w:type="dxa"/>
            <w:tcBorders>
              <w:top w:val="nil"/>
            </w:tcBorders>
            <w:vAlign w:val="center"/>
          </w:tcPr>
          <w:p w:rsidR="00E35632" w:rsidRDefault="00E35632">
            <w:pPr>
              <w:pStyle w:val="ConsPlusNormal"/>
              <w:jc w:val="center"/>
            </w:pPr>
            <w:r>
              <w:t>46,12</w:t>
            </w:r>
          </w:p>
        </w:tc>
        <w:tc>
          <w:tcPr>
            <w:tcW w:w="1529" w:type="dxa"/>
            <w:gridSpan w:val="3"/>
            <w:tcBorders>
              <w:top w:val="nil"/>
            </w:tcBorders>
            <w:vAlign w:val="center"/>
          </w:tcPr>
          <w:p w:rsidR="00E35632" w:rsidRDefault="00E35632">
            <w:pPr>
              <w:pStyle w:val="ConsPlusNormal"/>
              <w:jc w:val="center"/>
            </w:pPr>
            <w:r>
              <w:t>38,36</w:t>
            </w:r>
          </w:p>
        </w:tc>
        <w:tc>
          <w:tcPr>
            <w:tcW w:w="1529" w:type="dxa"/>
            <w:gridSpan w:val="3"/>
            <w:tcBorders>
              <w:top w:val="nil"/>
            </w:tcBorders>
            <w:vAlign w:val="center"/>
          </w:tcPr>
          <w:p w:rsidR="00E35632" w:rsidRDefault="00E35632">
            <w:pPr>
              <w:pStyle w:val="ConsPlusNormal"/>
              <w:jc w:val="center"/>
            </w:pPr>
            <w:r>
              <w:t>31,09</w:t>
            </w:r>
          </w:p>
        </w:tc>
        <w:tc>
          <w:tcPr>
            <w:tcW w:w="1529" w:type="dxa"/>
            <w:gridSpan w:val="3"/>
            <w:tcBorders>
              <w:top w:val="nil"/>
            </w:tcBorders>
            <w:vAlign w:val="center"/>
          </w:tcPr>
          <w:p w:rsidR="00E35632" w:rsidRDefault="00E35632">
            <w:pPr>
              <w:pStyle w:val="ConsPlusNormal"/>
              <w:jc w:val="center"/>
            </w:pPr>
            <w:r>
              <w:t>24,45</w:t>
            </w:r>
          </w:p>
        </w:tc>
        <w:tc>
          <w:tcPr>
            <w:tcW w:w="1529" w:type="dxa"/>
            <w:gridSpan w:val="3"/>
            <w:tcBorders>
              <w:top w:val="nil"/>
            </w:tcBorders>
            <w:vAlign w:val="center"/>
          </w:tcPr>
          <w:p w:rsidR="00E35632" w:rsidRDefault="00E35632">
            <w:pPr>
              <w:pStyle w:val="ConsPlusNormal"/>
              <w:jc w:val="center"/>
            </w:pPr>
            <w:r>
              <w:t>18,48</w:t>
            </w:r>
          </w:p>
        </w:tc>
        <w:tc>
          <w:tcPr>
            <w:tcW w:w="1529" w:type="dxa"/>
            <w:gridSpan w:val="3"/>
            <w:tcBorders>
              <w:top w:val="nil"/>
            </w:tcBorders>
            <w:vAlign w:val="center"/>
          </w:tcPr>
          <w:p w:rsidR="00E35632" w:rsidRDefault="00E35632">
            <w:pPr>
              <w:pStyle w:val="ConsPlusNormal"/>
              <w:jc w:val="center"/>
            </w:pPr>
            <w:r>
              <w:t>13,19</w:t>
            </w:r>
          </w:p>
        </w:tc>
        <w:tc>
          <w:tcPr>
            <w:tcW w:w="453" w:type="dxa"/>
            <w:vMerge/>
            <w:tcBorders>
              <w:right w:val="nil"/>
            </w:tcBorders>
          </w:tcPr>
          <w:p w:rsidR="00E35632" w:rsidRDefault="00E35632">
            <w:pPr>
              <w:pStyle w:val="ConsPlusNormal"/>
            </w:pPr>
          </w:p>
        </w:tc>
        <w:tc>
          <w:tcPr>
            <w:tcW w:w="566" w:type="dxa"/>
            <w:tcBorders>
              <w:top w:val="nil"/>
              <w:left w:val="nil"/>
              <w:right w:val="nil"/>
            </w:tcBorders>
            <w:vAlign w:val="center"/>
          </w:tcPr>
          <w:p w:rsidR="00E35632" w:rsidRDefault="00E35632">
            <w:pPr>
              <w:pStyle w:val="ConsPlusNormal"/>
              <w:jc w:val="center"/>
            </w:pPr>
            <w:r>
              <w:t>8,63</w:t>
            </w:r>
          </w:p>
        </w:tc>
        <w:tc>
          <w:tcPr>
            <w:tcW w:w="453" w:type="dxa"/>
            <w:vMerge/>
            <w:tcBorders>
              <w:left w:val="nil"/>
            </w:tcBorders>
          </w:tcPr>
          <w:p w:rsidR="00E35632" w:rsidRDefault="00E35632">
            <w:pPr>
              <w:pStyle w:val="ConsPlusNormal"/>
            </w:pPr>
          </w:p>
        </w:tc>
        <w:tc>
          <w:tcPr>
            <w:tcW w:w="1643" w:type="dxa"/>
            <w:gridSpan w:val="3"/>
            <w:vMerge/>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val="restart"/>
          </w:tcPr>
          <w:p w:rsidR="00E35632" w:rsidRDefault="00E35632">
            <w:pPr>
              <w:pStyle w:val="ConsPlusNormal"/>
              <w:jc w:val="center"/>
            </w:pPr>
            <w:r>
              <w:t>40</w:t>
            </w:r>
          </w:p>
        </w:tc>
        <w:tc>
          <w:tcPr>
            <w:tcW w:w="1077" w:type="dxa"/>
            <w:tcBorders>
              <w:bottom w:val="nil"/>
            </w:tcBorders>
            <w:vAlign w:val="center"/>
          </w:tcPr>
          <w:p w:rsidR="00E35632" w:rsidRDefault="00E35632">
            <w:pPr>
              <w:pStyle w:val="ConsPlusNormal"/>
              <w:jc w:val="center"/>
            </w:pPr>
            <w:r>
              <w:rPr>
                <w:noProof/>
                <w:position w:val="-10"/>
              </w:rPr>
              <w:drawing>
                <wp:inline distT="0" distB="0" distL="0" distR="0">
                  <wp:extent cx="241935" cy="267970"/>
                  <wp:effectExtent l="0" t="0" r="0" b="0"/>
                  <wp:docPr id="2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p>
        </w:tc>
        <w:tc>
          <w:tcPr>
            <w:tcW w:w="850" w:type="dxa"/>
            <w:tcBorders>
              <w:bottom w:val="nil"/>
            </w:tcBorders>
            <w:vAlign w:val="center"/>
          </w:tcPr>
          <w:p w:rsidR="00E35632" w:rsidRDefault="00E35632">
            <w:pPr>
              <w:pStyle w:val="ConsPlusNormal"/>
              <w:jc w:val="center"/>
            </w:pPr>
            <w:r>
              <w:t>66,01</w:t>
            </w:r>
          </w:p>
        </w:tc>
        <w:tc>
          <w:tcPr>
            <w:tcW w:w="1529" w:type="dxa"/>
            <w:gridSpan w:val="3"/>
            <w:tcBorders>
              <w:bottom w:val="nil"/>
            </w:tcBorders>
            <w:vAlign w:val="center"/>
          </w:tcPr>
          <w:p w:rsidR="00E35632" w:rsidRDefault="00E35632">
            <w:pPr>
              <w:pStyle w:val="ConsPlusNormal"/>
              <w:jc w:val="center"/>
            </w:pPr>
            <w:r>
              <w:t>48,30</w:t>
            </w:r>
          </w:p>
        </w:tc>
        <w:tc>
          <w:tcPr>
            <w:tcW w:w="1529" w:type="dxa"/>
            <w:gridSpan w:val="3"/>
            <w:tcBorders>
              <w:bottom w:val="nil"/>
            </w:tcBorders>
            <w:vAlign w:val="center"/>
          </w:tcPr>
          <w:p w:rsidR="00E35632" w:rsidRDefault="00E35632">
            <w:pPr>
              <w:pStyle w:val="ConsPlusNormal"/>
              <w:jc w:val="center"/>
            </w:pPr>
            <w:r>
              <w:t>33,84</w:t>
            </w:r>
          </w:p>
        </w:tc>
        <w:tc>
          <w:tcPr>
            <w:tcW w:w="1529" w:type="dxa"/>
            <w:gridSpan w:val="3"/>
            <w:tcBorders>
              <w:bottom w:val="nil"/>
            </w:tcBorders>
            <w:vAlign w:val="center"/>
          </w:tcPr>
          <w:p w:rsidR="00E35632" w:rsidRDefault="00E35632">
            <w:pPr>
              <w:pStyle w:val="ConsPlusNormal"/>
              <w:jc w:val="center"/>
            </w:pPr>
            <w:r>
              <w:t>22,56</w:t>
            </w:r>
          </w:p>
        </w:tc>
        <w:tc>
          <w:tcPr>
            <w:tcW w:w="1529" w:type="dxa"/>
            <w:gridSpan w:val="3"/>
            <w:tcBorders>
              <w:bottom w:val="nil"/>
            </w:tcBorders>
            <w:vAlign w:val="center"/>
          </w:tcPr>
          <w:p w:rsidR="00E35632" w:rsidRDefault="00E35632">
            <w:pPr>
              <w:pStyle w:val="ConsPlusNormal"/>
              <w:jc w:val="center"/>
            </w:pPr>
            <w:r>
              <w:t>14,18</w:t>
            </w:r>
          </w:p>
        </w:tc>
        <w:tc>
          <w:tcPr>
            <w:tcW w:w="1529" w:type="dxa"/>
            <w:gridSpan w:val="3"/>
            <w:tcBorders>
              <w:bottom w:val="nil"/>
            </w:tcBorders>
            <w:vAlign w:val="center"/>
          </w:tcPr>
          <w:p w:rsidR="00E35632" w:rsidRDefault="00E35632">
            <w:pPr>
              <w:pStyle w:val="ConsPlusNormal"/>
              <w:jc w:val="center"/>
            </w:pPr>
            <w:r>
              <w:t>8,26</w:t>
            </w:r>
          </w:p>
        </w:tc>
        <w:tc>
          <w:tcPr>
            <w:tcW w:w="1472" w:type="dxa"/>
            <w:gridSpan w:val="3"/>
            <w:tcBorders>
              <w:bottom w:val="nil"/>
            </w:tcBorders>
            <w:vAlign w:val="center"/>
          </w:tcPr>
          <w:p w:rsidR="00E35632" w:rsidRDefault="00E35632">
            <w:pPr>
              <w:pStyle w:val="ConsPlusNormal"/>
              <w:jc w:val="center"/>
            </w:pPr>
            <w:r>
              <w:t>4,30</w:t>
            </w:r>
          </w:p>
        </w:tc>
        <w:tc>
          <w:tcPr>
            <w:tcW w:w="453" w:type="dxa"/>
            <w:vMerge w:val="restart"/>
            <w:tcBorders>
              <w:righ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2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737" w:type="dxa"/>
            <w:tcBorders>
              <w:left w:val="nil"/>
              <w:bottom w:val="nil"/>
              <w:right w:val="nil"/>
            </w:tcBorders>
            <w:vAlign w:val="center"/>
          </w:tcPr>
          <w:p w:rsidR="00E35632" w:rsidRDefault="00E35632">
            <w:pPr>
              <w:pStyle w:val="ConsPlusNormal"/>
              <w:jc w:val="center"/>
            </w:pPr>
            <w:r>
              <w:t>2,79</w:t>
            </w:r>
          </w:p>
        </w:tc>
        <w:tc>
          <w:tcPr>
            <w:tcW w:w="453" w:type="dxa"/>
            <w:vMerge w:val="restart"/>
            <w:tcBorders>
              <w:lef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2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1643" w:type="dxa"/>
            <w:gridSpan w:val="3"/>
            <w:vMerge w:val="restart"/>
          </w:tcPr>
          <w:p w:rsidR="00E35632" w:rsidRDefault="00E35632">
            <w:pPr>
              <w:pStyle w:val="ConsPlusNormal"/>
              <w:jc w:val="center"/>
            </w:pPr>
            <w:r>
              <w:rPr>
                <w:noProof/>
                <w:position w:val="-6"/>
              </w:rPr>
              <w:drawing>
                <wp:inline distT="0" distB="0" distL="0" distR="0">
                  <wp:extent cx="655955" cy="226060"/>
                  <wp:effectExtent l="0" t="0" r="0" b="0"/>
                  <wp:docPr id="2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655955" cy="226060"/>
                          </a:xfrm>
                          <a:prstGeom prst="rect">
                            <a:avLst/>
                          </a:prstGeom>
                          <a:noFill/>
                          <a:ln>
                            <a:noFill/>
                          </a:ln>
                        </pic:spPr>
                      </pic:pic>
                    </a:graphicData>
                  </a:graphic>
                </wp:inline>
              </w:drawing>
            </w:r>
          </w:p>
        </w:tc>
        <w:tc>
          <w:tcPr>
            <w:tcW w:w="1077" w:type="dxa"/>
            <w:vMerge w:val="restart"/>
          </w:tcPr>
          <w:p w:rsidR="00E35632" w:rsidRDefault="00E35632">
            <w:pPr>
              <w:pStyle w:val="ConsPlusNormal"/>
              <w:jc w:val="center"/>
            </w:pPr>
            <w:r>
              <w:t>-</w:t>
            </w:r>
          </w:p>
        </w:tc>
      </w:tr>
      <w:tr w:rsidR="00E35632">
        <w:tblPrEx>
          <w:tblBorders>
            <w:insideH w:val="nil"/>
          </w:tblBorders>
        </w:tblPrEx>
        <w:tc>
          <w:tcPr>
            <w:tcW w:w="1020" w:type="dxa"/>
            <w:vMerge/>
          </w:tcPr>
          <w:p w:rsidR="00E35632" w:rsidRDefault="00E35632">
            <w:pPr>
              <w:pStyle w:val="ConsPlusNormal"/>
            </w:pPr>
          </w:p>
        </w:tc>
        <w:tc>
          <w:tcPr>
            <w:tcW w:w="1077" w:type="dxa"/>
            <w:tcBorders>
              <w:top w:val="nil"/>
              <w:bottom w:val="nil"/>
            </w:tcBorders>
            <w:vAlign w:val="center"/>
          </w:tcPr>
          <w:p w:rsidR="00E35632" w:rsidRDefault="00E35632">
            <w:pPr>
              <w:pStyle w:val="ConsPlusNormal"/>
              <w:jc w:val="center"/>
            </w:pPr>
            <w:r>
              <w:rPr>
                <w:i/>
              </w:rPr>
              <w:t>N</w:t>
            </w:r>
            <w:r>
              <w:rPr>
                <w:i/>
                <w:vertAlign w:val="subscript"/>
              </w:rPr>
              <w:t>q</w:t>
            </w:r>
          </w:p>
        </w:tc>
        <w:tc>
          <w:tcPr>
            <w:tcW w:w="850" w:type="dxa"/>
            <w:tcBorders>
              <w:top w:val="nil"/>
              <w:bottom w:val="nil"/>
            </w:tcBorders>
            <w:vAlign w:val="center"/>
          </w:tcPr>
          <w:p w:rsidR="00E35632" w:rsidRDefault="00E35632">
            <w:pPr>
              <w:pStyle w:val="ConsPlusNormal"/>
              <w:jc w:val="center"/>
            </w:pPr>
            <w:r>
              <w:t>64,19</w:t>
            </w:r>
          </w:p>
        </w:tc>
        <w:tc>
          <w:tcPr>
            <w:tcW w:w="1529" w:type="dxa"/>
            <w:gridSpan w:val="3"/>
            <w:tcBorders>
              <w:top w:val="nil"/>
              <w:bottom w:val="nil"/>
            </w:tcBorders>
            <w:vAlign w:val="center"/>
          </w:tcPr>
          <w:p w:rsidR="00E35632" w:rsidRDefault="00E35632">
            <w:pPr>
              <w:pStyle w:val="ConsPlusNormal"/>
              <w:jc w:val="center"/>
            </w:pPr>
            <w:r>
              <w:t>52,71</w:t>
            </w:r>
          </w:p>
        </w:tc>
        <w:tc>
          <w:tcPr>
            <w:tcW w:w="1529" w:type="dxa"/>
            <w:gridSpan w:val="3"/>
            <w:tcBorders>
              <w:top w:val="nil"/>
              <w:bottom w:val="nil"/>
            </w:tcBorders>
            <w:vAlign w:val="center"/>
          </w:tcPr>
          <w:p w:rsidR="00E35632" w:rsidRDefault="00E35632">
            <w:pPr>
              <w:pStyle w:val="ConsPlusNormal"/>
              <w:jc w:val="center"/>
            </w:pPr>
            <w:r>
              <w:t>42,37</w:t>
            </w:r>
          </w:p>
        </w:tc>
        <w:tc>
          <w:tcPr>
            <w:tcW w:w="1529" w:type="dxa"/>
            <w:gridSpan w:val="3"/>
            <w:tcBorders>
              <w:top w:val="nil"/>
              <w:bottom w:val="nil"/>
            </w:tcBorders>
            <w:vAlign w:val="center"/>
          </w:tcPr>
          <w:p w:rsidR="00E35632" w:rsidRDefault="00E35632">
            <w:pPr>
              <w:pStyle w:val="ConsPlusNormal"/>
              <w:jc w:val="center"/>
            </w:pPr>
            <w:r>
              <w:t>33,26</w:t>
            </w:r>
          </w:p>
        </w:tc>
        <w:tc>
          <w:tcPr>
            <w:tcW w:w="1529" w:type="dxa"/>
            <w:gridSpan w:val="3"/>
            <w:tcBorders>
              <w:top w:val="nil"/>
              <w:bottom w:val="nil"/>
            </w:tcBorders>
            <w:vAlign w:val="center"/>
          </w:tcPr>
          <w:p w:rsidR="00E35632" w:rsidRDefault="00E35632">
            <w:pPr>
              <w:pStyle w:val="ConsPlusNormal"/>
              <w:jc w:val="center"/>
            </w:pPr>
            <w:r>
              <w:t>25,39</w:t>
            </w:r>
          </w:p>
        </w:tc>
        <w:tc>
          <w:tcPr>
            <w:tcW w:w="1529" w:type="dxa"/>
            <w:gridSpan w:val="3"/>
            <w:tcBorders>
              <w:top w:val="nil"/>
              <w:bottom w:val="nil"/>
            </w:tcBorders>
            <w:vAlign w:val="center"/>
          </w:tcPr>
          <w:p w:rsidR="00E35632" w:rsidRDefault="00E35632">
            <w:pPr>
              <w:pStyle w:val="ConsPlusNormal"/>
              <w:jc w:val="center"/>
            </w:pPr>
            <w:r>
              <w:t>18,70</w:t>
            </w:r>
          </w:p>
        </w:tc>
        <w:tc>
          <w:tcPr>
            <w:tcW w:w="1472" w:type="dxa"/>
            <w:gridSpan w:val="3"/>
            <w:tcBorders>
              <w:top w:val="nil"/>
              <w:bottom w:val="nil"/>
            </w:tcBorders>
            <w:vAlign w:val="center"/>
          </w:tcPr>
          <w:p w:rsidR="00E35632" w:rsidRDefault="00E35632">
            <w:pPr>
              <w:pStyle w:val="ConsPlusNormal"/>
              <w:jc w:val="center"/>
            </w:pPr>
            <w:r>
              <w:t>13,11</w:t>
            </w:r>
          </w:p>
        </w:tc>
        <w:tc>
          <w:tcPr>
            <w:tcW w:w="453" w:type="dxa"/>
            <w:vMerge/>
            <w:tcBorders>
              <w:right w:val="nil"/>
            </w:tcBorders>
          </w:tcPr>
          <w:p w:rsidR="00E35632" w:rsidRDefault="00E35632">
            <w:pPr>
              <w:pStyle w:val="ConsPlusNormal"/>
            </w:pPr>
          </w:p>
        </w:tc>
        <w:tc>
          <w:tcPr>
            <w:tcW w:w="737" w:type="dxa"/>
            <w:tcBorders>
              <w:top w:val="nil"/>
              <w:left w:val="nil"/>
              <w:bottom w:val="nil"/>
              <w:right w:val="nil"/>
            </w:tcBorders>
            <w:vAlign w:val="center"/>
          </w:tcPr>
          <w:p w:rsidR="00E35632" w:rsidRDefault="00E35632">
            <w:pPr>
              <w:pStyle w:val="ConsPlusNormal"/>
              <w:jc w:val="center"/>
            </w:pPr>
            <w:r>
              <w:t>10,46</w:t>
            </w:r>
          </w:p>
        </w:tc>
        <w:tc>
          <w:tcPr>
            <w:tcW w:w="453" w:type="dxa"/>
            <w:vMerge/>
            <w:tcBorders>
              <w:left w:val="nil"/>
            </w:tcBorders>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tcPr>
          <w:p w:rsidR="00E35632" w:rsidRDefault="00E35632">
            <w:pPr>
              <w:pStyle w:val="ConsPlusNormal"/>
            </w:pPr>
          </w:p>
        </w:tc>
        <w:tc>
          <w:tcPr>
            <w:tcW w:w="1077" w:type="dxa"/>
            <w:tcBorders>
              <w:top w:val="nil"/>
            </w:tcBorders>
            <w:vAlign w:val="center"/>
          </w:tcPr>
          <w:p w:rsidR="00E35632" w:rsidRDefault="00E35632">
            <w:pPr>
              <w:pStyle w:val="ConsPlusNormal"/>
              <w:jc w:val="center"/>
            </w:pPr>
            <w:r>
              <w:rPr>
                <w:i/>
              </w:rPr>
              <w:t>N</w:t>
            </w:r>
            <w:r>
              <w:rPr>
                <w:i/>
                <w:vertAlign w:val="subscript"/>
              </w:rPr>
              <w:t>c</w:t>
            </w:r>
          </w:p>
        </w:tc>
        <w:tc>
          <w:tcPr>
            <w:tcW w:w="850" w:type="dxa"/>
            <w:tcBorders>
              <w:top w:val="nil"/>
            </w:tcBorders>
            <w:vAlign w:val="center"/>
          </w:tcPr>
          <w:p w:rsidR="00E35632" w:rsidRDefault="00E35632">
            <w:pPr>
              <w:pStyle w:val="ConsPlusNormal"/>
              <w:jc w:val="center"/>
            </w:pPr>
            <w:r>
              <w:t>75,31</w:t>
            </w:r>
          </w:p>
        </w:tc>
        <w:tc>
          <w:tcPr>
            <w:tcW w:w="1529" w:type="dxa"/>
            <w:gridSpan w:val="3"/>
            <w:tcBorders>
              <w:top w:val="nil"/>
            </w:tcBorders>
            <w:vAlign w:val="center"/>
          </w:tcPr>
          <w:p w:rsidR="00E35632" w:rsidRDefault="00E35632">
            <w:pPr>
              <w:pStyle w:val="ConsPlusNormal"/>
              <w:jc w:val="center"/>
            </w:pPr>
            <w:r>
              <w:t>61,63</w:t>
            </w:r>
          </w:p>
        </w:tc>
        <w:tc>
          <w:tcPr>
            <w:tcW w:w="1529" w:type="dxa"/>
            <w:gridSpan w:val="3"/>
            <w:tcBorders>
              <w:top w:val="nil"/>
            </w:tcBorders>
            <w:vAlign w:val="center"/>
          </w:tcPr>
          <w:p w:rsidR="00E35632" w:rsidRDefault="00E35632">
            <w:pPr>
              <w:pStyle w:val="ConsPlusNormal"/>
              <w:jc w:val="center"/>
            </w:pPr>
            <w:r>
              <w:t>49,31</w:t>
            </w:r>
          </w:p>
        </w:tc>
        <w:tc>
          <w:tcPr>
            <w:tcW w:w="1529" w:type="dxa"/>
            <w:gridSpan w:val="3"/>
            <w:tcBorders>
              <w:top w:val="nil"/>
            </w:tcBorders>
            <w:vAlign w:val="center"/>
          </w:tcPr>
          <w:p w:rsidR="00E35632" w:rsidRDefault="00E35632">
            <w:pPr>
              <w:pStyle w:val="ConsPlusNormal"/>
              <w:jc w:val="center"/>
            </w:pPr>
            <w:r>
              <w:t>38,45</w:t>
            </w:r>
          </w:p>
        </w:tc>
        <w:tc>
          <w:tcPr>
            <w:tcW w:w="1529" w:type="dxa"/>
            <w:gridSpan w:val="3"/>
            <w:tcBorders>
              <w:top w:val="nil"/>
            </w:tcBorders>
            <w:vAlign w:val="center"/>
          </w:tcPr>
          <w:p w:rsidR="00E35632" w:rsidRDefault="00E35632">
            <w:pPr>
              <w:pStyle w:val="ConsPlusNormal"/>
              <w:jc w:val="center"/>
            </w:pPr>
            <w:r>
              <w:t>29,07</w:t>
            </w:r>
          </w:p>
        </w:tc>
        <w:tc>
          <w:tcPr>
            <w:tcW w:w="1529" w:type="dxa"/>
            <w:gridSpan w:val="3"/>
            <w:tcBorders>
              <w:top w:val="nil"/>
            </w:tcBorders>
            <w:vAlign w:val="center"/>
          </w:tcPr>
          <w:p w:rsidR="00E35632" w:rsidRDefault="00E35632">
            <w:pPr>
              <w:pStyle w:val="ConsPlusNormal"/>
              <w:jc w:val="center"/>
            </w:pPr>
            <w:r>
              <w:t>21,10</w:t>
            </w:r>
          </w:p>
        </w:tc>
        <w:tc>
          <w:tcPr>
            <w:tcW w:w="1472" w:type="dxa"/>
            <w:gridSpan w:val="3"/>
            <w:tcBorders>
              <w:top w:val="nil"/>
            </w:tcBorders>
            <w:vAlign w:val="center"/>
          </w:tcPr>
          <w:p w:rsidR="00E35632" w:rsidRDefault="00E35632">
            <w:pPr>
              <w:pStyle w:val="ConsPlusNormal"/>
              <w:jc w:val="center"/>
            </w:pPr>
            <w:r>
              <w:t>14,43</w:t>
            </w:r>
          </w:p>
        </w:tc>
        <w:tc>
          <w:tcPr>
            <w:tcW w:w="453" w:type="dxa"/>
            <w:vMerge/>
            <w:tcBorders>
              <w:right w:val="nil"/>
            </w:tcBorders>
          </w:tcPr>
          <w:p w:rsidR="00E35632" w:rsidRDefault="00E35632">
            <w:pPr>
              <w:pStyle w:val="ConsPlusNormal"/>
            </w:pPr>
          </w:p>
        </w:tc>
        <w:tc>
          <w:tcPr>
            <w:tcW w:w="737" w:type="dxa"/>
            <w:tcBorders>
              <w:top w:val="nil"/>
              <w:left w:val="nil"/>
              <w:right w:val="nil"/>
            </w:tcBorders>
            <w:vAlign w:val="center"/>
          </w:tcPr>
          <w:p w:rsidR="00E35632" w:rsidRDefault="00E35632">
            <w:pPr>
              <w:pStyle w:val="ConsPlusNormal"/>
              <w:jc w:val="center"/>
            </w:pPr>
            <w:r>
              <w:t>11,27</w:t>
            </w:r>
          </w:p>
        </w:tc>
        <w:tc>
          <w:tcPr>
            <w:tcW w:w="453" w:type="dxa"/>
            <w:vMerge/>
            <w:tcBorders>
              <w:left w:val="nil"/>
            </w:tcBorders>
          </w:tcPr>
          <w:p w:rsidR="00E35632" w:rsidRDefault="00E35632">
            <w:pPr>
              <w:pStyle w:val="ConsPlusNormal"/>
            </w:pPr>
          </w:p>
        </w:tc>
        <w:tc>
          <w:tcPr>
            <w:tcW w:w="1643" w:type="dxa"/>
            <w:gridSpan w:val="3"/>
            <w:vMerge/>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val="restart"/>
          </w:tcPr>
          <w:p w:rsidR="00E35632" w:rsidRDefault="00E35632">
            <w:pPr>
              <w:pStyle w:val="ConsPlusNormal"/>
              <w:jc w:val="center"/>
            </w:pPr>
            <w:r>
              <w:lastRenderedPageBreak/>
              <w:t>45</w:t>
            </w:r>
          </w:p>
        </w:tc>
        <w:tc>
          <w:tcPr>
            <w:tcW w:w="1077" w:type="dxa"/>
            <w:tcBorders>
              <w:bottom w:val="nil"/>
            </w:tcBorders>
            <w:vAlign w:val="center"/>
          </w:tcPr>
          <w:p w:rsidR="00E35632" w:rsidRDefault="00E35632">
            <w:pPr>
              <w:pStyle w:val="ConsPlusNormal"/>
              <w:jc w:val="center"/>
            </w:pPr>
            <w:r>
              <w:rPr>
                <w:noProof/>
                <w:position w:val="-10"/>
              </w:rPr>
              <w:drawing>
                <wp:inline distT="0" distB="0" distL="0" distR="0">
                  <wp:extent cx="241935" cy="267970"/>
                  <wp:effectExtent l="0" t="0" r="0" b="0"/>
                  <wp:docPr id="2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p>
        </w:tc>
        <w:tc>
          <w:tcPr>
            <w:tcW w:w="850" w:type="dxa"/>
            <w:tcBorders>
              <w:bottom w:val="nil"/>
            </w:tcBorders>
            <w:vAlign w:val="center"/>
          </w:tcPr>
          <w:p w:rsidR="00E35632" w:rsidRDefault="00E35632">
            <w:pPr>
              <w:pStyle w:val="ConsPlusNormal"/>
              <w:jc w:val="center"/>
            </w:pPr>
            <w:r>
              <w:t>177,61</w:t>
            </w:r>
          </w:p>
        </w:tc>
        <w:tc>
          <w:tcPr>
            <w:tcW w:w="1529" w:type="dxa"/>
            <w:gridSpan w:val="3"/>
            <w:tcBorders>
              <w:bottom w:val="nil"/>
            </w:tcBorders>
            <w:vAlign w:val="center"/>
          </w:tcPr>
          <w:p w:rsidR="00E35632" w:rsidRDefault="00E35632">
            <w:pPr>
              <w:pStyle w:val="ConsPlusNormal"/>
              <w:jc w:val="center"/>
            </w:pPr>
            <w:r>
              <w:t>126,09</w:t>
            </w:r>
          </w:p>
        </w:tc>
        <w:tc>
          <w:tcPr>
            <w:tcW w:w="1529" w:type="dxa"/>
            <w:gridSpan w:val="3"/>
            <w:tcBorders>
              <w:bottom w:val="nil"/>
            </w:tcBorders>
            <w:vAlign w:val="center"/>
          </w:tcPr>
          <w:p w:rsidR="00E35632" w:rsidRDefault="00E35632">
            <w:pPr>
              <w:pStyle w:val="ConsPlusNormal"/>
              <w:jc w:val="center"/>
            </w:pPr>
            <w:r>
              <w:t>86,20</w:t>
            </w:r>
          </w:p>
        </w:tc>
        <w:tc>
          <w:tcPr>
            <w:tcW w:w="1529" w:type="dxa"/>
            <w:gridSpan w:val="3"/>
            <w:tcBorders>
              <w:bottom w:val="nil"/>
            </w:tcBorders>
            <w:vAlign w:val="center"/>
          </w:tcPr>
          <w:p w:rsidR="00E35632" w:rsidRDefault="00E35632">
            <w:pPr>
              <w:pStyle w:val="ConsPlusNormal"/>
              <w:jc w:val="center"/>
            </w:pPr>
            <w:r>
              <w:t>56,50</w:t>
            </w:r>
          </w:p>
        </w:tc>
        <w:tc>
          <w:tcPr>
            <w:tcW w:w="1529" w:type="dxa"/>
            <w:gridSpan w:val="3"/>
            <w:tcBorders>
              <w:bottom w:val="nil"/>
            </w:tcBorders>
            <w:vAlign w:val="center"/>
          </w:tcPr>
          <w:p w:rsidR="00E35632" w:rsidRDefault="00E35632">
            <w:pPr>
              <w:pStyle w:val="ConsPlusNormal"/>
              <w:jc w:val="center"/>
            </w:pPr>
            <w:r>
              <w:t>32,26</w:t>
            </w:r>
          </w:p>
        </w:tc>
        <w:tc>
          <w:tcPr>
            <w:tcW w:w="1529" w:type="dxa"/>
            <w:gridSpan w:val="3"/>
            <w:tcBorders>
              <w:bottom w:val="nil"/>
            </w:tcBorders>
            <w:vAlign w:val="center"/>
          </w:tcPr>
          <w:p w:rsidR="00E35632" w:rsidRDefault="00E35632">
            <w:pPr>
              <w:pStyle w:val="ConsPlusNormal"/>
              <w:jc w:val="center"/>
            </w:pPr>
            <w:r>
              <w:t>20,73</w:t>
            </w:r>
          </w:p>
        </w:tc>
        <w:tc>
          <w:tcPr>
            <w:tcW w:w="1472" w:type="dxa"/>
            <w:gridSpan w:val="3"/>
            <w:tcBorders>
              <w:bottom w:val="nil"/>
            </w:tcBorders>
            <w:vAlign w:val="center"/>
          </w:tcPr>
          <w:p w:rsidR="00E35632" w:rsidRDefault="00E35632">
            <w:pPr>
              <w:pStyle w:val="ConsPlusNormal"/>
              <w:jc w:val="center"/>
            </w:pPr>
            <w:r>
              <w:t>11,26</w:t>
            </w:r>
          </w:p>
        </w:tc>
        <w:tc>
          <w:tcPr>
            <w:tcW w:w="1643" w:type="dxa"/>
            <w:gridSpan w:val="3"/>
            <w:tcBorders>
              <w:bottom w:val="nil"/>
            </w:tcBorders>
            <w:vAlign w:val="center"/>
          </w:tcPr>
          <w:p w:rsidR="00E35632" w:rsidRDefault="00E35632">
            <w:pPr>
              <w:pStyle w:val="ConsPlusNormal"/>
              <w:jc w:val="center"/>
            </w:pPr>
            <w:r>
              <w:t>5,45</w:t>
            </w:r>
          </w:p>
        </w:tc>
        <w:tc>
          <w:tcPr>
            <w:tcW w:w="453" w:type="dxa"/>
            <w:vMerge w:val="restart"/>
            <w:tcBorders>
              <w:righ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2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737" w:type="dxa"/>
            <w:tcBorders>
              <w:left w:val="nil"/>
              <w:bottom w:val="nil"/>
              <w:right w:val="nil"/>
            </w:tcBorders>
            <w:vAlign w:val="center"/>
          </w:tcPr>
          <w:p w:rsidR="00E35632" w:rsidRDefault="00E35632">
            <w:pPr>
              <w:pStyle w:val="ConsPlusNormal"/>
              <w:jc w:val="center"/>
            </w:pPr>
            <w:r>
              <w:t>5,22</w:t>
            </w:r>
          </w:p>
        </w:tc>
        <w:tc>
          <w:tcPr>
            <w:tcW w:w="453" w:type="dxa"/>
            <w:vMerge w:val="restart"/>
            <w:tcBorders>
              <w:left w:val="nil"/>
            </w:tcBorders>
            <w:vAlign w:val="center"/>
          </w:tcPr>
          <w:p w:rsidR="00E35632" w:rsidRDefault="00E35632">
            <w:pPr>
              <w:pStyle w:val="ConsPlusNormal"/>
              <w:jc w:val="center"/>
            </w:pPr>
            <w:r>
              <w:rPr>
                <w:noProof/>
                <w:position w:val="-67"/>
              </w:rPr>
              <w:drawing>
                <wp:inline distT="0" distB="0" distL="0" distR="0">
                  <wp:extent cx="208915" cy="1002665"/>
                  <wp:effectExtent l="0" t="0" r="0" b="0"/>
                  <wp:docPr id="2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08915" cy="1002665"/>
                          </a:xfrm>
                          <a:prstGeom prst="rect">
                            <a:avLst/>
                          </a:prstGeom>
                          <a:noFill/>
                          <a:ln>
                            <a:noFill/>
                          </a:ln>
                        </pic:spPr>
                      </pic:pic>
                    </a:graphicData>
                  </a:graphic>
                </wp:inline>
              </w:drawing>
            </w:r>
          </w:p>
        </w:tc>
        <w:tc>
          <w:tcPr>
            <w:tcW w:w="1077" w:type="dxa"/>
            <w:vMerge w:val="restart"/>
          </w:tcPr>
          <w:p w:rsidR="00E35632" w:rsidRDefault="00E35632">
            <w:pPr>
              <w:pStyle w:val="ConsPlusNormal"/>
              <w:jc w:val="center"/>
            </w:pPr>
            <w:r>
              <w:rPr>
                <w:noProof/>
                <w:position w:val="-5"/>
              </w:rPr>
              <w:drawing>
                <wp:inline distT="0" distB="0" distL="0" distR="0">
                  <wp:extent cx="605155" cy="208280"/>
                  <wp:effectExtent l="0" t="0" r="0" b="0"/>
                  <wp:docPr id="2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605155" cy="208280"/>
                          </a:xfrm>
                          <a:prstGeom prst="rect">
                            <a:avLst/>
                          </a:prstGeom>
                          <a:noFill/>
                          <a:ln>
                            <a:noFill/>
                          </a:ln>
                        </pic:spPr>
                      </pic:pic>
                    </a:graphicData>
                  </a:graphic>
                </wp:inline>
              </w:drawing>
            </w:r>
          </w:p>
        </w:tc>
      </w:tr>
      <w:tr w:rsidR="00E35632">
        <w:tblPrEx>
          <w:tblBorders>
            <w:insideH w:val="nil"/>
          </w:tblBorders>
        </w:tblPrEx>
        <w:tc>
          <w:tcPr>
            <w:tcW w:w="1020" w:type="dxa"/>
            <w:vMerge/>
          </w:tcPr>
          <w:p w:rsidR="00E35632" w:rsidRDefault="00E35632">
            <w:pPr>
              <w:pStyle w:val="ConsPlusNormal"/>
            </w:pPr>
          </w:p>
        </w:tc>
        <w:tc>
          <w:tcPr>
            <w:tcW w:w="1077" w:type="dxa"/>
            <w:tcBorders>
              <w:top w:val="nil"/>
              <w:bottom w:val="nil"/>
            </w:tcBorders>
            <w:vAlign w:val="center"/>
          </w:tcPr>
          <w:p w:rsidR="00E35632" w:rsidRDefault="00E35632">
            <w:pPr>
              <w:pStyle w:val="ConsPlusNormal"/>
              <w:jc w:val="center"/>
            </w:pPr>
            <w:r>
              <w:rPr>
                <w:i/>
              </w:rPr>
              <w:t>N</w:t>
            </w:r>
            <w:r>
              <w:rPr>
                <w:i/>
                <w:vertAlign w:val="subscript"/>
              </w:rPr>
              <w:t>q</w:t>
            </w:r>
          </w:p>
        </w:tc>
        <w:tc>
          <w:tcPr>
            <w:tcW w:w="850" w:type="dxa"/>
            <w:tcBorders>
              <w:top w:val="nil"/>
              <w:bottom w:val="nil"/>
            </w:tcBorders>
            <w:vAlign w:val="center"/>
          </w:tcPr>
          <w:p w:rsidR="00E35632" w:rsidRDefault="00E35632">
            <w:pPr>
              <w:pStyle w:val="ConsPlusNormal"/>
              <w:jc w:val="center"/>
            </w:pPr>
            <w:r>
              <w:t>134,87</w:t>
            </w:r>
          </w:p>
        </w:tc>
        <w:tc>
          <w:tcPr>
            <w:tcW w:w="1529" w:type="dxa"/>
            <w:gridSpan w:val="3"/>
            <w:tcBorders>
              <w:top w:val="nil"/>
              <w:bottom w:val="nil"/>
            </w:tcBorders>
            <w:vAlign w:val="center"/>
          </w:tcPr>
          <w:p w:rsidR="00E35632" w:rsidRDefault="00E35632">
            <w:pPr>
              <w:pStyle w:val="ConsPlusNormal"/>
              <w:jc w:val="center"/>
            </w:pPr>
            <w:r>
              <w:t>108,24</w:t>
            </w:r>
          </w:p>
        </w:tc>
        <w:tc>
          <w:tcPr>
            <w:tcW w:w="1529" w:type="dxa"/>
            <w:gridSpan w:val="3"/>
            <w:tcBorders>
              <w:top w:val="nil"/>
              <w:bottom w:val="nil"/>
            </w:tcBorders>
            <w:vAlign w:val="center"/>
          </w:tcPr>
          <w:p w:rsidR="00E35632" w:rsidRDefault="00E35632">
            <w:pPr>
              <w:pStyle w:val="ConsPlusNormal"/>
              <w:jc w:val="center"/>
            </w:pPr>
            <w:r>
              <w:t>85,16</w:t>
            </w:r>
          </w:p>
        </w:tc>
        <w:tc>
          <w:tcPr>
            <w:tcW w:w="1529" w:type="dxa"/>
            <w:gridSpan w:val="3"/>
            <w:tcBorders>
              <w:top w:val="nil"/>
              <w:bottom w:val="nil"/>
            </w:tcBorders>
            <w:vAlign w:val="center"/>
          </w:tcPr>
          <w:p w:rsidR="00E35632" w:rsidRDefault="00E35632">
            <w:pPr>
              <w:pStyle w:val="ConsPlusNormal"/>
              <w:jc w:val="center"/>
            </w:pPr>
            <w:r>
              <w:t>65,58</w:t>
            </w:r>
          </w:p>
        </w:tc>
        <w:tc>
          <w:tcPr>
            <w:tcW w:w="1529" w:type="dxa"/>
            <w:gridSpan w:val="3"/>
            <w:tcBorders>
              <w:top w:val="nil"/>
              <w:bottom w:val="nil"/>
            </w:tcBorders>
            <w:vAlign w:val="center"/>
          </w:tcPr>
          <w:p w:rsidR="00E35632" w:rsidRDefault="00E35632">
            <w:pPr>
              <w:pStyle w:val="ConsPlusNormal"/>
              <w:jc w:val="center"/>
            </w:pPr>
            <w:r>
              <w:t>49,26</w:t>
            </w:r>
          </w:p>
        </w:tc>
        <w:tc>
          <w:tcPr>
            <w:tcW w:w="1529" w:type="dxa"/>
            <w:gridSpan w:val="3"/>
            <w:tcBorders>
              <w:top w:val="nil"/>
              <w:bottom w:val="nil"/>
            </w:tcBorders>
            <w:vAlign w:val="center"/>
          </w:tcPr>
          <w:p w:rsidR="00E35632" w:rsidRDefault="00E35632">
            <w:pPr>
              <w:pStyle w:val="ConsPlusNormal"/>
              <w:jc w:val="center"/>
            </w:pPr>
            <w:r>
              <w:t>35,93</w:t>
            </w:r>
          </w:p>
        </w:tc>
        <w:tc>
          <w:tcPr>
            <w:tcW w:w="1472" w:type="dxa"/>
            <w:gridSpan w:val="3"/>
            <w:tcBorders>
              <w:top w:val="nil"/>
              <w:bottom w:val="nil"/>
            </w:tcBorders>
            <w:vAlign w:val="center"/>
          </w:tcPr>
          <w:p w:rsidR="00E35632" w:rsidRDefault="00E35632">
            <w:pPr>
              <w:pStyle w:val="ConsPlusNormal"/>
              <w:jc w:val="center"/>
            </w:pPr>
            <w:r>
              <w:t>25,24</w:t>
            </w:r>
          </w:p>
        </w:tc>
        <w:tc>
          <w:tcPr>
            <w:tcW w:w="1643" w:type="dxa"/>
            <w:gridSpan w:val="3"/>
            <w:tcBorders>
              <w:top w:val="nil"/>
              <w:bottom w:val="nil"/>
            </w:tcBorders>
            <w:vAlign w:val="center"/>
          </w:tcPr>
          <w:p w:rsidR="00E35632" w:rsidRDefault="00E35632">
            <w:pPr>
              <w:pStyle w:val="ConsPlusNormal"/>
              <w:jc w:val="center"/>
            </w:pPr>
            <w:r>
              <w:t>16,82</w:t>
            </w:r>
          </w:p>
        </w:tc>
        <w:tc>
          <w:tcPr>
            <w:tcW w:w="453" w:type="dxa"/>
            <w:vMerge/>
            <w:tcBorders>
              <w:right w:val="nil"/>
            </w:tcBorders>
          </w:tcPr>
          <w:p w:rsidR="00E35632" w:rsidRDefault="00E35632">
            <w:pPr>
              <w:pStyle w:val="ConsPlusNormal"/>
            </w:pPr>
          </w:p>
        </w:tc>
        <w:tc>
          <w:tcPr>
            <w:tcW w:w="737" w:type="dxa"/>
            <w:tcBorders>
              <w:top w:val="nil"/>
              <w:left w:val="nil"/>
              <w:bottom w:val="nil"/>
              <w:right w:val="nil"/>
            </w:tcBorders>
            <w:vAlign w:val="center"/>
          </w:tcPr>
          <w:p w:rsidR="00E35632" w:rsidRDefault="00E35632">
            <w:pPr>
              <w:pStyle w:val="ConsPlusNormal"/>
              <w:jc w:val="center"/>
            </w:pPr>
            <w:r>
              <w:t>16,42</w:t>
            </w:r>
          </w:p>
        </w:tc>
        <w:tc>
          <w:tcPr>
            <w:tcW w:w="453" w:type="dxa"/>
            <w:vMerge/>
            <w:tcBorders>
              <w:left w:val="nil"/>
            </w:tcBorders>
          </w:tcPr>
          <w:p w:rsidR="00E35632" w:rsidRDefault="00E35632">
            <w:pPr>
              <w:pStyle w:val="ConsPlusNormal"/>
            </w:pPr>
          </w:p>
        </w:tc>
        <w:tc>
          <w:tcPr>
            <w:tcW w:w="1077" w:type="dxa"/>
            <w:vMerge/>
          </w:tcPr>
          <w:p w:rsidR="00E35632" w:rsidRDefault="00E35632">
            <w:pPr>
              <w:pStyle w:val="ConsPlusNormal"/>
            </w:pPr>
          </w:p>
        </w:tc>
      </w:tr>
      <w:tr w:rsidR="00E35632">
        <w:tc>
          <w:tcPr>
            <w:tcW w:w="1020" w:type="dxa"/>
            <w:vMerge/>
          </w:tcPr>
          <w:p w:rsidR="00E35632" w:rsidRDefault="00E35632">
            <w:pPr>
              <w:pStyle w:val="ConsPlusNormal"/>
            </w:pPr>
          </w:p>
        </w:tc>
        <w:tc>
          <w:tcPr>
            <w:tcW w:w="1077" w:type="dxa"/>
            <w:tcBorders>
              <w:top w:val="nil"/>
            </w:tcBorders>
            <w:vAlign w:val="center"/>
          </w:tcPr>
          <w:p w:rsidR="00E35632" w:rsidRDefault="00E35632">
            <w:pPr>
              <w:pStyle w:val="ConsPlusNormal"/>
              <w:jc w:val="center"/>
            </w:pPr>
            <w:r>
              <w:rPr>
                <w:i/>
              </w:rPr>
              <w:t>N</w:t>
            </w:r>
            <w:r>
              <w:rPr>
                <w:i/>
                <w:vertAlign w:val="subscript"/>
              </w:rPr>
              <w:t>c</w:t>
            </w:r>
          </w:p>
        </w:tc>
        <w:tc>
          <w:tcPr>
            <w:tcW w:w="850" w:type="dxa"/>
            <w:tcBorders>
              <w:top w:val="nil"/>
            </w:tcBorders>
            <w:vAlign w:val="center"/>
          </w:tcPr>
          <w:p w:rsidR="00E35632" w:rsidRDefault="00E35632">
            <w:pPr>
              <w:pStyle w:val="ConsPlusNormal"/>
              <w:jc w:val="center"/>
            </w:pPr>
            <w:r>
              <w:t>133,87</w:t>
            </w:r>
          </w:p>
        </w:tc>
        <w:tc>
          <w:tcPr>
            <w:tcW w:w="1529" w:type="dxa"/>
            <w:gridSpan w:val="3"/>
            <w:tcBorders>
              <w:top w:val="nil"/>
            </w:tcBorders>
            <w:vAlign w:val="center"/>
          </w:tcPr>
          <w:p w:rsidR="00E35632" w:rsidRDefault="00E35632">
            <w:pPr>
              <w:pStyle w:val="ConsPlusNormal"/>
              <w:jc w:val="center"/>
            </w:pPr>
            <w:r>
              <w:t>107,23</w:t>
            </w:r>
          </w:p>
        </w:tc>
        <w:tc>
          <w:tcPr>
            <w:tcW w:w="1529" w:type="dxa"/>
            <w:gridSpan w:val="3"/>
            <w:tcBorders>
              <w:top w:val="nil"/>
            </w:tcBorders>
            <w:vAlign w:val="center"/>
          </w:tcPr>
          <w:p w:rsidR="00E35632" w:rsidRDefault="00E35632">
            <w:pPr>
              <w:pStyle w:val="ConsPlusNormal"/>
              <w:jc w:val="center"/>
            </w:pPr>
            <w:r>
              <w:t>84,16</w:t>
            </w:r>
          </w:p>
        </w:tc>
        <w:tc>
          <w:tcPr>
            <w:tcW w:w="1529" w:type="dxa"/>
            <w:gridSpan w:val="3"/>
            <w:tcBorders>
              <w:top w:val="nil"/>
            </w:tcBorders>
            <w:vAlign w:val="center"/>
          </w:tcPr>
          <w:p w:rsidR="00E35632" w:rsidRDefault="00E35632">
            <w:pPr>
              <w:pStyle w:val="ConsPlusNormal"/>
              <w:jc w:val="center"/>
            </w:pPr>
            <w:r>
              <w:t>64,58</w:t>
            </w:r>
          </w:p>
        </w:tc>
        <w:tc>
          <w:tcPr>
            <w:tcW w:w="1529" w:type="dxa"/>
            <w:gridSpan w:val="3"/>
            <w:tcBorders>
              <w:top w:val="nil"/>
            </w:tcBorders>
            <w:vAlign w:val="center"/>
          </w:tcPr>
          <w:p w:rsidR="00E35632" w:rsidRDefault="00E35632">
            <w:pPr>
              <w:pStyle w:val="ConsPlusNormal"/>
              <w:jc w:val="center"/>
            </w:pPr>
            <w:r>
              <w:t>48,26</w:t>
            </w:r>
          </w:p>
        </w:tc>
        <w:tc>
          <w:tcPr>
            <w:tcW w:w="1529" w:type="dxa"/>
            <w:gridSpan w:val="3"/>
            <w:tcBorders>
              <w:top w:val="nil"/>
            </w:tcBorders>
            <w:vAlign w:val="center"/>
          </w:tcPr>
          <w:p w:rsidR="00E35632" w:rsidRDefault="00E35632">
            <w:pPr>
              <w:pStyle w:val="ConsPlusNormal"/>
              <w:jc w:val="center"/>
            </w:pPr>
            <w:r>
              <w:t>34,93</w:t>
            </w:r>
          </w:p>
        </w:tc>
        <w:tc>
          <w:tcPr>
            <w:tcW w:w="1472" w:type="dxa"/>
            <w:gridSpan w:val="3"/>
            <w:tcBorders>
              <w:top w:val="nil"/>
            </w:tcBorders>
            <w:vAlign w:val="center"/>
          </w:tcPr>
          <w:p w:rsidR="00E35632" w:rsidRDefault="00E35632">
            <w:pPr>
              <w:pStyle w:val="ConsPlusNormal"/>
              <w:jc w:val="center"/>
            </w:pPr>
            <w:r>
              <w:t>24,24</w:t>
            </w:r>
          </w:p>
        </w:tc>
        <w:tc>
          <w:tcPr>
            <w:tcW w:w="1643" w:type="dxa"/>
            <w:gridSpan w:val="3"/>
            <w:tcBorders>
              <w:top w:val="nil"/>
            </w:tcBorders>
            <w:vAlign w:val="center"/>
          </w:tcPr>
          <w:p w:rsidR="00E35632" w:rsidRDefault="00E35632">
            <w:pPr>
              <w:pStyle w:val="ConsPlusNormal"/>
              <w:jc w:val="center"/>
            </w:pPr>
            <w:r>
              <w:t>15,82</w:t>
            </w:r>
          </w:p>
        </w:tc>
        <w:tc>
          <w:tcPr>
            <w:tcW w:w="453" w:type="dxa"/>
            <w:vMerge/>
            <w:tcBorders>
              <w:right w:val="nil"/>
            </w:tcBorders>
          </w:tcPr>
          <w:p w:rsidR="00E35632" w:rsidRDefault="00E35632">
            <w:pPr>
              <w:pStyle w:val="ConsPlusNormal"/>
            </w:pPr>
          </w:p>
        </w:tc>
        <w:tc>
          <w:tcPr>
            <w:tcW w:w="737" w:type="dxa"/>
            <w:tcBorders>
              <w:top w:val="nil"/>
              <w:left w:val="nil"/>
              <w:right w:val="nil"/>
            </w:tcBorders>
            <w:vAlign w:val="center"/>
          </w:tcPr>
          <w:p w:rsidR="00E35632" w:rsidRDefault="00E35632">
            <w:pPr>
              <w:pStyle w:val="ConsPlusNormal"/>
              <w:jc w:val="center"/>
            </w:pPr>
            <w:r>
              <w:t>15,82</w:t>
            </w:r>
          </w:p>
        </w:tc>
        <w:tc>
          <w:tcPr>
            <w:tcW w:w="453" w:type="dxa"/>
            <w:vMerge/>
            <w:tcBorders>
              <w:left w:val="nil"/>
            </w:tcBorders>
          </w:tcPr>
          <w:p w:rsidR="00E35632" w:rsidRDefault="00E35632">
            <w:pPr>
              <w:pStyle w:val="ConsPlusNormal"/>
            </w:pPr>
          </w:p>
        </w:tc>
        <w:tc>
          <w:tcPr>
            <w:tcW w:w="1077" w:type="dxa"/>
            <w:vMerge/>
          </w:tcPr>
          <w:p w:rsidR="00E35632" w:rsidRDefault="00E35632">
            <w:pPr>
              <w:pStyle w:val="ConsPlusNormal"/>
            </w:pPr>
          </w:p>
        </w:tc>
      </w:tr>
      <w:tr w:rsidR="00E35632">
        <w:tc>
          <w:tcPr>
            <w:tcW w:w="16427" w:type="dxa"/>
            <w:gridSpan w:val="28"/>
          </w:tcPr>
          <w:p w:rsidR="00E35632" w:rsidRDefault="00E35632">
            <w:pPr>
              <w:pStyle w:val="ConsPlusNormal"/>
              <w:ind w:firstLine="283"/>
            </w:pPr>
            <w:r>
              <w:t>Примечания</w:t>
            </w:r>
          </w:p>
          <w:p w:rsidR="00E35632" w:rsidRDefault="00E35632">
            <w:pPr>
              <w:pStyle w:val="ConsPlusNormal"/>
              <w:ind w:firstLine="283"/>
            </w:pPr>
            <w:r>
              <w:t xml:space="preserve">1 При промежуточных значениях </w:t>
            </w:r>
            <w:r>
              <w:rPr>
                <w:noProof/>
                <w:position w:val="-8"/>
              </w:rPr>
              <w:drawing>
                <wp:inline distT="0" distB="0" distL="0" distR="0">
                  <wp:extent cx="185420" cy="251460"/>
                  <wp:effectExtent l="0" t="0" r="0" b="0"/>
                  <wp:docPr id="2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и </w:t>
            </w:r>
            <w:r>
              <w:rPr>
                <w:noProof/>
                <w:position w:val="-3"/>
              </w:rPr>
              <w:drawing>
                <wp:inline distT="0" distB="0" distL="0" distR="0">
                  <wp:extent cx="160020" cy="182880"/>
                  <wp:effectExtent l="0" t="0" r="0" b="0"/>
                  <wp:docPr id="2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160020" cy="182880"/>
                          </a:xfrm>
                          <a:prstGeom prst="rect">
                            <a:avLst/>
                          </a:prstGeom>
                          <a:noFill/>
                          <a:ln>
                            <a:noFill/>
                          </a:ln>
                        </pic:spPr>
                      </pic:pic>
                    </a:graphicData>
                  </a:graphic>
                </wp:inline>
              </w:drawing>
            </w:r>
            <w:r>
              <w:t xml:space="preserve"> коэффициенты </w:t>
            </w:r>
            <w:r>
              <w:rPr>
                <w:noProof/>
                <w:position w:val="-10"/>
              </w:rPr>
              <w:drawing>
                <wp:inline distT="0" distB="0" distL="0" distR="0">
                  <wp:extent cx="241935" cy="267970"/>
                  <wp:effectExtent l="0" t="0" r="0" b="0"/>
                  <wp:docPr id="2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w:t>
            </w:r>
            <w:r>
              <w:rPr>
                <w:i/>
              </w:rPr>
              <w:t>N</w:t>
            </w:r>
            <w:r>
              <w:rPr>
                <w:i/>
                <w:vertAlign w:val="subscript"/>
              </w:rPr>
              <w:t>q</w:t>
            </w:r>
            <w:r>
              <w:t xml:space="preserve"> и </w:t>
            </w:r>
            <w:r>
              <w:rPr>
                <w:i/>
              </w:rPr>
              <w:t>N</w:t>
            </w:r>
            <w:r>
              <w:rPr>
                <w:i/>
                <w:vertAlign w:val="subscript"/>
              </w:rPr>
              <w:t>c</w:t>
            </w:r>
            <w:r>
              <w:t xml:space="preserve"> допускается определять интерполяцией.</w:t>
            </w:r>
          </w:p>
          <w:p w:rsidR="00E35632" w:rsidRDefault="00E35632">
            <w:pPr>
              <w:pStyle w:val="ConsPlusNormal"/>
              <w:ind w:firstLine="283"/>
            </w:pPr>
            <w:r>
              <w:t xml:space="preserve">2 В фигурных скобках приведены значения коэффициентов несущей способности, соответствующие предельному значению угла наклона нагрузки </w:t>
            </w:r>
            <w:r>
              <w:rPr>
                <w:noProof/>
                <w:position w:val="-3"/>
              </w:rPr>
              <w:drawing>
                <wp:inline distT="0" distB="0" distL="0" distR="0">
                  <wp:extent cx="192405" cy="182880"/>
                  <wp:effectExtent l="0" t="0" r="0" b="0"/>
                  <wp:docPr id="2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92405" cy="182880"/>
                          </a:xfrm>
                          <a:prstGeom prst="rect">
                            <a:avLst/>
                          </a:prstGeom>
                          <a:noFill/>
                          <a:ln>
                            <a:noFill/>
                          </a:ln>
                        </pic:spPr>
                      </pic:pic>
                    </a:graphicData>
                  </a:graphic>
                </wp:inline>
              </w:drawing>
            </w:r>
            <w:r>
              <w:t xml:space="preserve">, исходя из </w:t>
            </w:r>
            <w:hyperlink w:anchor="P2190">
              <w:r>
                <w:rPr>
                  <w:color w:val="0000FF"/>
                </w:rPr>
                <w:t>условия (5.35)</w:t>
              </w:r>
            </w:hyperlink>
            <w:r>
              <w:t>.</w:t>
            </w:r>
          </w:p>
        </w:tc>
      </w:tr>
    </w:tbl>
    <w:p w:rsidR="00E35632" w:rsidRDefault="00E35632">
      <w:pPr>
        <w:pStyle w:val="ConsPlusNormal"/>
        <w:sectPr w:rsidR="00E35632">
          <w:pgSz w:w="16838" w:h="11905" w:orient="landscape"/>
          <w:pgMar w:top="1701" w:right="1134" w:bottom="850" w:left="1134" w:header="0" w:footer="0" w:gutter="0"/>
          <w:cols w:space="720"/>
          <w:titlePg/>
        </w:sectPr>
      </w:pPr>
    </w:p>
    <w:p w:rsidR="00E35632" w:rsidRDefault="00E35632">
      <w:pPr>
        <w:pStyle w:val="ConsPlusNormal"/>
        <w:jc w:val="both"/>
      </w:pPr>
    </w:p>
    <w:p w:rsidR="00E35632" w:rsidRDefault="00E35632">
      <w:pPr>
        <w:pStyle w:val="ConsPlusNormal"/>
        <w:ind w:firstLine="540"/>
        <w:jc w:val="both"/>
      </w:pPr>
      <w:r>
        <w:t>Угол наклона к вертикали равнодействующей внешней нагрузки на основание определяют из условия</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935990" cy="251460"/>
            <wp:effectExtent l="0" t="0" r="0" b="0"/>
            <wp:docPr id="2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935990" cy="251460"/>
                    </a:xfrm>
                    <a:prstGeom prst="rect">
                      <a:avLst/>
                    </a:prstGeom>
                    <a:noFill/>
                    <a:ln>
                      <a:noFill/>
                    </a:ln>
                  </pic:spPr>
                </pic:pic>
              </a:graphicData>
            </a:graphic>
          </wp:inline>
        </w:drawing>
      </w:r>
      <w:r>
        <w:t xml:space="preserve"> (5.34)</w:t>
      </w:r>
    </w:p>
    <w:p w:rsidR="00E35632" w:rsidRDefault="00E35632">
      <w:pPr>
        <w:pStyle w:val="ConsPlusNormal"/>
        <w:jc w:val="both"/>
      </w:pPr>
    </w:p>
    <w:p w:rsidR="00E35632" w:rsidRDefault="00E35632">
      <w:pPr>
        <w:pStyle w:val="ConsPlusNormal"/>
        <w:ind w:firstLine="540"/>
        <w:jc w:val="both"/>
      </w:pPr>
      <w:r>
        <w:t xml:space="preserve">где </w:t>
      </w:r>
      <w:r>
        <w:rPr>
          <w:i/>
        </w:rPr>
        <w:t>F</w:t>
      </w:r>
      <w:r>
        <w:rPr>
          <w:i/>
          <w:vertAlign w:val="subscript"/>
        </w:rPr>
        <w:t>h</w:t>
      </w:r>
      <w:r>
        <w:t xml:space="preserve"> и </w:t>
      </w:r>
      <w:r>
        <w:rPr>
          <w:noProof/>
          <w:position w:val="-8"/>
        </w:rPr>
        <w:drawing>
          <wp:inline distT="0" distB="0" distL="0" distR="0">
            <wp:extent cx="182880" cy="250825"/>
            <wp:effectExtent l="0" t="0" r="0" b="0"/>
            <wp:docPr id="2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 xml:space="preserve"> - соответственно горизонтальная и вертикальная составляющие внешней нагрузки </w:t>
      </w:r>
      <w:r>
        <w:rPr>
          <w:i/>
        </w:rPr>
        <w:t>F</w:t>
      </w:r>
      <w:r>
        <w:t xml:space="preserve"> на основание в уровне подошвы фундамента, кН.</w:t>
      </w:r>
    </w:p>
    <w:p w:rsidR="00E35632" w:rsidRDefault="00E35632">
      <w:pPr>
        <w:pStyle w:val="ConsPlusNormal"/>
        <w:spacing w:before="220"/>
        <w:ind w:firstLine="540"/>
        <w:jc w:val="both"/>
      </w:pPr>
      <w:r>
        <w:t xml:space="preserve">Расчет по </w:t>
      </w:r>
      <w:hyperlink w:anchor="P1885">
        <w:r>
          <w:rPr>
            <w:color w:val="0000FF"/>
          </w:rPr>
          <w:t>формуле (5.32)</w:t>
        </w:r>
      </w:hyperlink>
      <w:r>
        <w:t xml:space="preserve"> следует выполнять, если соблюдается условие</w:t>
      </w:r>
    </w:p>
    <w:p w:rsidR="00E35632" w:rsidRDefault="00E35632">
      <w:pPr>
        <w:pStyle w:val="ConsPlusNormal"/>
        <w:jc w:val="both"/>
      </w:pPr>
    </w:p>
    <w:p w:rsidR="00E35632" w:rsidRDefault="00E35632">
      <w:pPr>
        <w:pStyle w:val="ConsPlusNormal"/>
        <w:jc w:val="center"/>
      </w:pPr>
      <w:bookmarkStart w:id="100" w:name="P2190"/>
      <w:bookmarkEnd w:id="100"/>
      <w:r>
        <w:rPr>
          <w:noProof/>
          <w:position w:val="-8"/>
        </w:rPr>
        <w:drawing>
          <wp:inline distT="0" distB="0" distL="0" distR="0">
            <wp:extent cx="851535" cy="251460"/>
            <wp:effectExtent l="0" t="0" r="0" b="0"/>
            <wp:docPr id="2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851535" cy="251460"/>
                    </a:xfrm>
                    <a:prstGeom prst="rect">
                      <a:avLst/>
                    </a:prstGeom>
                    <a:noFill/>
                    <a:ln>
                      <a:noFill/>
                    </a:ln>
                  </pic:spPr>
                </pic:pic>
              </a:graphicData>
            </a:graphic>
          </wp:inline>
        </w:drawing>
      </w:r>
      <w:r>
        <w:t xml:space="preserve"> (5.35)</w:t>
      </w:r>
    </w:p>
    <w:p w:rsidR="00E35632" w:rsidRDefault="00E35632">
      <w:pPr>
        <w:pStyle w:val="ConsPlusNormal"/>
        <w:jc w:val="both"/>
      </w:pPr>
    </w:p>
    <w:p w:rsidR="00E35632" w:rsidRDefault="00E35632">
      <w:pPr>
        <w:pStyle w:val="ConsPlusNormal"/>
        <w:ind w:firstLine="540"/>
        <w:jc w:val="both"/>
      </w:pPr>
      <w:r>
        <w:t>Примечания</w:t>
      </w:r>
    </w:p>
    <w:p w:rsidR="00E35632" w:rsidRDefault="00E35632">
      <w:pPr>
        <w:pStyle w:val="ConsPlusNormal"/>
        <w:spacing w:before="220"/>
        <w:ind w:firstLine="540"/>
        <w:jc w:val="both"/>
      </w:pPr>
      <w:r>
        <w:t xml:space="preserve">1 При использовании </w:t>
      </w:r>
      <w:hyperlink w:anchor="P1885">
        <w:r>
          <w:rPr>
            <w:color w:val="0000FF"/>
          </w:rPr>
          <w:t>формулы (5.32)</w:t>
        </w:r>
      </w:hyperlink>
      <w:r>
        <w:t xml:space="preserve"> в случае неодинаковой пригрузки с разных сторон фундамента в составе горизонтальных нагрузок следует учитывать активное давление грунта.</w:t>
      </w:r>
    </w:p>
    <w:p w:rsidR="00E35632" w:rsidRDefault="00E35632">
      <w:pPr>
        <w:pStyle w:val="ConsPlusNormal"/>
        <w:spacing w:before="220"/>
        <w:ind w:firstLine="540"/>
        <w:jc w:val="both"/>
      </w:pPr>
      <w:r>
        <w:t xml:space="preserve">2 Если </w:t>
      </w:r>
      <w:hyperlink w:anchor="P2190">
        <w:r>
          <w:rPr>
            <w:color w:val="0000FF"/>
          </w:rPr>
          <w:t>условие (5.35)</w:t>
        </w:r>
      </w:hyperlink>
      <w:r>
        <w:t xml:space="preserve"> не выполняется, следует проводить расчет фундамента на сдвиг по подошве </w:t>
      </w:r>
      <w:hyperlink w:anchor="P2197">
        <w:r>
          <w:rPr>
            <w:color w:val="0000FF"/>
          </w:rPr>
          <w:t>(5.7.12)</w:t>
        </w:r>
      </w:hyperlink>
      <w:r>
        <w:t>.</w:t>
      </w:r>
    </w:p>
    <w:p w:rsidR="00E35632" w:rsidRDefault="00E35632">
      <w:pPr>
        <w:pStyle w:val="ConsPlusNormal"/>
        <w:spacing w:before="220"/>
        <w:ind w:firstLine="540"/>
        <w:jc w:val="both"/>
      </w:pPr>
      <w:r>
        <w:t xml:space="preserve">3 При соотношении сторон фундамента </w:t>
      </w:r>
      <w:r>
        <w:rPr>
          <w:noProof/>
          <w:position w:val="-6"/>
        </w:rPr>
        <w:drawing>
          <wp:inline distT="0" distB="0" distL="0" distR="0">
            <wp:extent cx="402590" cy="226060"/>
            <wp:effectExtent l="0" t="0" r="0" b="0"/>
            <wp:docPr id="2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02590" cy="226060"/>
                    </a:xfrm>
                    <a:prstGeom prst="rect">
                      <a:avLst/>
                    </a:prstGeom>
                    <a:noFill/>
                    <a:ln>
                      <a:noFill/>
                    </a:ln>
                  </pic:spPr>
                </pic:pic>
              </a:graphicData>
            </a:graphic>
          </wp:inline>
        </w:drawing>
      </w:r>
      <w:r>
        <w:t xml:space="preserve"> фундамент рассматривается как ленточный и коэффициенты </w:t>
      </w:r>
      <w:r>
        <w:rPr>
          <w:noProof/>
          <w:position w:val="-10"/>
        </w:rPr>
        <w:drawing>
          <wp:inline distT="0" distB="0" distL="0" distR="0">
            <wp:extent cx="185420" cy="267970"/>
            <wp:effectExtent l="0" t="0" r="0" b="0"/>
            <wp:docPr id="2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85420" cy="267970"/>
                    </a:xfrm>
                    <a:prstGeom prst="rect">
                      <a:avLst/>
                    </a:prstGeom>
                    <a:noFill/>
                    <a:ln>
                      <a:noFill/>
                    </a:ln>
                  </pic:spPr>
                </pic:pic>
              </a:graphicData>
            </a:graphic>
          </wp:inline>
        </w:drawing>
      </w:r>
      <w:r>
        <w:t xml:space="preserve">, </w:t>
      </w:r>
      <w:r>
        <w:rPr>
          <w:noProof/>
          <w:position w:val="-10"/>
        </w:rPr>
        <w:drawing>
          <wp:inline distT="0" distB="0" distL="0" distR="0">
            <wp:extent cx="192405" cy="267970"/>
            <wp:effectExtent l="0" t="0" r="0" b="0"/>
            <wp:docPr id="2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192405" cy="267970"/>
                    </a:xfrm>
                    <a:prstGeom prst="rect">
                      <a:avLst/>
                    </a:prstGeom>
                    <a:noFill/>
                    <a:ln>
                      <a:noFill/>
                    </a:ln>
                  </pic:spPr>
                </pic:pic>
              </a:graphicData>
            </a:graphic>
          </wp:inline>
        </w:drawing>
      </w:r>
      <w:r>
        <w:t xml:space="preserve"> и </w:t>
      </w:r>
      <w:r>
        <w:rPr>
          <w:noProof/>
          <w:position w:val="-8"/>
        </w:rPr>
        <w:drawing>
          <wp:inline distT="0" distB="0" distL="0" distR="0">
            <wp:extent cx="192405" cy="251460"/>
            <wp:effectExtent l="0" t="0" r="0" b="0"/>
            <wp:docPr id="2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принимают равными единице.</w:t>
      </w:r>
    </w:p>
    <w:p w:rsidR="00E35632" w:rsidRDefault="00E35632">
      <w:pPr>
        <w:pStyle w:val="ConsPlusNormal"/>
        <w:jc w:val="both"/>
      </w:pPr>
    </w:p>
    <w:p w:rsidR="00E35632" w:rsidRDefault="00E35632">
      <w:pPr>
        <w:pStyle w:val="ConsPlusNormal"/>
        <w:ind w:firstLine="540"/>
        <w:jc w:val="both"/>
      </w:pPr>
      <w:bookmarkStart w:id="101" w:name="P2197"/>
      <w:bookmarkEnd w:id="101"/>
      <w:r>
        <w:t>5.7.12 Расчет фундамента на сдвиг по подошве проводят исходя из условия</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1534160" cy="267970"/>
            <wp:effectExtent l="0" t="0" r="0" b="0"/>
            <wp:docPr id="2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534160" cy="267970"/>
                    </a:xfrm>
                    <a:prstGeom prst="rect">
                      <a:avLst/>
                    </a:prstGeom>
                    <a:noFill/>
                    <a:ln>
                      <a:noFill/>
                    </a:ln>
                  </pic:spPr>
                </pic:pic>
              </a:graphicData>
            </a:graphic>
          </wp:inline>
        </w:drawing>
      </w:r>
      <w:r>
        <w:t xml:space="preserve"> (5.36)</w:t>
      </w:r>
    </w:p>
    <w:p w:rsidR="00E35632" w:rsidRDefault="00E35632">
      <w:pPr>
        <w:pStyle w:val="ConsPlusNormal"/>
        <w:jc w:val="both"/>
      </w:pPr>
    </w:p>
    <w:p w:rsidR="00E35632" w:rsidRDefault="00E35632">
      <w:pPr>
        <w:pStyle w:val="ConsPlusNormal"/>
        <w:ind w:firstLine="540"/>
        <w:jc w:val="both"/>
      </w:pPr>
      <w:r>
        <w:t xml:space="preserve">где </w:t>
      </w:r>
      <w:r>
        <w:rPr>
          <w:noProof/>
          <w:position w:val="-10"/>
        </w:rPr>
        <w:drawing>
          <wp:inline distT="0" distB="0" distL="0" distR="0">
            <wp:extent cx="419100" cy="267970"/>
            <wp:effectExtent l="0" t="0" r="0" b="0"/>
            <wp:docPr id="2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267970"/>
                    </a:xfrm>
                    <a:prstGeom prst="rect">
                      <a:avLst/>
                    </a:prstGeom>
                    <a:noFill/>
                    <a:ln>
                      <a:noFill/>
                    </a:ln>
                  </pic:spPr>
                </pic:pic>
              </a:graphicData>
            </a:graphic>
          </wp:inline>
        </w:drawing>
      </w:r>
      <w:r>
        <w:t xml:space="preserve"> и </w:t>
      </w:r>
      <w:r>
        <w:rPr>
          <w:noProof/>
          <w:position w:val="-10"/>
        </w:rPr>
        <w:drawing>
          <wp:inline distT="0" distB="0" distL="0" distR="0">
            <wp:extent cx="402590" cy="267970"/>
            <wp:effectExtent l="0" t="0" r="0" b="0"/>
            <wp:docPr id="2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02590" cy="267970"/>
                    </a:xfrm>
                    <a:prstGeom prst="rect">
                      <a:avLst/>
                    </a:prstGeom>
                    <a:noFill/>
                    <a:ln>
                      <a:noFill/>
                    </a:ln>
                  </pic:spPr>
                </pic:pic>
              </a:graphicData>
            </a:graphic>
          </wp:inline>
        </w:drawing>
      </w:r>
      <w:r>
        <w:t xml:space="preserve"> - суммы проекций на плоскость скольжения соответственно расчетных сдвигающих и удерживающих сил, кН, определяемых с учетом активного и пассивного давлений грунта на боковые грани фундамента, коэффициента трения подошвы фундамента по грунту, а также силы гидростатического противодавления (при уровне подземных вод выше подошвы фундамента);</w:t>
      </w:r>
    </w:p>
    <w:p w:rsidR="00E35632" w:rsidRDefault="00E35632">
      <w:pPr>
        <w:pStyle w:val="ConsPlusNormal"/>
        <w:spacing w:before="220"/>
        <w:ind w:firstLine="540"/>
        <w:jc w:val="both"/>
      </w:pPr>
      <w:r>
        <w:rPr>
          <w:noProof/>
          <w:position w:val="-8"/>
        </w:rPr>
        <w:drawing>
          <wp:inline distT="0" distB="0" distL="0" distR="0">
            <wp:extent cx="192405" cy="251460"/>
            <wp:effectExtent l="0" t="0" r="0" b="0"/>
            <wp:docPr id="2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и </w:t>
      </w:r>
      <w:r>
        <w:rPr>
          <w:noProof/>
          <w:position w:val="-8"/>
        </w:rPr>
        <w:drawing>
          <wp:inline distT="0" distB="0" distL="0" distR="0">
            <wp:extent cx="192405" cy="251460"/>
            <wp:effectExtent l="0" t="0" r="0" b="0"/>
            <wp:docPr id="2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 то же, что и в </w:t>
      </w:r>
      <w:hyperlink w:anchor="P1833">
        <w:r>
          <w:rPr>
            <w:color w:val="0000FF"/>
          </w:rPr>
          <w:t>формуле (5.27)</w:t>
        </w:r>
      </w:hyperlink>
      <w:r>
        <w:t>.</w:t>
      </w:r>
    </w:p>
    <w:p w:rsidR="00E35632" w:rsidRDefault="00E35632">
      <w:pPr>
        <w:pStyle w:val="ConsPlusNormal"/>
        <w:spacing w:before="220"/>
        <w:ind w:firstLine="540"/>
        <w:jc w:val="both"/>
      </w:pPr>
      <w:r>
        <w:t>5.7.13 Расчет на плоский сдвиг по подошве проводят при наличии горизонтальной составляющей нагрузки на фундамент в случаях:</w:t>
      </w:r>
    </w:p>
    <w:p w:rsidR="00E35632" w:rsidRDefault="00E35632">
      <w:pPr>
        <w:pStyle w:val="ConsPlusNormal"/>
        <w:spacing w:before="220"/>
        <w:ind w:firstLine="540"/>
        <w:jc w:val="both"/>
      </w:pPr>
      <w:r>
        <w:t xml:space="preserve">- нарушения </w:t>
      </w:r>
      <w:hyperlink w:anchor="P2190">
        <w:r>
          <w:rPr>
            <w:color w:val="0000FF"/>
          </w:rPr>
          <w:t>условия (5.35)</w:t>
        </w:r>
      </w:hyperlink>
      <w:r>
        <w:t xml:space="preserve"> применимости </w:t>
      </w:r>
      <w:hyperlink w:anchor="P1885">
        <w:r>
          <w:rPr>
            <w:color w:val="0000FF"/>
          </w:rPr>
          <w:t>формулы (5.32)</w:t>
        </w:r>
      </w:hyperlink>
      <w:r>
        <w:t>;</w:t>
      </w:r>
    </w:p>
    <w:p w:rsidR="00E35632" w:rsidRDefault="00E35632">
      <w:pPr>
        <w:pStyle w:val="ConsPlusNormal"/>
        <w:spacing w:before="220"/>
        <w:ind w:firstLine="540"/>
        <w:jc w:val="both"/>
      </w:pPr>
      <w:r>
        <w:t>- наличия слоя грунта с низкими значениями прочностных характеристик непосредственно под подошвой фундамента;</w:t>
      </w:r>
    </w:p>
    <w:p w:rsidR="00E35632" w:rsidRDefault="00E35632">
      <w:pPr>
        <w:pStyle w:val="ConsPlusNormal"/>
        <w:spacing w:before="220"/>
        <w:ind w:firstLine="540"/>
        <w:jc w:val="both"/>
      </w:pPr>
      <w:r>
        <w:t>- в случаях, указанных в 5.7.14.</w:t>
      </w:r>
    </w:p>
    <w:p w:rsidR="00E35632" w:rsidRDefault="00E35632">
      <w:pPr>
        <w:pStyle w:val="ConsPlusNormal"/>
        <w:spacing w:before="220"/>
        <w:ind w:firstLine="540"/>
        <w:jc w:val="both"/>
      </w:pPr>
      <w:r>
        <w:t>5.7.14 Предельное сопротивление основания (однородного ниже подошвы фундамента до глубины не менее 0,75</w:t>
      </w:r>
      <w:r>
        <w:rPr>
          <w:i/>
        </w:rPr>
        <w:t>b</w:t>
      </w:r>
      <w:r>
        <w:t xml:space="preserve">), сложенного медленно уплотняющимися водонасыщенными грунтами </w:t>
      </w:r>
      <w:hyperlink w:anchor="P1864">
        <w:r>
          <w:rPr>
            <w:color w:val="0000FF"/>
          </w:rPr>
          <w:t>(5.7.5)</w:t>
        </w:r>
      </w:hyperlink>
      <w:r>
        <w:t>, допускается вычислять следующим образом:</w:t>
      </w:r>
    </w:p>
    <w:p w:rsidR="00E35632" w:rsidRDefault="00E35632">
      <w:pPr>
        <w:pStyle w:val="ConsPlusNormal"/>
        <w:spacing w:before="220"/>
        <w:ind w:firstLine="540"/>
        <w:jc w:val="both"/>
      </w:pPr>
      <w:r>
        <w:t xml:space="preserve">а) вертикальную составляющую силы предельного сопротивления основания ленточного фундамента </w:t>
      </w:r>
      <w:r>
        <w:rPr>
          <w:i/>
        </w:rPr>
        <w:t>n</w:t>
      </w:r>
      <w:r>
        <w:rPr>
          <w:i/>
          <w:vertAlign w:val="subscript"/>
        </w:rPr>
        <w:t>u</w:t>
      </w:r>
      <w:r>
        <w:t>, кН/м, по формуле</w:t>
      </w:r>
    </w:p>
    <w:p w:rsidR="00E35632" w:rsidRDefault="00E35632">
      <w:pPr>
        <w:pStyle w:val="ConsPlusNormal"/>
        <w:jc w:val="both"/>
      </w:pPr>
    </w:p>
    <w:p w:rsidR="00E35632" w:rsidRDefault="00E35632">
      <w:pPr>
        <w:pStyle w:val="ConsPlusNormal"/>
        <w:jc w:val="center"/>
      </w:pPr>
      <w:bookmarkStart w:id="102" w:name="P2210"/>
      <w:bookmarkEnd w:id="102"/>
      <w:r>
        <w:rPr>
          <w:noProof/>
          <w:position w:val="-8"/>
        </w:rPr>
        <w:drawing>
          <wp:inline distT="0" distB="0" distL="0" distR="0">
            <wp:extent cx="1913890" cy="251460"/>
            <wp:effectExtent l="0" t="0" r="0" b="0"/>
            <wp:docPr id="2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913890" cy="251460"/>
                    </a:xfrm>
                    <a:prstGeom prst="rect">
                      <a:avLst/>
                    </a:prstGeom>
                    <a:noFill/>
                    <a:ln>
                      <a:noFill/>
                    </a:ln>
                  </pic:spPr>
                </pic:pic>
              </a:graphicData>
            </a:graphic>
          </wp:inline>
        </w:drawing>
      </w:r>
      <w:r>
        <w:t xml:space="preserve"> (5.37)</w:t>
      </w:r>
    </w:p>
    <w:p w:rsidR="00E35632" w:rsidRDefault="00E35632">
      <w:pPr>
        <w:pStyle w:val="ConsPlusNormal"/>
        <w:jc w:val="both"/>
      </w:pPr>
    </w:p>
    <w:p w:rsidR="00E35632" w:rsidRDefault="00E35632">
      <w:pPr>
        <w:pStyle w:val="ConsPlusNormal"/>
        <w:ind w:firstLine="540"/>
        <w:jc w:val="both"/>
      </w:pPr>
      <w:r>
        <w:t xml:space="preserve">где </w:t>
      </w:r>
      <w:r>
        <w:rPr>
          <w:i/>
        </w:rPr>
        <w:t>b</w:t>
      </w:r>
      <w:r>
        <w:t xml:space="preserve">' - то же, что и в </w:t>
      </w:r>
      <w:hyperlink w:anchor="P1851">
        <w:r>
          <w:rPr>
            <w:color w:val="0000FF"/>
          </w:rPr>
          <w:t>формуле (5.28)</w:t>
        </w:r>
      </w:hyperlink>
      <w:r>
        <w:t>;</w:t>
      </w:r>
    </w:p>
    <w:p w:rsidR="00E35632" w:rsidRDefault="00E35632">
      <w:pPr>
        <w:pStyle w:val="ConsPlusNormal"/>
        <w:spacing w:before="220"/>
        <w:ind w:firstLine="540"/>
        <w:jc w:val="both"/>
      </w:pPr>
      <w:r>
        <w:rPr>
          <w:i/>
        </w:rPr>
        <w:t>q</w:t>
      </w:r>
      <w:r>
        <w:t xml:space="preserve"> - пригрузка с той стороны фундамента, в направлении которой действует горизонтальная составляющая нагрузки, кПа;</w:t>
      </w:r>
    </w:p>
    <w:p w:rsidR="00E35632" w:rsidRDefault="00E35632">
      <w:pPr>
        <w:pStyle w:val="ConsPlusNormal"/>
        <w:spacing w:before="220"/>
        <w:ind w:firstLine="540"/>
        <w:jc w:val="both"/>
      </w:pPr>
      <w:r>
        <w:rPr>
          <w:i/>
        </w:rPr>
        <w:t>c</w:t>
      </w:r>
      <w:r>
        <w:rPr>
          <w:vertAlign w:val="subscript"/>
        </w:rPr>
        <w:t>I</w:t>
      </w:r>
      <w:r>
        <w:t xml:space="preserve"> = </w:t>
      </w:r>
      <w:r>
        <w:rPr>
          <w:i/>
        </w:rPr>
        <w:t>c</w:t>
      </w:r>
      <w:r>
        <w:rPr>
          <w:i/>
          <w:vertAlign w:val="subscript"/>
        </w:rPr>
        <w:t>u</w:t>
      </w:r>
      <w:r>
        <w:t xml:space="preserve"> - то же, что и в </w:t>
      </w:r>
      <w:hyperlink w:anchor="P1864">
        <w:r>
          <w:rPr>
            <w:color w:val="0000FF"/>
          </w:rPr>
          <w:t>5.7.5</w:t>
        </w:r>
      </w:hyperlink>
      <w:r>
        <w:t>;</w:t>
      </w:r>
    </w:p>
    <w:p w:rsidR="00E35632" w:rsidRDefault="00E35632">
      <w:pPr>
        <w:pStyle w:val="ConsPlusNormal"/>
        <w:spacing w:before="220"/>
        <w:ind w:firstLine="540"/>
        <w:jc w:val="both"/>
      </w:pPr>
      <w:r>
        <w:rPr>
          <w:noProof/>
          <w:position w:val="-6"/>
        </w:rPr>
        <w:drawing>
          <wp:inline distT="0" distB="0" distL="0" distR="0">
            <wp:extent cx="614680" cy="226060"/>
            <wp:effectExtent l="0" t="0" r="0" b="0"/>
            <wp:docPr id="2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614680" cy="226060"/>
                    </a:xfrm>
                    <a:prstGeom prst="rect">
                      <a:avLst/>
                    </a:prstGeom>
                    <a:noFill/>
                    <a:ln>
                      <a:noFill/>
                    </a:ln>
                  </pic:spPr>
                </pic:pic>
              </a:graphicData>
            </a:graphic>
          </wp:inline>
        </w:drawing>
      </w:r>
      <w:r>
        <w:t>;</w:t>
      </w:r>
    </w:p>
    <w:p w:rsidR="00E35632" w:rsidRDefault="00E35632">
      <w:pPr>
        <w:pStyle w:val="ConsPlusNormal"/>
        <w:spacing w:before="220"/>
        <w:ind w:firstLine="540"/>
        <w:jc w:val="both"/>
      </w:pPr>
      <w:r>
        <w:rPr>
          <w:noProof/>
          <w:position w:val="-1"/>
        </w:rPr>
        <w:drawing>
          <wp:inline distT="0" distB="0" distL="0" distR="0">
            <wp:extent cx="167640" cy="160020"/>
            <wp:effectExtent l="0" t="0" r="0" b="0"/>
            <wp:docPr id="2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60020"/>
                    </a:xfrm>
                    <a:prstGeom prst="rect">
                      <a:avLst/>
                    </a:prstGeom>
                    <a:noFill/>
                    <a:ln>
                      <a:noFill/>
                    </a:ln>
                  </pic:spPr>
                </pic:pic>
              </a:graphicData>
            </a:graphic>
          </wp:inline>
        </w:drawing>
      </w:r>
      <w:r>
        <w:t xml:space="preserve"> - угол, рад, вычисляемый по формуле</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1383030" cy="251460"/>
            <wp:effectExtent l="0" t="0" r="0" b="0"/>
            <wp:docPr id="2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383030" cy="251460"/>
                    </a:xfrm>
                    <a:prstGeom prst="rect">
                      <a:avLst/>
                    </a:prstGeom>
                    <a:noFill/>
                    <a:ln>
                      <a:noFill/>
                    </a:ln>
                  </pic:spPr>
                </pic:pic>
              </a:graphicData>
            </a:graphic>
          </wp:inline>
        </w:drawing>
      </w:r>
      <w:r>
        <w:t xml:space="preserve"> (5.38)</w:t>
      </w:r>
    </w:p>
    <w:p w:rsidR="00E35632" w:rsidRDefault="00E35632">
      <w:pPr>
        <w:pStyle w:val="ConsPlusNormal"/>
        <w:jc w:val="both"/>
      </w:pPr>
    </w:p>
    <w:p w:rsidR="00E35632" w:rsidRDefault="00E35632">
      <w:pPr>
        <w:pStyle w:val="ConsPlusNormal"/>
        <w:ind w:firstLine="540"/>
        <w:jc w:val="both"/>
      </w:pPr>
      <w:r>
        <w:t xml:space="preserve">здесь </w:t>
      </w:r>
      <w:r>
        <w:rPr>
          <w:i/>
        </w:rPr>
        <w:t>f</w:t>
      </w:r>
      <w:r>
        <w:rPr>
          <w:i/>
          <w:vertAlign w:val="subscript"/>
        </w:rPr>
        <w:t>h</w:t>
      </w:r>
      <w:r>
        <w:t xml:space="preserve"> - горизонтальная составляющая расчетной нагрузки на 1 м длины фундамента с учетом активного давления грунта, кН/м.</w:t>
      </w:r>
    </w:p>
    <w:p w:rsidR="00E35632" w:rsidRDefault="00E35632">
      <w:pPr>
        <w:pStyle w:val="ConsPlusNormal"/>
        <w:spacing w:before="220"/>
        <w:ind w:firstLine="540"/>
        <w:jc w:val="both"/>
      </w:pPr>
      <w:hyperlink w:anchor="P2210">
        <w:r>
          <w:rPr>
            <w:color w:val="0000FF"/>
          </w:rPr>
          <w:t>Формулу (5.37)</w:t>
        </w:r>
      </w:hyperlink>
      <w:r>
        <w:t xml:space="preserve"> допускается использовать, если выполняется условие</w:t>
      </w:r>
    </w:p>
    <w:p w:rsidR="00E35632" w:rsidRDefault="00E35632">
      <w:pPr>
        <w:pStyle w:val="ConsPlusNormal"/>
        <w:jc w:val="both"/>
      </w:pPr>
    </w:p>
    <w:p w:rsidR="00E35632" w:rsidRDefault="00E35632">
      <w:pPr>
        <w:pStyle w:val="ConsPlusNormal"/>
        <w:jc w:val="center"/>
      </w:pPr>
      <w:r>
        <w:rPr>
          <w:i/>
        </w:rPr>
        <w:t>f</w:t>
      </w:r>
      <w:r>
        <w:rPr>
          <w:i/>
          <w:vertAlign w:val="subscript"/>
        </w:rPr>
        <w:t>h</w:t>
      </w:r>
      <w:r>
        <w:t xml:space="preserve"> &lt;= </w:t>
      </w:r>
      <w:r>
        <w:rPr>
          <w:i/>
        </w:rPr>
        <w:t>b</w:t>
      </w:r>
      <w:r>
        <w:t>'</w:t>
      </w:r>
      <w:r>
        <w:rPr>
          <w:i/>
        </w:rPr>
        <w:t>c</w:t>
      </w:r>
      <w:r>
        <w:rPr>
          <w:vertAlign w:val="subscript"/>
        </w:rPr>
        <w:t>I</w:t>
      </w:r>
      <w:r>
        <w:t>; (5.39)</w:t>
      </w:r>
    </w:p>
    <w:p w:rsidR="00E35632" w:rsidRDefault="00E35632">
      <w:pPr>
        <w:pStyle w:val="ConsPlusNormal"/>
        <w:jc w:val="both"/>
      </w:pPr>
    </w:p>
    <w:p w:rsidR="00E35632" w:rsidRDefault="00E35632">
      <w:pPr>
        <w:pStyle w:val="ConsPlusNormal"/>
        <w:ind w:firstLine="540"/>
        <w:jc w:val="both"/>
      </w:pPr>
      <w:r>
        <w:t>б) силу предельного сопротивления основания прямоугольного (</w:t>
      </w:r>
      <w:r>
        <w:rPr>
          <w:i/>
        </w:rPr>
        <w:t>l</w:t>
      </w:r>
      <w:r>
        <w:t xml:space="preserve"> &lt;= 3</w:t>
      </w:r>
      <w:r>
        <w:rPr>
          <w:i/>
        </w:rPr>
        <w:t>b</w:t>
      </w:r>
      <w:r>
        <w:t xml:space="preserve">) фундамента при действии на него вертикальной нагрузки допускается вычислять по </w:t>
      </w:r>
      <w:hyperlink w:anchor="P1885">
        <w:r>
          <w:rPr>
            <w:color w:val="0000FF"/>
          </w:rPr>
          <w:t>формуле (5.32)</w:t>
        </w:r>
      </w:hyperlink>
      <w:r>
        <w:t xml:space="preserve">, полагая </w:t>
      </w:r>
      <w:r>
        <w:rPr>
          <w:noProof/>
          <w:position w:val="-8"/>
        </w:rPr>
        <w:drawing>
          <wp:inline distT="0" distB="0" distL="0" distR="0">
            <wp:extent cx="442595" cy="251460"/>
            <wp:effectExtent l="0" t="0" r="0" b="0"/>
            <wp:docPr id="2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442595" cy="251460"/>
                    </a:xfrm>
                    <a:prstGeom prst="rect">
                      <a:avLst/>
                    </a:prstGeom>
                    <a:noFill/>
                    <a:ln>
                      <a:noFill/>
                    </a:ln>
                  </pic:spPr>
                </pic:pic>
              </a:graphicData>
            </a:graphic>
          </wp:inline>
        </w:drawing>
      </w:r>
      <w:r>
        <w:t xml:space="preserve">, </w:t>
      </w:r>
      <w:r>
        <w:rPr>
          <w:noProof/>
          <w:position w:val="-8"/>
        </w:rPr>
        <w:drawing>
          <wp:inline distT="0" distB="0" distL="0" distR="0">
            <wp:extent cx="1043940" cy="251460"/>
            <wp:effectExtent l="0" t="0" r="0" b="0"/>
            <wp:docPr id="2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1043940" cy="251460"/>
                    </a:xfrm>
                    <a:prstGeom prst="rect">
                      <a:avLst/>
                    </a:prstGeom>
                    <a:noFill/>
                    <a:ln>
                      <a:noFill/>
                    </a:ln>
                  </pic:spPr>
                </pic:pic>
              </a:graphicData>
            </a:graphic>
          </wp:inline>
        </w:drawing>
      </w:r>
      <w:r>
        <w:t xml:space="preserve">, </w:t>
      </w:r>
      <w:r>
        <w:rPr>
          <w:i/>
        </w:rPr>
        <w:t>c</w:t>
      </w:r>
      <w:r>
        <w:rPr>
          <w:vertAlign w:val="subscript"/>
        </w:rPr>
        <w:t>I</w:t>
      </w:r>
      <w:r>
        <w:t xml:space="preserve"> = </w:t>
      </w:r>
      <w:r>
        <w:rPr>
          <w:i/>
        </w:rPr>
        <w:t>c</w:t>
      </w:r>
      <w:r>
        <w:rPr>
          <w:i/>
          <w:vertAlign w:val="subscript"/>
        </w:rPr>
        <w:t>u</w:t>
      </w:r>
      <w:r>
        <w:t>.</w:t>
      </w:r>
    </w:p>
    <w:p w:rsidR="00E35632" w:rsidRDefault="00E35632">
      <w:pPr>
        <w:pStyle w:val="ConsPlusNormal"/>
        <w:spacing w:before="220"/>
        <w:ind w:firstLine="540"/>
        <w:jc w:val="both"/>
      </w:pPr>
      <w:r>
        <w:t xml:space="preserve">Во всех случаях, если на фундамент действуют горизонтальные нагрузки и основание сложено грунтами в нестабилизированном состоянии, следует проводить расчет фундамента на сдвиг по подошве </w:t>
      </w:r>
      <w:hyperlink w:anchor="P2197">
        <w:r>
          <w:rPr>
            <w:color w:val="0000FF"/>
          </w:rPr>
          <w:t>(5.7.12)</w:t>
        </w:r>
      </w:hyperlink>
      <w:r>
        <w:t>.</w:t>
      </w:r>
    </w:p>
    <w:p w:rsidR="00E35632" w:rsidRDefault="00E35632">
      <w:pPr>
        <w:pStyle w:val="ConsPlusTitle"/>
        <w:spacing w:before="220"/>
        <w:ind w:firstLine="540"/>
        <w:jc w:val="both"/>
        <w:outlineLvl w:val="2"/>
      </w:pPr>
      <w:bookmarkStart w:id="103" w:name="P2227"/>
      <w:bookmarkEnd w:id="103"/>
      <w:r>
        <w:t>5.8 Особенности проектирования оснований при реконструкции сооружений</w:t>
      </w:r>
    </w:p>
    <w:p w:rsidR="00E35632" w:rsidRDefault="00E35632">
      <w:pPr>
        <w:pStyle w:val="ConsPlusNormal"/>
        <w:spacing w:before="220"/>
        <w:ind w:firstLine="540"/>
        <w:jc w:val="both"/>
      </w:pPr>
      <w:r>
        <w:t>5.8.1 Техническое задание на проектирование оснований и фундаментов реконструируемых сооружений должно включать в себя сведения о целях реконструкции (надстройка существующего сооружения, пристройка к нему новой части, устройство подземной части, встройка - при поднятии вышерасположенных этажей и устройстве в них промежуточных помещений и т.п.), характеристику здания, уровень ответственности, нагрузки и другие данные, необходимые для проектирования.</w:t>
      </w:r>
    </w:p>
    <w:p w:rsidR="00E35632" w:rsidRDefault="00E35632">
      <w:pPr>
        <w:pStyle w:val="ConsPlusNormal"/>
        <w:spacing w:before="220"/>
        <w:ind w:firstLine="540"/>
        <w:jc w:val="both"/>
      </w:pPr>
      <w:bookmarkStart w:id="104" w:name="P2229"/>
      <w:bookmarkEnd w:id="104"/>
      <w:r>
        <w:t>5.8.2 Исходные данные также должны содержать результаты инженерно-геологических изысканий площадки строительства на момент реконструкции, включающие определение деформационно-прочностных характеристик грунтов, в том числе полученных по испытаниям образцов, отобранных из-под подошвы фундаментов, и данные технического обследования фундаментов и конструкций сооружения. При выполнении технического обследования особое внимание должно уделяться прочностным характеристикам материалов строительных конструкций, наличию в них признаков деформаций, трещин, повреждений и т.п.</w:t>
      </w:r>
    </w:p>
    <w:p w:rsidR="00E35632" w:rsidRDefault="00E35632">
      <w:pPr>
        <w:pStyle w:val="ConsPlusNormal"/>
        <w:spacing w:before="220"/>
        <w:ind w:firstLine="540"/>
        <w:jc w:val="both"/>
      </w:pPr>
      <w:r>
        <w:t xml:space="preserve">5.8.3 По полученным данным (см. </w:t>
      </w:r>
      <w:hyperlink w:anchor="P2229">
        <w:r>
          <w:rPr>
            <w:color w:val="0000FF"/>
          </w:rPr>
          <w:t>5.8.2</w:t>
        </w:r>
      </w:hyperlink>
      <w:r>
        <w:t>) проверяют фактические и предполагаемые (в зависимости от целей реконструкции) давления на грунты основания под подошвой существующих фундаментов и устанавливают необходимость усиления основания. При выбранных способах усиления основание и конструкции фундаментов должны быть рассчитаны на нагрузки и воздействия, возникающие в период реконструкции сооружения и в процессе его дальнейшей эксплуатации.</w:t>
      </w:r>
    </w:p>
    <w:p w:rsidR="00E35632" w:rsidRDefault="00E35632">
      <w:pPr>
        <w:pStyle w:val="ConsPlusNormal"/>
        <w:spacing w:before="220"/>
        <w:ind w:firstLine="540"/>
        <w:jc w:val="both"/>
      </w:pPr>
      <w:r>
        <w:lastRenderedPageBreak/>
        <w:t>5.8.4 При проектировании усиления оснований и фундаментов необходимо учитывать состояние конструкций подземной и наземной частей, а также особенности и последовательность производства работ по усилению оснований, фундаментов, подземной и наземной частей сооружения.</w:t>
      </w:r>
    </w:p>
    <w:p w:rsidR="00E35632" w:rsidRDefault="00E35632">
      <w:pPr>
        <w:pStyle w:val="ConsPlusNormal"/>
        <w:spacing w:before="220"/>
        <w:ind w:firstLine="540"/>
        <w:jc w:val="both"/>
      </w:pPr>
      <w:r>
        <w:t>В проектах реконструируемых сооружений должны приниматься такие решения по устройству или усилению оснований и фундаментов, при которых наиболее полно используются несущая способность существующих конструкций фундаментов и деформационно-прочностные характеристики грунтов.</w:t>
      </w:r>
    </w:p>
    <w:p w:rsidR="00E35632" w:rsidRDefault="00E35632">
      <w:pPr>
        <w:pStyle w:val="ConsPlusNormal"/>
        <w:spacing w:before="220"/>
        <w:ind w:firstLine="540"/>
        <w:jc w:val="both"/>
      </w:pPr>
      <w:r>
        <w:t xml:space="preserve">5.8.5 Проектирование оснований фундаментов реконструируемых сооружений выполняют в соответствии с требованиями </w:t>
      </w:r>
      <w:hyperlink w:anchor="P377">
        <w:r>
          <w:rPr>
            <w:color w:val="0000FF"/>
          </w:rPr>
          <w:t>5.1</w:t>
        </w:r>
      </w:hyperlink>
      <w:r>
        <w:t xml:space="preserve"> - </w:t>
      </w:r>
      <w:hyperlink w:anchor="P1829">
        <w:r>
          <w:rPr>
            <w:color w:val="0000FF"/>
          </w:rPr>
          <w:t>5.7</w:t>
        </w:r>
      </w:hyperlink>
      <w:r>
        <w:t>.</w:t>
      </w:r>
    </w:p>
    <w:p w:rsidR="00E35632" w:rsidRDefault="00E35632">
      <w:pPr>
        <w:pStyle w:val="ConsPlusNormal"/>
        <w:spacing w:before="220"/>
        <w:ind w:firstLine="540"/>
        <w:jc w:val="both"/>
      </w:pPr>
      <w:r>
        <w:t xml:space="preserve">5.8.6 Расчетное сопротивление грунта основания </w:t>
      </w:r>
      <w:r>
        <w:rPr>
          <w:i/>
        </w:rPr>
        <w:t>R</w:t>
      </w:r>
      <w:r>
        <w:t xml:space="preserve"> реконструируемого сооружения, в т.ч. при его предполагаемой надстройке, вычисляют по </w:t>
      </w:r>
      <w:hyperlink w:anchor="P851">
        <w:r>
          <w:rPr>
            <w:color w:val="0000FF"/>
          </w:rPr>
          <w:t>формуле (5.7)</w:t>
        </w:r>
      </w:hyperlink>
      <w:r>
        <w:t xml:space="preserve"> с учетом требований </w:t>
      </w:r>
      <w:hyperlink w:anchor="P1212">
        <w:r>
          <w:rPr>
            <w:color w:val="0000FF"/>
          </w:rPr>
          <w:t>5.6.23</w:t>
        </w:r>
      </w:hyperlink>
      <w:r>
        <w:t>. При усилении конструкции фундаментов монолитной железобетонной обоймой толщиной до 10 см площадь ее подошвы при расчете основания не учитывают. При толщине обоймы более 10 см ее площадь учитывается в расчете при условии, если она устраивается по предварительно втрамбованной в основание песчано-гравийной смеси.</w:t>
      </w:r>
    </w:p>
    <w:p w:rsidR="00E35632" w:rsidRDefault="00E35632">
      <w:pPr>
        <w:pStyle w:val="ConsPlusNormal"/>
        <w:spacing w:before="220"/>
        <w:ind w:firstLine="540"/>
        <w:jc w:val="both"/>
      </w:pPr>
      <w:r>
        <w:t>5.8.7 Расчет оснований фундаментов по деформациям для реконструируемых сооружений проводят исходя из условия</w:t>
      </w:r>
    </w:p>
    <w:p w:rsidR="00E35632" w:rsidRDefault="00E35632">
      <w:pPr>
        <w:pStyle w:val="ConsPlusNormal"/>
        <w:jc w:val="both"/>
      </w:pPr>
    </w:p>
    <w:p w:rsidR="00E35632" w:rsidRDefault="00E35632">
      <w:pPr>
        <w:pStyle w:val="ConsPlusNormal"/>
        <w:jc w:val="center"/>
      </w:pPr>
      <w:bookmarkStart w:id="105" w:name="P2237"/>
      <w:bookmarkEnd w:id="105"/>
      <w:r>
        <w:rPr>
          <w:i/>
        </w:rPr>
        <w:t>s</w:t>
      </w:r>
      <w:r>
        <w:rPr>
          <w:i/>
          <w:vertAlign w:val="subscript"/>
        </w:rPr>
        <w:t>ad</w:t>
      </w:r>
      <w:r>
        <w:t xml:space="preserve"> &lt;= </w:t>
      </w:r>
      <w:r>
        <w:rPr>
          <w:i/>
        </w:rPr>
        <w:t>s</w:t>
      </w:r>
      <w:r>
        <w:rPr>
          <w:i/>
          <w:vertAlign w:val="subscript"/>
        </w:rPr>
        <w:t>ad,u</w:t>
      </w:r>
      <w:r>
        <w:t>, (5.40)</w:t>
      </w:r>
    </w:p>
    <w:p w:rsidR="00E35632" w:rsidRDefault="00E35632">
      <w:pPr>
        <w:pStyle w:val="ConsPlusNormal"/>
        <w:jc w:val="both"/>
      </w:pPr>
    </w:p>
    <w:p w:rsidR="00E35632" w:rsidRDefault="00E35632">
      <w:pPr>
        <w:pStyle w:val="ConsPlusNormal"/>
        <w:ind w:firstLine="540"/>
        <w:jc w:val="both"/>
      </w:pPr>
      <w:r>
        <w:t xml:space="preserve">где </w:t>
      </w:r>
      <w:r>
        <w:rPr>
          <w:i/>
        </w:rPr>
        <w:t>s</w:t>
      </w:r>
      <w:r>
        <w:rPr>
          <w:i/>
          <w:vertAlign w:val="subscript"/>
        </w:rPr>
        <w:t>ad</w:t>
      </w:r>
      <w:r>
        <w:t xml:space="preserve"> - дополнительная осадка основания фундамента (совместная дополнительная деформация основания и сооружения), определяемая в соответствии с требованиями </w:t>
      </w:r>
      <w:hyperlink w:anchor="P805">
        <w:r>
          <w:rPr>
            <w:color w:val="0000FF"/>
          </w:rPr>
          <w:t>5.6</w:t>
        </w:r>
      </w:hyperlink>
      <w:r>
        <w:t xml:space="preserve"> с учетом совокупности техногенных воздействий, связанных с увеличением (снижением) нагрузки на основание, технологии и последовательности строительных работ;</w:t>
      </w:r>
    </w:p>
    <w:p w:rsidR="00E35632" w:rsidRDefault="00E35632">
      <w:pPr>
        <w:pStyle w:val="ConsPlusNormal"/>
        <w:spacing w:before="220"/>
        <w:ind w:firstLine="540"/>
        <w:jc w:val="both"/>
      </w:pPr>
      <w:r>
        <w:rPr>
          <w:i/>
        </w:rPr>
        <w:t>s</w:t>
      </w:r>
      <w:r>
        <w:rPr>
          <w:i/>
          <w:vertAlign w:val="subscript"/>
        </w:rPr>
        <w:t>ad,u</w:t>
      </w:r>
      <w:r>
        <w:t xml:space="preserve"> - предельное значение дополнительной осадки основания фундамента (предельное значение совместной дополнительной деформации основания и сооружения), устанавливаемое при проектировании реконструкции в соответствии с категорией технического состояния сооружения </w:t>
      </w:r>
      <w:hyperlink w:anchor="P7024">
        <w:r>
          <w:rPr>
            <w:color w:val="0000FF"/>
          </w:rPr>
          <w:t>(приложение Д)</w:t>
        </w:r>
      </w:hyperlink>
      <w:r>
        <w:t xml:space="preserve"> и с учетом требований </w:t>
      </w:r>
      <w:hyperlink w:anchor="P1786">
        <w:r>
          <w:rPr>
            <w:color w:val="0000FF"/>
          </w:rPr>
          <w:t>5.6.46</w:t>
        </w:r>
      </w:hyperlink>
      <w:r>
        <w:t xml:space="preserve"> - </w:t>
      </w:r>
      <w:hyperlink w:anchor="P1791">
        <w:r>
          <w:rPr>
            <w:color w:val="0000FF"/>
          </w:rPr>
          <w:t>5.6.48</w:t>
        </w:r>
      </w:hyperlink>
      <w:r>
        <w:t>.</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 xml:space="preserve">1 Для определения совместной деформации основания и реконструируемого сооружения </w:t>
      </w:r>
      <w:r>
        <w:rPr>
          <w:i/>
        </w:rPr>
        <w:t>s</w:t>
      </w:r>
      <w:r>
        <w:rPr>
          <w:i/>
          <w:vertAlign w:val="subscript"/>
        </w:rPr>
        <w:t>ad</w:t>
      </w:r>
      <w:r>
        <w:t xml:space="preserve"> допускается использовать методы, указанные в </w:t>
      </w:r>
      <w:hyperlink w:anchor="P413">
        <w:r>
          <w:rPr>
            <w:color w:val="0000FF"/>
          </w:rPr>
          <w:t>5.1.10</w:t>
        </w:r>
      </w:hyperlink>
      <w:r>
        <w:t xml:space="preserve">. Дополнительная осадка при реконструкции определяется как разность осадок от нагрузки до реконструкции и с учетом дополнительных нагрузок после реконструкции. При изменении размеров или типа фундаментов при реконструкции (уширение фундаментов, усиления фундаментов сваями и т.п.) дополнительная осадка определяется с использованием численных методов и с применением моделей, удовлетворяющих требованиям </w:t>
      </w:r>
      <w:hyperlink w:anchor="P424">
        <w:r>
          <w:rPr>
            <w:color w:val="0000FF"/>
          </w:rPr>
          <w:t>5.1.12</w:t>
        </w:r>
      </w:hyperlink>
      <w:r>
        <w:t xml:space="preserve"> - </w:t>
      </w:r>
      <w:hyperlink w:anchor="P430">
        <w:r>
          <w:rPr>
            <w:color w:val="0000FF"/>
          </w:rPr>
          <w:t>5.1.13</w:t>
        </w:r>
      </w:hyperlink>
      <w:r>
        <w:t>.</w:t>
      </w:r>
    </w:p>
    <w:p w:rsidR="00E35632" w:rsidRDefault="00E35632">
      <w:pPr>
        <w:pStyle w:val="ConsPlusNormal"/>
        <w:jc w:val="both"/>
      </w:pPr>
      <w:r>
        <w:t xml:space="preserve">(в ред. </w:t>
      </w:r>
      <w:hyperlink r:id="rId483">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xml:space="preserve">2 При расчете оснований реконструируемых сооружений по деформациям </w:t>
      </w:r>
      <w:hyperlink w:anchor="P2237">
        <w:r>
          <w:rPr>
            <w:color w:val="0000FF"/>
          </w:rPr>
          <w:t>условие (5.40)</w:t>
        </w:r>
      </w:hyperlink>
      <w:r>
        <w:t xml:space="preserve"> следует выполнять в т.ч. для параметров, указанных в </w:t>
      </w:r>
      <w:hyperlink w:anchor="P814">
        <w:r>
          <w:rPr>
            <w:color w:val="0000FF"/>
          </w:rPr>
          <w:t>5.6.4</w:t>
        </w:r>
      </w:hyperlink>
      <w:r>
        <w:t>.</w:t>
      </w:r>
    </w:p>
    <w:p w:rsidR="00E35632" w:rsidRDefault="00E35632">
      <w:pPr>
        <w:pStyle w:val="ConsPlusNormal"/>
        <w:jc w:val="both"/>
      </w:pPr>
    </w:p>
    <w:p w:rsidR="00E35632" w:rsidRDefault="00E35632">
      <w:pPr>
        <w:pStyle w:val="ConsPlusNormal"/>
        <w:ind w:firstLine="540"/>
        <w:jc w:val="both"/>
      </w:pPr>
      <w:r>
        <w:t xml:space="preserve">5.8.8 Предельные значения дополнительных деформаций основания реконструируемого сооружения следует принимать в зависимости от конструктивной схемы и категории технического состояния </w:t>
      </w:r>
      <w:hyperlink w:anchor="P7024">
        <w:r>
          <w:rPr>
            <w:color w:val="0000FF"/>
          </w:rPr>
          <w:t>(приложение Д)</w:t>
        </w:r>
      </w:hyperlink>
      <w:r>
        <w:t xml:space="preserve"> согласно </w:t>
      </w:r>
      <w:hyperlink w:anchor="P7051">
        <w:r>
          <w:rPr>
            <w:color w:val="0000FF"/>
          </w:rPr>
          <w:t>приложению Е</w:t>
        </w:r>
      </w:hyperlink>
      <w:r>
        <w:t>, если его конструкции не рассчитаны на усилия (в т.ч. с учетом мероприятий по усилению оснований, фундаментов и надземных конструкций), возникающие в них при взаимодействии с основанием при выполнении реконструкции и дальнейшей эксплуатации.</w:t>
      </w:r>
    </w:p>
    <w:p w:rsidR="00E35632" w:rsidRDefault="00E35632">
      <w:pPr>
        <w:pStyle w:val="ConsPlusNormal"/>
        <w:spacing w:before="220"/>
        <w:ind w:firstLine="540"/>
        <w:jc w:val="both"/>
      </w:pPr>
      <w:r>
        <w:lastRenderedPageBreak/>
        <w:t>5.8.9 При устройстве в реконструируемых сооружениях подземных сооружений (подвалов, тоннелей и т.п.) следует учитывать: дополнительное активное горизонтальное давление, снижение несущей способности основания фундаментов и пр.</w:t>
      </w:r>
    </w:p>
    <w:p w:rsidR="00E35632" w:rsidRDefault="00E35632">
      <w:pPr>
        <w:pStyle w:val="ConsPlusNormal"/>
        <w:spacing w:before="220"/>
        <w:ind w:firstLine="540"/>
        <w:jc w:val="both"/>
      </w:pPr>
      <w:r>
        <w:t>Если реконструкция вызывает увеличение нагрузок, необходимо оценивать несущую способность основания, особенно при наличии фундаментов с глубиной заложения менее 0,5 м.</w:t>
      </w:r>
    </w:p>
    <w:p w:rsidR="00E35632" w:rsidRDefault="00E35632">
      <w:pPr>
        <w:pStyle w:val="ConsPlusNormal"/>
        <w:spacing w:before="220"/>
        <w:ind w:firstLine="540"/>
        <w:jc w:val="both"/>
      </w:pPr>
      <w:r>
        <w:t xml:space="preserve">5.8.10 При устройстве нового фундамента ниже существующего без дополнительных защитных мероприятий допустимую разность </w:t>
      </w:r>
      <w:r>
        <w:rPr>
          <w:noProof/>
          <w:position w:val="-4"/>
        </w:rPr>
        <w:drawing>
          <wp:inline distT="0" distB="0" distL="0" distR="0">
            <wp:extent cx="234950" cy="193675"/>
            <wp:effectExtent l="0" t="0" r="0" b="0"/>
            <wp:docPr id="2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34950" cy="193675"/>
                    </a:xfrm>
                    <a:prstGeom prst="rect">
                      <a:avLst/>
                    </a:prstGeom>
                    <a:noFill/>
                    <a:ln>
                      <a:noFill/>
                    </a:ln>
                  </pic:spPr>
                </pic:pic>
              </a:graphicData>
            </a:graphic>
          </wp:inline>
        </w:drawing>
      </w:r>
      <w:r>
        <w:t xml:space="preserve"> отметок заложения соседних одиночных или ленточных фундаментов следует вычислять по </w:t>
      </w:r>
      <w:hyperlink w:anchor="P800">
        <w:r>
          <w:rPr>
            <w:color w:val="0000FF"/>
          </w:rPr>
          <w:t>формуле (5.5)</w:t>
        </w:r>
      </w:hyperlink>
      <w:r>
        <w:t>.</w:t>
      </w:r>
    </w:p>
    <w:p w:rsidR="00E35632" w:rsidRDefault="00E35632">
      <w:pPr>
        <w:pStyle w:val="ConsPlusNormal"/>
        <w:spacing w:before="220"/>
        <w:ind w:firstLine="540"/>
        <w:jc w:val="both"/>
      </w:pPr>
      <w:r>
        <w:t xml:space="preserve">5.8.11 Проектирование оснований и фундаментов при реконструкции должно вестись с учетом динамических воздействий от оборудования, установленного в зданиях, наземного и подземного транспорта, производства строительных работ и других источников на основе данных инструментальных измерений вибраций (см. </w:t>
      </w:r>
      <w:hyperlink w:anchor="P4209">
        <w:r>
          <w:rPr>
            <w:color w:val="0000FF"/>
          </w:rPr>
          <w:t>6.14</w:t>
        </w:r>
      </w:hyperlink>
      <w:r>
        <w:t>).</w:t>
      </w:r>
    </w:p>
    <w:p w:rsidR="00E35632" w:rsidRDefault="00E35632">
      <w:pPr>
        <w:pStyle w:val="ConsPlusNormal"/>
        <w:spacing w:before="220"/>
        <w:ind w:firstLine="540"/>
        <w:jc w:val="both"/>
      </w:pPr>
      <w:r>
        <w:t xml:space="preserve">5.8.12 При расположении реконструируемого сооружения на застроенной территории следует проводить оценку влияния реконструкции на окружающую застройку в соответствии с требованиями </w:t>
      </w:r>
      <w:hyperlink w:anchor="P4452">
        <w:r>
          <w:rPr>
            <w:color w:val="0000FF"/>
          </w:rPr>
          <w:t>раздела 9</w:t>
        </w:r>
      </w:hyperlink>
      <w:r>
        <w:t>.</w:t>
      </w:r>
    </w:p>
    <w:p w:rsidR="00E35632" w:rsidRDefault="00E35632">
      <w:pPr>
        <w:pStyle w:val="ConsPlusNormal"/>
        <w:spacing w:before="220"/>
        <w:ind w:firstLine="540"/>
        <w:jc w:val="both"/>
      </w:pPr>
      <w:r>
        <w:t xml:space="preserve">5.8.13 В проекте оснований и фундаментов необходимо предусмотреть проведение работ по геотехническому мониторингу реконструируемого сооружения и окружающей застройки, при расположении объекта реконструкции на застроенной территории, в соответствии с требованиями </w:t>
      </w:r>
      <w:hyperlink w:anchor="P4957">
        <w:r>
          <w:rPr>
            <w:color w:val="0000FF"/>
          </w:rPr>
          <w:t>раздела 12</w:t>
        </w:r>
      </w:hyperlink>
      <w:r>
        <w:t>.</w:t>
      </w:r>
    </w:p>
    <w:p w:rsidR="00E35632" w:rsidRDefault="00E35632">
      <w:pPr>
        <w:pStyle w:val="ConsPlusNormal"/>
        <w:spacing w:before="220"/>
        <w:ind w:firstLine="540"/>
        <w:jc w:val="both"/>
      </w:pPr>
      <w:r>
        <w:t>5.8.14 При проектировании усиления оснований и фундаментов при реконструкции, капитальном ремонте, в период эксплуатации или выполнении мероприятий по защите от природных и техногенных воздействий следует выполнять оценку возможных вариантов по критериям конструктивной и экономической эффективности.</w:t>
      </w:r>
    </w:p>
    <w:p w:rsidR="00E35632" w:rsidRDefault="00E35632">
      <w:pPr>
        <w:pStyle w:val="ConsPlusNormal"/>
        <w:jc w:val="both"/>
      </w:pPr>
      <w:r>
        <w:t xml:space="preserve">(п. 5.8.14 введен </w:t>
      </w:r>
      <w:hyperlink r:id="rId485">
        <w:r>
          <w:rPr>
            <w:color w:val="0000FF"/>
          </w:rPr>
          <w:t>Изменением N 2</w:t>
        </w:r>
      </w:hyperlink>
      <w:r>
        <w:t>, утв. Приказом Минстроя России от 24.01.2019 N 43/пр)</w:t>
      </w:r>
    </w:p>
    <w:p w:rsidR="00E35632" w:rsidRDefault="00E35632">
      <w:pPr>
        <w:pStyle w:val="ConsPlusNormal"/>
        <w:spacing w:before="220"/>
        <w:ind w:firstLine="540"/>
        <w:jc w:val="both"/>
      </w:pPr>
      <w:r>
        <w:t xml:space="preserve">5.8.15 Строительные материалы, используемые при реконструкции, должны соответствовать требованиям по надежности и долговечности строительных конструкций и оснований </w:t>
      </w:r>
      <w:hyperlink r:id="rId486">
        <w:r>
          <w:rPr>
            <w:color w:val="0000FF"/>
          </w:rPr>
          <w:t>(ГОСТ 27751)</w:t>
        </w:r>
      </w:hyperlink>
      <w:r>
        <w:t>.</w:t>
      </w:r>
    </w:p>
    <w:p w:rsidR="00E35632" w:rsidRDefault="00E35632">
      <w:pPr>
        <w:pStyle w:val="ConsPlusNormal"/>
        <w:jc w:val="both"/>
      </w:pPr>
      <w:r>
        <w:t xml:space="preserve">(п. 5.8.15 введен </w:t>
      </w:r>
      <w:hyperlink r:id="rId487">
        <w:r>
          <w:rPr>
            <w:color w:val="0000FF"/>
          </w:rPr>
          <w:t>Изменением N 2</w:t>
        </w:r>
      </w:hyperlink>
      <w:r>
        <w:t>, утв. Приказом Минстроя России от 24.01.2019 N 43/пр)</w:t>
      </w:r>
    </w:p>
    <w:p w:rsidR="00E35632" w:rsidRDefault="00E35632">
      <w:pPr>
        <w:pStyle w:val="ConsPlusTitle"/>
        <w:spacing w:before="220"/>
        <w:ind w:firstLine="540"/>
        <w:jc w:val="both"/>
        <w:outlineLvl w:val="2"/>
      </w:pPr>
      <w:bookmarkStart w:id="106" w:name="P2257"/>
      <w:bookmarkEnd w:id="106"/>
      <w:r>
        <w:t>5.9 Мероприятия по уменьшению деформаций оснований и влияния их на сооружения</w:t>
      </w:r>
    </w:p>
    <w:p w:rsidR="00E35632" w:rsidRDefault="00E35632">
      <w:pPr>
        <w:pStyle w:val="ConsPlusNormal"/>
        <w:spacing w:before="220"/>
        <w:ind w:firstLine="540"/>
        <w:jc w:val="both"/>
      </w:pPr>
      <w:r>
        <w:t>5.9.1 Для выполнения требований расчета оснований по предельным состояниям, кроме возможности и целесообразности изменения размеров фундаментов в плане или глубины их заложения (включая прорезку грунтов со специфическими свойствами), введения дополнительных связей, ограничивающих перемещения фундаментов, применения других типов фундаментов (например, свайных), изменения нагрузок на основание и т.д., следует рассмотреть необходимость применения:</w:t>
      </w:r>
    </w:p>
    <w:p w:rsidR="00E35632" w:rsidRDefault="00E35632">
      <w:pPr>
        <w:pStyle w:val="ConsPlusNormal"/>
        <w:spacing w:before="220"/>
        <w:ind w:firstLine="540"/>
        <w:jc w:val="both"/>
      </w:pPr>
      <w:r>
        <w:t xml:space="preserve">а) мероприятий по предохранению грунтов основания от ухудшения их свойств </w:t>
      </w:r>
      <w:hyperlink w:anchor="P2267">
        <w:r>
          <w:rPr>
            <w:color w:val="0000FF"/>
          </w:rPr>
          <w:t>(5.9.2)</w:t>
        </w:r>
      </w:hyperlink>
      <w:r>
        <w:t>;</w:t>
      </w:r>
    </w:p>
    <w:p w:rsidR="00E35632" w:rsidRDefault="00E35632">
      <w:pPr>
        <w:pStyle w:val="ConsPlusNormal"/>
        <w:spacing w:before="220"/>
        <w:ind w:firstLine="540"/>
        <w:jc w:val="both"/>
      </w:pPr>
      <w:r>
        <w:t xml:space="preserve">б) мероприятий, направленных на преобразование строительных свойств грунтов </w:t>
      </w:r>
      <w:hyperlink w:anchor="P2284">
        <w:r>
          <w:rPr>
            <w:color w:val="0000FF"/>
          </w:rPr>
          <w:t>(5.9.3)</w:t>
        </w:r>
      </w:hyperlink>
      <w:r>
        <w:t>;</w:t>
      </w:r>
    </w:p>
    <w:p w:rsidR="00E35632" w:rsidRDefault="00E35632">
      <w:pPr>
        <w:pStyle w:val="ConsPlusNormal"/>
        <w:spacing w:before="220"/>
        <w:ind w:firstLine="540"/>
        <w:jc w:val="both"/>
      </w:pPr>
      <w:r>
        <w:t xml:space="preserve">в) конструктивных мероприятий, уменьшающих чувствительность сооружений к деформациям основания </w:t>
      </w:r>
      <w:hyperlink w:anchor="P2293">
        <w:r>
          <w:rPr>
            <w:color w:val="0000FF"/>
          </w:rPr>
          <w:t>(5.9.4)</w:t>
        </w:r>
      </w:hyperlink>
      <w:r>
        <w:t>;</w:t>
      </w:r>
    </w:p>
    <w:p w:rsidR="00E35632" w:rsidRDefault="00E35632">
      <w:pPr>
        <w:pStyle w:val="ConsPlusNormal"/>
        <w:spacing w:before="220"/>
        <w:ind w:firstLine="540"/>
        <w:jc w:val="both"/>
      </w:pPr>
      <w:r>
        <w:t>г) выравнивания сооружений или отдельных их частей: стационарным, а также временным специальным оборудованием; выбуриванием грунта из-под подошвы фундаментов; регулируемым замачиванием;</w:t>
      </w:r>
    </w:p>
    <w:p w:rsidR="00E35632" w:rsidRDefault="00E35632">
      <w:pPr>
        <w:pStyle w:val="ConsPlusNormal"/>
        <w:spacing w:before="220"/>
        <w:ind w:firstLine="540"/>
        <w:jc w:val="both"/>
      </w:pPr>
      <w:r>
        <w:t xml:space="preserve">д) фундаментов эффективных форм и конструкций (буробетонных, с промежуточной </w:t>
      </w:r>
      <w:r>
        <w:lastRenderedPageBreak/>
        <w:t>подготовкой, с уплотнением грунтов основания ступенчато возрастающей нагрузкой, с анкерами, щелевых, в вытрамбованных котлованах, из забивных блоков и т.п.).</w:t>
      </w:r>
    </w:p>
    <w:p w:rsidR="00E35632" w:rsidRDefault="00E35632">
      <w:pPr>
        <w:pStyle w:val="ConsPlusNormal"/>
        <w:jc w:val="both"/>
      </w:pPr>
      <w:r>
        <w:t xml:space="preserve">(в ред. </w:t>
      </w:r>
      <w:hyperlink r:id="rId488">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 xml:space="preserve">При проектировании следует также учитывать возможность регулирования усилий в конструкциях сооружения, возникающих при его взаимодействии с основанием </w:t>
      </w:r>
      <w:hyperlink w:anchor="P2302">
        <w:r>
          <w:rPr>
            <w:color w:val="0000FF"/>
          </w:rPr>
          <w:t>(5.9.5)</w:t>
        </w:r>
      </w:hyperlink>
      <w:r>
        <w:t xml:space="preserve">, а также регулирования напряженно-деформированного состояния грунта основания </w:t>
      </w:r>
      <w:hyperlink w:anchor="P2312">
        <w:r>
          <w:rPr>
            <w:color w:val="0000FF"/>
          </w:rPr>
          <w:t>(5.9.7)</w:t>
        </w:r>
      </w:hyperlink>
      <w:r>
        <w:t>.</w:t>
      </w:r>
    </w:p>
    <w:p w:rsidR="00E35632" w:rsidRDefault="00E35632">
      <w:pPr>
        <w:pStyle w:val="ConsPlusNormal"/>
        <w:spacing w:before="220"/>
        <w:ind w:firstLine="540"/>
        <w:jc w:val="both"/>
      </w:pPr>
      <w:r>
        <w:t xml:space="preserve">Выбор одного или комплекса мероприятий следует проводить с учетом требований </w:t>
      </w:r>
      <w:hyperlink w:anchor="P263">
        <w:r>
          <w:rPr>
            <w:color w:val="0000FF"/>
          </w:rPr>
          <w:t>4.2</w:t>
        </w:r>
      </w:hyperlink>
      <w:r>
        <w:t>.</w:t>
      </w:r>
    </w:p>
    <w:p w:rsidR="00E35632" w:rsidRDefault="00E35632">
      <w:pPr>
        <w:pStyle w:val="ConsPlusNormal"/>
        <w:spacing w:before="220"/>
        <w:ind w:firstLine="540"/>
        <w:jc w:val="both"/>
      </w:pPr>
      <w:bookmarkStart w:id="107" w:name="P2267"/>
      <w:bookmarkEnd w:id="107"/>
      <w:r>
        <w:t>5.9.2 К мероприятиям, предохраняющим грунты основания от ухудшения их строительных свойств, относятся:</w:t>
      </w:r>
    </w:p>
    <w:p w:rsidR="00E35632" w:rsidRDefault="00E35632">
      <w:pPr>
        <w:pStyle w:val="ConsPlusNormal"/>
        <w:spacing w:before="220"/>
        <w:ind w:firstLine="540"/>
        <w:jc w:val="both"/>
      </w:pPr>
      <w:r>
        <w:t>а) водозащитные мероприятия на площадках, сложенных грунтами, чувствительными к изменению влажности (соответствующая компоновка генеральных планов, вертикальная планировка территории, обеспечивающая сток поверхностных вод, устройство дренажей, противофильтрационных завес и экранов, прокладка водопроводов в специальных каналах или размещение их на безопасных расстояниях от сооружений, контроль за возможными утечками воды и т.п.);</w:t>
      </w:r>
    </w:p>
    <w:p w:rsidR="00E35632" w:rsidRDefault="00E35632">
      <w:pPr>
        <w:pStyle w:val="ConsPlusNormal"/>
        <w:spacing w:before="220"/>
        <w:ind w:firstLine="540"/>
        <w:jc w:val="both"/>
      </w:pPr>
      <w:r>
        <w:t>б) защита грунтов основания от химически активных жидкостей, способных привести к просадкам, набуханию, активизации карстовых явлений, повышению агрессивности подземных вод и т.п.;</w:t>
      </w:r>
    </w:p>
    <w:p w:rsidR="00E35632" w:rsidRDefault="00E35632">
      <w:pPr>
        <w:pStyle w:val="ConsPlusNormal"/>
        <w:spacing w:before="220"/>
        <w:ind w:firstLine="540"/>
        <w:jc w:val="both"/>
      </w:pPr>
      <w:r>
        <w:t>в) ограничение источников внешних воздействий (например, вибраций);</w:t>
      </w:r>
    </w:p>
    <w:p w:rsidR="00E35632" w:rsidRDefault="00E35632">
      <w:pPr>
        <w:pStyle w:val="ConsPlusNormal"/>
        <w:spacing w:before="220"/>
        <w:ind w:firstLine="540"/>
        <w:jc w:val="both"/>
      </w:pPr>
      <w:r>
        <w:t>г) предохранительные мероприятия, осуществляемые в процессе строительства сооружений (сохранение природной структуры и влажности грунтов, соблюдение технологии устройства оснований, фундаментов, подземных и наземных конструкций, не допускающей изменения принятой в проекте схемы и скорости передачи нагрузки на основание, особенно при наличии в основании медленно консолидирующихся грунтов и т.п.).</w:t>
      </w:r>
    </w:p>
    <w:p w:rsidR="00E35632" w:rsidRDefault="00E35632">
      <w:pPr>
        <w:pStyle w:val="ConsPlusNormal"/>
        <w:spacing w:before="220"/>
        <w:ind w:firstLine="540"/>
        <w:jc w:val="both"/>
      </w:pPr>
      <w:r>
        <w:t>д) специальные теплотехнические мероприятия (в т.ч. с применением эффективной влаго- и биостойкой теплоизоляции).</w:t>
      </w:r>
    </w:p>
    <w:p w:rsidR="00E35632" w:rsidRDefault="00E35632">
      <w:pPr>
        <w:pStyle w:val="ConsPlusNormal"/>
        <w:jc w:val="both"/>
      </w:pPr>
      <w:r>
        <w:t xml:space="preserve">(перечисление "д" введено </w:t>
      </w:r>
      <w:hyperlink r:id="rId489">
        <w:r>
          <w:rPr>
            <w:color w:val="0000FF"/>
          </w:rPr>
          <w:t>Изменением N 2</w:t>
        </w:r>
      </w:hyperlink>
      <w:r>
        <w:t>, утв. Приказом Минстроя России от 24.01.2019 N 43/пр)</w:t>
      </w:r>
    </w:p>
    <w:p w:rsidR="00E35632" w:rsidRDefault="00E35632">
      <w:pPr>
        <w:pStyle w:val="ConsPlusNormal"/>
        <w:spacing w:before="220"/>
        <w:ind w:firstLine="540"/>
        <w:jc w:val="both"/>
      </w:pPr>
      <w:r>
        <w:t>При выборе материалов для теплоизоляции конструкций фундаментов, стен подвалов, подпорных стен и т.п. при их заложении менее глубины сезонного промерзания необходимо соблюдать следующие требования:</w:t>
      </w:r>
    </w:p>
    <w:p w:rsidR="00E35632" w:rsidRDefault="00E35632">
      <w:pPr>
        <w:pStyle w:val="ConsPlusNormal"/>
        <w:spacing w:before="220"/>
        <w:ind w:firstLine="540"/>
        <w:jc w:val="both"/>
      </w:pPr>
      <w:r>
        <w:t>- предел прочности при сжатии для теплоизоляционных материалов со стороны грунта должен составлять не менее 200 кПа при глубине заложения до 3,5 м и не менее 250 кПа при глубине заложения более 3,5 м;</w:t>
      </w:r>
    </w:p>
    <w:p w:rsidR="00E35632" w:rsidRDefault="00E35632">
      <w:pPr>
        <w:pStyle w:val="ConsPlusNormal"/>
        <w:spacing w:before="220"/>
        <w:ind w:firstLine="540"/>
        <w:jc w:val="both"/>
      </w:pPr>
      <w:r>
        <w:t>- предел прочности при сжатии для теплоизоляционных материалов, устанавливаемых под фундаментом, должен составлять не менее 250 кПа;</w:t>
      </w:r>
    </w:p>
    <w:p w:rsidR="00E35632" w:rsidRDefault="00E35632">
      <w:pPr>
        <w:pStyle w:val="ConsPlusNormal"/>
        <w:spacing w:before="220"/>
        <w:ind w:firstLine="540"/>
        <w:jc w:val="both"/>
      </w:pPr>
      <w:r>
        <w:t>- коэффициент водопоглощения при длительном полном погружении образцов для теплоизоляционных материалов должен составлять не более 0,7%.</w:t>
      </w:r>
    </w:p>
    <w:p w:rsidR="00E35632" w:rsidRDefault="00E35632">
      <w:pPr>
        <w:pStyle w:val="ConsPlusNormal"/>
        <w:jc w:val="both"/>
      </w:pPr>
      <w:r>
        <w:t xml:space="preserve">(абзац введен </w:t>
      </w:r>
      <w:hyperlink r:id="rId490">
        <w:r>
          <w:rPr>
            <w:color w:val="0000FF"/>
          </w:rPr>
          <w:t>Изменением N 4</w:t>
        </w:r>
      </w:hyperlink>
      <w:r>
        <w:t>, утв. Приказом Минстроя России от 27.12.2021 N 1022/пр)</w:t>
      </w:r>
    </w:p>
    <w:p w:rsidR="00E35632" w:rsidRDefault="00E35632">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000" w:firstRow="0" w:lastRow="0" w:firstColumn="0" w:lastColumn="0" w:noHBand="0" w:noVBand="0"/>
      </w:tblPr>
      <w:tblGrid>
        <w:gridCol w:w="60"/>
        <w:gridCol w:w="113"/>
        <w:gridCol w:w="9068"/>
        <w:gridCol w:w="113"/>
      </w:tblGrid>
      <w:tr w:rsidR="00E35632">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E35632" w:rsidRDefault="00E35632">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E35632" w:rsidRDefault="00E35632">
            <w:pPr>
              <w:pStyle w:val="ConsPlusNormal"/>
              <w:jc w:val="both"/>
            </w:pPr>
            <w:r>
              <w:rPr>
                <w:color w:val="392C69"/>
              </w:rPr>
              <w:t>КонсультантПлюс: примечание.</w:t>
            </w:r>
          </w:p>
          <w:p w:rsidR="00E35632" w:rsidRDefault="00E35632">
            <w:pPr>
              <w:pStyle w:val="ConsPlusNormal"/>
              <w:jc w:val="both"/>
            </w:pPr>
            <w:r>
              <w:rPr>
                <w:color w:val="392C69"/>
              </w:rPr>
              <w:t>В официальном тексте документа, видимо, допущена опечатка: имеется в виду ГОСТ EN 12087, а не ГОСТ 12087.</w:t>
            </w: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r>
    </w:tbl>
    <w:p w:rsidR="00E35632" w:rsidRDefault="00E35632">
      <w:pPr>
        <w:pStyle w:val="ConsPlusNormal"/>
        <w:spacing w:before="280"/>
        <w:ind w:firstLine="540"/>
        <w:jc w:val="both"/>
      </w:pPr>
      <w:r>
        <w:lastRenderedPageBreak/>
        <w:t xml:space="preserve">Примечание - Определение предела прочности при сжатии выполняется по </w:t>
      </w:r>
      <w:hyperlink r:id="rId491">
        <w:r>
          <w:rPr>
            <w:color w:val="0000FF"/>
          </w:rPr>
          <w:t>ГОСТ EN 826</w:t>
        </w:r>
      </w:hyperlink>
      <w:r>
        <w:t xml:space="preserve">, </w:t>
      </w:r>
      <w:hyperlink r:id="rId492">
        <w:r>
          <w:rPr>
            <w:color w:val="0000FF"/>
          </w:rPr>
          <w:t>ГОСТ 17177</w:t>
        </w:r>
      </w:hyperlink>
      <w:r>
        <w:t xml:space="preserve">, определение водопоглощения - по </w:t>
      </w:r>
      <w:hyperlink r:id="rId493">
        <w:r>
          <w:rPr>
            <w:color w:val="0000FF"/>
          </w:rPr>
          <w:t>ГОСТ 12087</w:t>
        </w:r>
      </w:hyperlink>
      <w:r>
        <w:t>.</w:t>
      </w:r>
    </w:p>
    <w:p w:rsidR="00E35632" w:rsidRDefault="00E35632">
      <w:pPr>
        <w:pStyle w:val="ConsPlusNormal"/>
        <w:jc w:val="both"/>
      </w:pPr>
      <w:r>
        <w:t xml:space="preserve">(примечание введено </w:t>
      </w:r>
      <w:hyperlink r:id="rId494">
        <w:r>
          <w:rPr>
            <w:color w:val="0000FF"/>
          </w:rPr>
          <w:t>Изменением N 4</w:t>
        </w:r>
      </w:hyperlink>
      <w:r>
        <w:t>, утв. Приказом Минстроя России от 27.12.2021 N 1022/пр)</w:t>
      </w:r>
    </w:p>
    <w:p w:rsidR="00E35632" w:rsidRDefault="00E35632">
      <w:pPr>
        <w:pStyle w:val="ConsPlusNormal"/>
        <w:ind w:firstLine="540"/>
        <w:jc w:val="both"/>
      </w:pPr>
    </w:p>
    <w:p w:rsidR="00E35632" w:rsidRDefault="00E35632">
      <w:pPr>
        <w:pStyle w:val="ConsPlusNormal"/>
        <w:ind w:firstLine="540"/>
        <w:jc w:val="both"/>
      </w:pPr>
      <w:bookmarkStart w:id="108" w:name="P2284"/>
      <w:bookmarkEnd w:id="108"/>
      <w:r>
        <w:t>5.9.3 Преобразование строительных свойств грунтов основания (устройство искусственных оснований) достигается:</w:t>
      </w:r>
    </w:p>
    <w:p w:rsidR="00E35632" w:rsidRDefault="00E35632">
      <w:pPr>
        <w:pStyle w:val="ConsPlusNormal"/>
        <w:spacing w:before="220"/>
        <w:ind w:firstLine="540"/>
        <w:jc w:val="both"/>
      </w:pPr>
      <w:r>
        <w:t>а) уплотнением грунтов (трамбованием тяжелыми трамбовками, устройством грунтовых свай, вытрамбовыванием котлованов под фундаменты, предварительным замачиванием грунтов, применением энергии взрыва, глубинным гидровиброуплотнением, вибрационными машинами, катками, уплотнением грунтов основания ступенчато возрастающей нагрузкой сваевдавливающими установками и т.п.);</w:t>
      </w:r>
    </w:p>
    <w:p w:rsidR="00E35632" w:rsidRDefault="00E35632">
      <w:pPr>
        <w:pStyle w:val="ConsPlusNormal"/>
        <w:jc w:val="both"/>
      </w:pPr>
      <w:r>
        <w:t xml:space="preserve">(в ред. </w:t>
      </w:r>
      <w:hyperlink r:id="rId495">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б) полной или частичной заменой в основании (в плане и по глубине) грунтов с неудовлетворительными свойствами подушками из песка, гравия, щебня, плитами из экструдированного пенополистирола и т.п.;</w:t>
      </w:r>
    </w:p>
    <w:p w:rsidR="00E35632" w:rsidRDefault="00E35632">
      <w:pPr>
        <w:pStyle w:val="ConsPlusNormal"/>
        <w:jc w:val="both"/>
      </w:pPr>
      <w:r>
        <w:t xml:space="preserve">(в ред. </w:t>
      </w:r>
      <w:hyperlink r:id="rId496">
        <w:r>
          <w:rPr>
            <w:color w:val="0000FF"/>
          </w:rPr>
          <w:t>Изменения N 2</w:t>
        </w:r>
      </w:hyperlink>
      <w:r>
        <w:t>, утв. Приказом Минстроя России от 24.01.2019 N 43/пр)</w:t>
      </w:r>
    </w:p>
    <w:p w:rsidR="00E35632" w:rsidRDefault="00E35632">
      <w:pPr>
        <w:pStyle w:val="ConsPlusNormal"/>
        <w:spacing w:before="220"/>
        <w:ind w:firstLine="540"/>
        <w:jc w:val="both"/>
      </w:pPr>
      <w:r>
        <w:t>в) устройством насыпей (отсыпкой или гидронамывом);</w:t>
      </w:r>
    </w:p>
    <w:p w:rsidR="00E35632" w:rsidRDefault="00E35632">
      <w:pPr>
        <w:pStyle w:val="ConsPlusNormal"/>
        <w:spacing w:before="220"/>
        <w:ind w:firstLine="540"/>
        <w:jc w:val="both"/>
      </w:pPr>
      <w:r>
        <w:t>г) закреплением грунтов (инъекционным, электрохимическим, буросмесительным, термическим и другими способами);</w:t>
      </w:r>
    </w:p>
    <w:p w:rsidR="00E35632" w:rsidRDefault="00E35632">
      <w:pPr>
        <w:pStyle w:val="ConsPlusNormal"/>
        <w:spacing w:before="220"/>
        <w:ind w:firstLine="540"/>
        <w:jc w:val="both"/>
      </w:pPr>
      <w:r>
        <w:t>д) введением в грунт специальных добавок (например, засолением грунта или пропиткой его нефтепродуктами для ликвидации пучинистых свойств);</w:t>
      </w:r>
    </w:p>
    <w:p w:rsidR="00E35632" w:rsidRDefault="00E35632">
      <w:pPr>
        <w:pStyle w:val="ConsPlusNormal"/>
        <w:spacing w:before="220"/>
        <w:ind w:firstLine="540"/>
        <w:jc w:val="both"/>
      </w:pPr>
      <w:r>
        <w:t xml:space="preserve">е) армированием грунта (введением специальных пленок, сеток и т.п.) согласно требованиям </w:t>
      </w:r>
      <w:hyperlink w:anchor="P3697">
        <w:r>
          <w:rPr>
            <w:color w:val="0000FF"/>
          </w:rPr>
          <w:t>6.10</w:t>
        </w:r>
      </w:hyperlink>
      <w:r>
        <w:t>.</w:t>
      </w:r>
    </w:p>
    <w:p w:rsidR="00E35632" w:rsidRDefault="00E35632">
      <w:pPr>
        <w:pStyle w:val="ConsPlusNormal"/>
        <w:spacing w:before="220"/>
        <w:ind w:firstLine="540"/>
        <w:jc w:val="both"/>
      </w:pPr>
      <w:bookmarkStart w:id="109" w:name="P2293"/>
      <w:bookmarkEnd w:id="109"/>
      <w:r>
        <w:t>5.9.4 Конструктивные мероприятия, уменьшающие чувствительность сооружений к деформациям основания, включают в себя:</w:t>
      </w:r>
    </w:p>
    <w:p w:rsidR="00E35632" w:rsidRDefault="00E35632">
      <w:pPr>
        <w:pStyle w:val="ConsPlusNormal"/>
        <w:spacing w:before="220"/>
        <w:ind w:firstLine="540"/>
        <w:jc w:val="both"/>
      </w:pPr>
      <w:r>
        <w:t>а) рациональную компоновку сооружения в плане и по высоте;</w:t>
      </w:r>
    </w:p>
    <w:p w:rsidR="00E35632" w:rsidRDefault="00E35632">
      <w:pPr>
        <w:pStyle w:val="ConsPlusNormal"/>
        <w:spacing w:before="220"/>
        <w:ind w:firstLine="540"/>
        <w:jc w:val="both"/>
      </w:pPr>
      <w:r>
        <w:t>б) повышение прочности и пространственной жесткости сооружений, достигаемое усилением конструкций, особенно конструкций фундаментно-подвальной части, в соответствии с результатами расчета сооружения во взаимодействии с основанием (введение дополнительных связей в каркасных конструкциях, устройство железобетонных или армокаменных поясов, разрезка сооружений на отсеки и т.п.);</w:t>
      </w:r>
    </w:p>
    <w:p w:rsidR="00E35632" w:rsidRDefault="00E35632">
      <w:pPr>
        <w:pStyle w:val="ConsPlusNormal"/>
        <w:spacing w:before="220"/>
        <w:ind w:firstLine="540"/>
        <w:jc w:val="both"/>
      </w:pPr>
      <w:r>
        <w:t>в) увеличение податливости сооружений (если это позволяют технологические требования) за счет применения гибких или разрезных конструкций;</w:t>
      </w:r>
    </w:p>
    <w:p w:rsidR="00E35632" w:rsidRDefault="00E35632">
      <w:pPr>
        <w:pStyle w:val="ConsPlusNormal"/>
        <w:spacing w:before="220"/>
        <w:ind w:firstLine="540"/>
        <w:jc w:val="both"/>
      </w:pPr>
      <w:r>
        <w:t>г) устройство приспособлений для выравнивания конструкций сооружения и рихтовки технологического оборудования.</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1 Габариты приближения к строительным конструкциям подвижного технологического оборудования (мостовых кранов, лифтов и т.п.) должны обеспечивать их нормальную эксплуатацию с учетом возможных деформаций основания.</w:t>
      </w:r>
    </w:p>
    <w:p w:rsidR="00E35632" w:rsidRDefault="00E35632">
      <w:pPr>
        <w:pStyle w:val="ConsPlusNormal"/>
        <w:spacing w:before="220"/>
        <w:ind w:firstLine="540"/>
        <w:jc w:val="both"/>
      </w:pPr>
      <w:r>
        <w:t>2 Для обеспечения нормальной эксплуатации лифтов многоэтажных зданий лифтовые шахты необходимо проектировать с учетом крена сооружения.</w:t>
      </w:r>
    </w:p>
    <w:p w:rsidR="00E35632" w:rsidRDefault="00E35632">
      <w:pPr>
        <w:pStyle w:val="ConsPlusNormal"/>
        <w:jc w:val="both"/>
      </w:pPr>
    </w:p>
    <w:p w:rsidR="00E35632" w:rsidRDefault="00E35632">
      <w:pPr>
        <w:pStyle w:val="ConsPlusNormal"/>
        <w:ind w:firstLine="540"/>
        <w:jc w:val="both"/>
      </w:pPr>
      <w:bookmarkStart w:id="110" w:name="P2302"/>
      <w:bookmarkEnd w:id="110"/>
      <w:r>
        <w:lastRenderedPageBreak/>
        <w:t>5.9.5 К мероприятиям, позволяющим уменьшить усилия в конструкциях сооружения при взаимодействии его с основанием, относятся:</w:t>
      </w:r>
    </w:p>
    <w:p w:rsidR="00E35632" w:rsidRDefault="00E35632">
      <w:pPr>
        <w:pStyle w:val="ConsPlusNormal"/>
        <w:spacing w:before="220"/>
        <w:ind w:firstLine="540"/>
        <w:jc w:val="both"/>
      </w:pPr>
      <w:r>
        <w:t>- размещение сооружения на площади застройки с учетом ее инженерно-геологического строения и возможных источников вредных влияний (линз слабых грунтов, старых горных выработок, карстовых полостей, внешних водоводов и т.п.);</w:t>
      </w:r>
    </w:p>
    <w:p w:rsidR="00E35632" w:rsidRDefault="00E35632">
      <w:pPr>
        <w:pStyle w:val="ConsPlusNormal"/>
        <w:spacing w:before="220"/>
        <w:ind w:firstLine="540"/>
        <w:jc w:val="both"/>
      </w:pPr>
      <w:r>
        <w:t>- применение соответствующих конструкций фундаментов (фундаментов с малой боковой поверхностью на подрабатываемых территориях, при наличии в основании пучинистых грунтов и др.);</w:t>
      </w:r>
    </w:p>
    <w:p w:rsidR="00E35632" w:rsidRDefault="00E35632">
      <w:pPr>
        <w:pStyle w:val="ConsPlusNormal"/>
        <w:spacing w:before="220"/>
        <w:ind w:firstLine="540"/>
        <w:jc w:val="both"/>
      </w:pPr>
      <w:r>
        <w:t>- засыпка пазух и устройство подушек под фундаментами из материалов, обладающих малым сцеплением и трением, применение специальных антифрикционных покрытий, отрывка временных компенсационных траншей для уменьшения усилий от горизонтальных деформаций оснований (например, в районах горных выработок);</w:t>
      </w:r>
    </w:p>
    <w:p w:rsidR="00E35632" w:rsidRDefault="00E35632">
      <w:pPr>
        <w:pStyle w:val="ConsPlusNormal"/>
        <w:spacing w:before="220"/>
        <w:ind w:firstLine="540"/>
        <w:jc w:val="both"/>
      </w:pPr>
      <w:r>
        <w:t>- регулирование сроков замоноличивания стыков сборных и сборно-монолитных конструкций;</w:t>
      </w:r>
    </w:p>
    <w:p w:rsidR="00E35632" w:rsidRDefault="00E35632">
      <w:pPr>
        <w:pStyle w:val="ConsPlusNormal"/>
        <w:spacing w:before="220"/>
        <w:ind w:firstLine="540"/>
        <w:jc w:val="both"/>
      </w:pPr>
      <w:r>
        <w:t>- обоснованная скорость и последовательность возведения отдельных частей сооружения;</w:t>
      </w:r>
    </w:p>
    <w:p w:rsidR="00E35632" w:rsidRDefault="00E35632">
      <w:pPr>
        <w:pStyle w:val="ConsPlusNormal"/>
        <w:spacing w:before="220"/>
        <w:ind w:firstLine="540"/>
        <w:jc w:val="both"/>
      </w:pPr>
      <w:r>
        <w:t>- устройство разделительных стенок между существующими и возводимым сооружением.</w:t>
      </w:r>
    </w:p>
    <w:p w:rsidR="00E35632" w:rsidRDefault="00E35632">
      <w:pPr>
        <w:pStyle w:val="ConsPlusNormal"/>
        <w:spacing w:before="220"/>
        <w:ind w:firstLine="540"/>
        <w:jc w:val="both"/>
      </w:pPr>
      <w:r>
        <w:t>5.9.6 В случаях, когда строительными мерами защиты и инженерной подготовки грунтов основания не исключаются деформации и крены сооружений, превышающие допустимые значения, основания следует проектировать с учетом мероприятий, снижающих осадки и крены, в том числе с применением выравнивания сооружения.</w:t>
      </w:r>
    </w:p>
    <w:p w:rsidR="00E35632" w:rsidRDefault="00E35632">
      <w:pPr>
        <w:pStyle w:val="ConsPlusNormal"/>
        <w:spacing w:before="220"/>
        <w:ind w:firstLine="540"/>
        <w:jc w:val="both"/>
      </w:pPr>
      <w:r>
        <w:t>При проектировании сооружений с учетом возможности их выравнивания с помощью домкратов, инъекции в грунт расширяющихся растворов, а также при выравнивании эксплуатируемых сооружений следует выполнять расчет конструкций на воздействие неравномерных деформаций основания в стадии выравнивания. Расчетом на выравнивание домкратами необходимо проверить несущую способность и устойчивость конструкций фундаментов подвальной части зданий, воспринимающих сосредоточенную нагрузку от выравнивающих устройств, и глубину заложения фундаментов, включая проверку на устойчивость основания при передаче на него давления от выравнивающих устройств. При выравнивании фундаментов зданий путем инъекции в их основания расширяющихся растворов необходимо проверить несущую способность и устойчивость оснований фундаментов зданий, воспринимающих нагрузку от выравнивающих расширяющихся массивов, и глубину заложения фундаментов, включая проверку на устойчивость основания при передаче на него давления от расширяющихся массивов.</w:t>
      </w:r>
    </w:p>
    <w:p w:rsidR="00E35632" w:rsidRDefault="00E35632">
      <w:pPr>
        <w:pStyle w:val="ConsPlusNormal"/>
        <w:jc w:val="both"/>
      </w:pPr>
      <w:r>
        <w:t xml:space="preserve">(в ред. </w:t>
      </w:r>
      <w:hyperlink r:id="rId497">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bookmarkStart w:id="111" w:name="P2312"/>
      <w:bookmarkEnd w:id="111"/>
      <w:r>
        <w:t>5.9.7 Регулирование напряженно-деформированного состояния грунта основания с целью уменьшения его деформируемости или повышения несущей способности может быть выполнено созданием принудительной деформации грунтов или приложением постоянно действующего давления в грунте следующими способами:</w:t>
      </w:r>
    </w:p>
    <w:p w:rsidR="00E35632" w:rsidRDefault="00E35632">
      <w:pPr>
        <w:pStyle w:val="ConsPlusNormal"/>
        <w:spacing w:before="220"/>
        <w:ind w:firstLine="540"/>
        <w:jc w:val="both"/>
      </w:pPr>
      <w:r>
        <w:t>- нагнетанием в ограниченный объем грунта твердеющего, в том числе расширяющегося, раствора (компенсационное нагнетание);</w:t>
      </w:r>
    </w:p>
    <w:p w:rsidR="00E35632" w:rsidRDefault="00E35632">
      <w:pPr>
        <w:pStyle w:val="ConsPlusNormal"/>
        <w:jc w:val="both"/>
      </w:pPr>
      <w:r>
        <w:t xml:space="preserve">(в ред. </w:t>
      </w:r>
      <w:hyperlink r:id="rId498">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путем устройства в грунте пневматических конструкций, способных расширяться в грунте;</w:t>
      </w:r>
    </w:p>
    <w:p w:rsidR="00E35632" w:rsidRDefault="00E35632">
      <w:pPr>
        <w:pStyle w:val="ConsPlusNormal"/>
        <w:spacing w:before="220"/>
        <w:ind w:firstLine="540"/>
        <w:jc w:val="both"/>
      </w:pPr>
      <w:r>
        <w:t>- обжатием грунта ступенчато возрастающей нагрузкой сваевдавливающими установками СВУ;</w:t>
      </w:r>
    </w:p>
    <w:p w:rsidR="00E35632" w:rsidRDefault="00E35632">
      <w:pPr>
        <w:pStyle w:val="ConsPlusNormal"/>
        <w:jc w:val="both"/>
      </w:pPr>
      <w:r>
        <w:lastRenderedPageBreak/>
        <w:t xml:space="preserve">(абзац введен </w:t>
      </w:r>
      <w:hyperlink r:id="rId499">
        <w:r>
          <w:rPr>
            <w:color w:val="0000FF"/>
          </w:rPr>
          <w:t>Изменением N 1</w:t>
        </w:r>
      </w:hyperlink>
      <w:r>
        <w:t>, утв. Приказом Минстроя России от 20.11.2018 N 736/пр)</w:t>
      </w:r>
    </w:p>
    <w:p w:rsidR="00E35632" w:rsidRDefault="00E35632">
      <w:pPr>
        <w:pStyle w:val="ConsPlusNormal"/>
        <w:spacing w:before="220"/>
        <w:ind w:firstLine="540"/>
        <w:jc w:val="both"/>
      </w:pPr>
      <w:r>
        <w:t>- обжатием грунта атмосферным давлением (вакуумирование) и др.;</w:t>
      </w:r>
    </w:p>
    <w:p w:rsidR="00E35632" w:rsidRDefault="00E35632">
      <w:pPr>
        <w:pStyle w:val="ConsPlusNormal"/>
        <w:spacing w:before="220"/>
        <w:ind w:firstLine="540"/>
        <w:jc w:val="both"/>
      </w:pPr>
      <w:r>
        <w:t>- обжатием грунтов домкратами при выравнивании сооружений.</w:t>
      </w:r>
    </w:p>
    <w:p w:rsidR="00E35632" w:rsidRDefault="00E35632">
      <w:pPr>
        <w:pStyle w:val="ConsPlusNormal"/>
        <w:jc w:val="both"/>
      </w:pPr>
    </w:p>
    <w:p w:rsidR="00E35632" w:rsidRDefault="00E35632">
      <w:pPr>
        <w:pStyle w:val="ConsPlusTitle"/>
        <w:ind w:firstLine="540"/>
        <w:jc w:val="both"/>
        <w:outlineLvl w:val="1"/>
      </w:pPr>
      <w:bookmarkStart w:id="112" w:name="P2321"/>
      <w:bookmarkEnd w:id="112"/>
      <w:r>
        <w:t>6 Особенности проектирования оснований сооружений, возводимых на специфических грунтах и в особых условиях</w:t>
      </w:r>
    </w:p>
    <w:p w:rsidR="00E35632" w:rsidRDefault="00E35632">
      <w:pPr>
        <w:pStyle w:val="ConsPlusNormal"/>
        <w:jc w:val="both"/>
      </w:pPr>
    </w:p>
    <w:p w:rsidR="00E35632" w:rsidRDefault="00E35632">
      <w:pPr>
        <w:pStyle w:val="ConsPlusTitle"/>
        <w:ind w:firstLine="540"/>
        <w:jc w:val="both"/>
        <w:outlineLvl w:val="2"/>
      </w:pPr>
      <w:bookmarkStart w:id="113" w:name="P2323"/>
      <w:bookmarkEnd w:id="113"/>
      <w:r>
        <w:t>6.1 Просадочные грунты</w:t>
      </w:r>
    </w:p>
    <w:p w:rsidR="00E35632" w:rsidRDefault="00E35632">
      <w:pPr>
        <w:pStyle w:val="ConsPlusNormal"/>
        <w:spacing w:before="220"/>
        <w:ind w:firstLine="540"/>
        <w:jc w:val="both"/>
      </w:pPr>
      <w:r>
        <w:t>6.1.1 Основания, сложенные просадочными грунтами, следует проектировать с учетом их особенности, заключающейся в том, что при повышении влажности выше определенного уровня происходит потеря прочности грунта и они дают дополнительные деформации - просадки - от внешней нагрузки и (или) собственного веса грунта с учетом:</w:t>
      </w:r>
    </w:p>
    <w:p w:rsidR="00E35632" w:rsidRDefault="00E35632">
      <w:pPr>
        <w:pStyle w:val="ConsPlusNormal"/>
        <w:spacing w:before="220"/>
        <w:ind w:firstLine="540"/>
        <w:jc w:val="both"/>
      </w:pPr>
      <w:r>
        <w:t>специфических характеристик просадочных грунтов;</w:t>
      </w:r>
    </w:p>
    <w:p w:rsidR="00E35632" w:rsidRDefault="00E35632">
      <w:pPr>
        <w:pStyle w:val="ConsPlusNormal"/>
        <w:spacing w:before="220"/>
        <w:ind w:firstLine="540"/>
        <w:jc w:val="both"/>
      </w:pPr>
      <w:r>
        <w:t>грунтовых условий; возможных источников повышения влажности (замачивания) грунтов;</w:t>
      </w:r>
    </w:p>
    <w:p w:rsidR="00E35632" w:rsidRDefault="00E35632">
      <w:pPr>
        <w:pStyle w:val="ConsPlusNormal"/>
        <w:spacing w:before="220"/>
        <w:ind w:firstLine="540"/>
        <w:jc w:val="both"/>
      </w:pPr>
      <w:r>
        <w:t>видов просадочных деформаций;</w:t>
      </w:r>
    </w:p>
    <w:p w:rsidR="00E35632" w:rsidRDefault="00E35632">
      <w:pPr>
        <w:pStyle w:val="ConsPlusNormal"/>
        <w:spacing w:before="220"/>
        <w:ind w:firstLine="540"/>
        <w:jc w:val="both"/>
      </w:pPr>
      <w:r>
        <w:t>дополнительных нагрузок от сил нагружающего (отрицательного) трения на заглубленные части сооружений;</w:t>
      </w:r>
    </w:p>
    <w:p w:rsidR="00E35632" w:rsidRDefault="00E35632">
      <w:pPr>
        <w:pStyle w:val="ConsPlusNormal"/>
        <w:spacing w:before="220"/>
        <w:ind w:firstLine="540"/>
        <w:jc w:val="both"/>
      </w:pPr>
      <w:r>
        <w:t>дополнительных деформаций подстилающих непросадочных грунтов.</w:t>
      </w:r>
    </w:p>
    <w:p w:rsidR="00E35632" w:rsidRDefault="00E35632">
      <w:pPr>
        <w:pStyle w:val="ConsPlusNormal"/>
        <w:spacing w:before="220"/>
        <w:ind w:firstLine="540"/>
        <w:jc w:val="both"/>
      </w:pPr>
      <w:r>
        <w:t>6.1.2 Основными специфическими характеристиками просадочных грунтов являются:</w:t>
      </w:r>
    </w:p>
    <w:p w:rsidR="00E35632" w:rsidRDefault="00E35632">
      <w:pPr>
        <w:pStyle w:val="ConsPlusNormal"/>
        <w:spacing w:before="220"/>
        <w:ind w:firstLine="540"/>
        <w:jc w:val="both"/>
      </w:pPr>
      <w:r>
        <w:t xml:space="preserve">относительная деформация просадочности </w:t>
      </w:r>
      <w:r>
        <w:rPr>
          <w:noProof/>
          <w:position w:val="-8"/>
        </w:rPr>
        <w:drawing>
          <wp:inline distT="0" distB="0" distL="0" distR="0">
            <wp:extent cx="209550" cy="251460"/>
            <wp:effectExtent l="0" t="0" r="0" b="0"/>
            <wp:docPr id="2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т.е. относительное сжатие грунта при повышении его влажности, определяемой по </w:t>
      </w:r>
      <w:hyperlink w:anchor="P2443">
        <w:r>
          <w:rPr>
            <w:color w:val="0000FF"/>
          </w:rPr>
          <w:t>6.1.17</w:t>
        </w:r>
      </w:hyperlink>
      <w:r>
        <w:t>;</w:t>
      </w:r>
    </w:p>
    <w:p w:rsidR="00E35632" w:rsidRDefault="00E35632">
      <w:pPr>
        <w:pStyle w:val="ConsPlusNormal"/>
        <w:spacing w:before="220"/>
        <w:ind w:firstLine="540"/>
        <w:jc w:val="both"/>
      </w:pPr>
      <w:r>
        <w:t xml:space="preserve">начальное просадочное давление </w:t>
      </w:r>
      <w:r>
        <w:rPr>
          <w:i/>
        </w:rPr>
        <w:t>p</w:t>
      </w:r>
      <w:r>
        <w:rPr>
          <w:i/>
          <w:vertAlign w:val="subscript"/>
        </w:rPr>
        <w:t>sl</w:t>
      </w:r>
      <w:r>
        <w:t xml:space="preserve">, представляющее минимальное давление от внешней нагрузки (фундамента, земляного сооружения и т.п.) и собственного веса грунта, при котором начинает возникать просадка грунта в условиях полного водонасыщения </w:t>
      </w:r>
      <w:hyperlink w:anchor="P2461">
        <w:r>
          <w:rPr>
            <w:color w:val="0000FF"/>
          </w:rPr>
          <w:t>(6.1.19)</w:t>
        </w:r>
      </w:hyperlink>
      <w:r>
        <w:t>;</w:t>
      </w:r>
    </w:p>
    <w:p w:rsidR="00E35632" w:rsidRDefault="00E35632">
      <w:pPr>
        <w:pStyle w:val="ConsPlusNormal"/>
        <w:spacing w:before="220"/>
        <w:ind w:firstLine="540"/>
        <w:jc w:val="both"/>
      </w:pPr>
      <w:r>
        <w:t xml:space="preserve">начальная просадочная влажность </w:t>
      </w:r>
      <w:r>
        <w:rPr>
          <w:i/>
        </w:rPr>
        <w:t>w</w:t>
      </w:r>
      <w:r>
        <w:rPr>
          <w:i/>
          <w:vertAlign w:val="subscript"/>
        </w:rPr>
        <w:t>sl</w:t>
      </w:r>
      <w:r>
        <w:t xml:space="preserve"> - влажность просадочного грунта, при которой с учетом напряженного состояния от внешней нагрузки и его собственного веса начинает проявляться просадка грунта.</w:t>
      </w:r>
    </w:p>
    <w:p w:rsidR="00E35632" w:rsidRDefault="00E35632">
      <w:pPr>
        <w:pStyle w:val="ConsPlusNormal"/>
        <w:spacing w:before="220"/>
        <w:ind w:firstLine="540"/>
        <w:jc w:val="both"/>
      </w:pPr>
      <w:r>
        <w:t>6.1.3 Основными характеристиками грунтовых условий площадок, сложенных просадочными грунтами, являются:</w:t>
      </w:r>
    </w:p>
    <w:p w:rsidR="00E35632" w:rsidRDefault="00E35632">
      <w:pPr>
        <w:pStyle w:val="ConsPlusNormal"/>
        <w:spacing w:before="220"/>
        <w:ind w:firstLine="540"/>
        <w:jc w:val="both"/>
      </w:pPr>
      <w:r>
        <w:t xml:space="preserve">расчетная или экспериментально полученная величина просадки грунта от собственного веса </w:t>
      </w:r>
      <w:r>
        <w:rPr>
          <w:i/>
        </w:rPr>
        <w:t>s</w:t>
      </w:r>
      <w:r>
        <w:rPr>
          <w:i/>
          <w:vertAlign w:val="subscript"/>
        </w:rPr>
        <w:t>sl,g</w:t>
      </w:r>
      <w:r>
        <w:t xml:space="preserve"> </w:t>
      </w:r>
      <w:hyperlink w:anchor="P2469">
        <w:r>
          <w:rPr>
            <w:color w:val="0000FF"/>
          </w:rPr>
          <w:t>(6.1.22)</w:t>
        </w:r>
      </w:hyperlink>
      <w:r>
        <w:t>;</w:t>
      </w:r>
    </w:p>
    <w:p w:rsidR="00E35632" w:rsidRDefault="00E35632">
      <w:pPr>
        <w:pStyle w:val="ConsPlusNormal"/>
        <w:spacing w:before="220"/>
        <w:ind w:firstLine="540"/>
        <w:jc w:val="both"/>
      </w:pPr>
      <w:r>
        <w:t xml:space="preserve">просадочная толща </w:t>
      </w:r>
      <w:r>
        <w:rPr>
          <w:i/>
        </w:rPr>
        <w:t>H</w:t>
      </w:r>
      <w:r>
        <w:rPr>
          <w:i/>
          <w:vertAlign w:val="subscript"/>
        </w:rPr>
        <w:t>sl</w:t>
      </w:r>
      <w:r>
        <w:t xml:space="preserve"> </w:t>
      </w:r>
      <w:hyperlink w:anchor="P2394">
        <w:r>
          <w:rPr>
            <w:color w:val="0000FF"/>
          </w:rPr>
          <w:t>(6.1.8)</w:t>
        </w:r>
      </w:hyperlink>
      <w:r>
        <w:t>;</w:t>
      </w:r>
    </w:p>
    <w:p w:rsidR="00E35632" w:rsidRDefault="00E35632">
      <w:pPr>
        <w:pStyle w:val="ConsPlusNormal"/>
        <w:spacing w:before="220"/>
        <w:ind w:firstLine="540"/>
        <w:jc w:val="both"/>
      </w:pPr>
      <w:r>
        <w:t xml:space="preserve">тип грунтовых условий по просадочности </w:t>
      </w:r>
      <w:hyperlink w:anchor="P2401">
        <w:r>
          <w:rPr>
            <w:color w:val="0000FF"/>
          </w:rPr>
          <w:t>(6.1.9)</w:t>
        </w:r>
      </w:hyperlink>
      <w:r>
        <w:t>.</w:t>
      </w:r>
    </w:p>
    <w:p w:rsidR="00E35632" w:rsidRDefault="00E35632">
      <w:pPr>
        <w:pStyle w:val="ConsPlusNormal"/>
        <w:spacing w:before="220"/>
        <w:ind w:firstLine="540"/>
        <w:jc w:val="both"/>
      </w:pPr>
      <w:bookmarkStart w:id="114" w:name="P2338"/>
      <w:bookmarkEnd w:id="114"/>
      <w:r>
        <w:t>6.1.4 При проектировании оснований, сложенных просадочными грунтами, следует учитывать возможность повышения их влажности за счет:</w:t>
      </w:r>
    </w:p>
    <w:p w:rsidR="00E35632" w:rsidRDefault="00E35632">
      <w:pPr>
        <w:pStyle w:val="ConsPlusNormal"/>
        <w:spacing w:before="220"/>
        <w:ind w:firstLine="540"/>
        <w:jc w:val="both"/>
      </w:pPr>
      <w:bookmarkStart w:id="115" w:name="P2339"/>
      <w:bookmarkEnd w:id="115"/>
      <w:r>
        <w:t>а) замачивания грунтов - сверху из внешних источников и (или) снизу при подъеме уровня подземных вод;</w:t>
      </w:r>
    </w:p>
    <w:p w:rsidR="00E35632" w:rsidRDefault="00E35632">
      <w:pPr>
        <w:pStyle w:val="ConsPlusNormal"/>
        <w:spacing w:before="220"/>
        <w:ind w:firstLine="540"/>
        <w:jc w:val="both"/>
      </w:pPr>
      <w:r>
        <w:t xml:space="preserve">б) накопления влаги в грунте вследствие инфильтрации поверхностных вод и экранирования </w:t>
      </w:r>
      <w:r>
        <w:lastRenderedPageBreak/>
        <w:t>поверхности.</w:t>
      </w:r>
    </w:p>
    <w:p w:rsidR="00E35632" w:rsidRDefault="00E35632">
      <w:pPr>
        <w:pStyle w:val="ConsPlusNormal"/>
        <w:spacing w:before="220"/>
        <w:ind w:firstLine="540"/>
        <w:jc w:val="both"/>
      </w:pPr>
      <w:bookmarkStart w:id="116" w:name="P2341"/>
      <w:bookmarkEnd w:id="116"/>
      <w:r>
        <w:t xml:space="preserve">6.1.5 При проектировании оснований, сложенных просадочными грунтами, следует учитывать </w:t>
      </w:r>
      <w:hyperlink w:anchor="P2361">
        <w:r>
          <w:rPr>
            <w:color w:val="0000FF"/>
          </w:rPr>
          <w:t>(рисунок 6.1)</w:t>
        </w:r>
      </w:hyperlink>
      <w:r>
        <w:t>:</w:t>
      </w:r>
    </w:p>
    <w:p w:rsidR="00E35632" w:rsidRDefault="00E35632">
      <w:pPr>
        <w:pStyle w:val="ConsPlusNormal"/>
        <w:spacing w:before="220"/>
        <w:ind w:firstLine="540"/>
        <w:jc w:val="both"/>
      </w:pPr>
      <w:r>
        <w:t xml:space="preserve">а) просадки от внешней нагрузки </w:t>
      </w:r>
      <w:r>
        <w:rPr>
          <w:i/>
        </w:rPr>
        <w:t>s</w:t>
      </w:r>
      <w:r>
        <w:rPr>
          <w:i/>
          <w:vertAlign w:val="subscript"/>
        </w:rPr>
        <w:t>sl,p</w:t>
      </w:r>
      <w:r>
        <w:t xml:space="preserve">, происходящие в пределах верхней зоны </w:t>
      </w:r>
      <w:r>
        <w:rPr>
          <w:i/>
        </w:rPr>
        <w:t>h</w:t>
      </w:r>
      <w:r>
        <w:rPr>
          <w:i/>
          <w:vertAlign w:val="subscript"/>
        </w:rPr>
        <w:t>sl,p</w:t>
      </w:r>
      <w:r>
        <w:t xml:space="preserve">, измеряемой от подошвы фундамента до глубины, где суммарные вертикальные напряжения от внешней нагрузки и собственного веса грунта равны начальному просадочному давлению или сумма указанных напряжений минимальна </w:t>
      </w:r>
      <w:hyperlink w:anchor="P2461">
        <w:r>
          <w:rPr>
            <w:color w:val="0000FF"/>
          </w:rPr>
          <w:t>(6.1.19)</w:t>
        </w:r>
      </w:hyperlink>
      <w:r>
        <w:t>;</w:t>
      </w:r>
    </w:p>
    <w:p w:rsidR="00E35632" w:rsidRDefault="00E35632">
      <w:pPr>
        <w:pStyle w:val="ConsPlusNormal"/>
        <w:spacing w:before="220"/>
        <w:ind w:firstLine="540"/>
        <w:jc w:val="both"/>
      </w:pPr>
      <w:r>
        <w:t xml:space="preserve">б) просадки от собственного веса грунта </w:t>
      </w:r>
      <w:r>
        <w:rPr>
          <w:i/>
        </w:rPr>
        <w:t>s</w:t>
      </w:r>
      <w:r>
        <w:rPr>
          <w:i/>
          <w:vertAlign w:val="subscript"/>
        </w:rPr>
        <w:t>sl,g</w:t>
      </w:r>
      <w:r>
        <w:t xml:space="preserve">, происходящие в нижней зоне </w:t>
      </w:r>
      <w:r>
        <w:rPr>
          <w:i/>
        </w:rPr>
        <w:t>h</w:t>
      </w:r>
      <w:r>
        <w:rPr>
          <w:i/>
          <w:vertAlign w:val="subscript"/>
        </w:rPr>
        <w:t>sl,g</w:t>
      </w:r>
      <w:r>
        <w:t xml:space="preserve">, начиная с глубины, где суммарные вертикальные напряжения превышают начальное просадочное давление </w:t>
      </w:r>
      <w:r>
        <w:rPr>
          <w:i/>
        </w:rPr>
        <w:t>p</w:t>
      </w:r>
      <w:r>
        <w:rPr>
          <w:i/>
          <w:vertAlign w:val="subscript"/>
        </w:rPr>
        <w:t>sl</w:t>
      </w:r>
      <w:r>
        <w:t xml:space="preserve"> или сумма вертикальных напряжений от собственного веса грунта и внешней нагрузки минимальна, и до нижней границы просадочной толщи;</w:t>
      </w:r>
    </w:p>
    <w:p w:rsidR="00E35632" w:rsidRDefault="00E35632">
      <w:pPr>
        <w:pStyle w:val="ConsPlusNormal"/>
        <w:spacing w:before="220"/>
        <w:ind w:firstLine="540"/>
        <w:jc w:val="both"/>
      </w:pPr>
      <w:r>
        <w:t xml:space="preserve">в) неравномерность просадки грунтов </w:t>
      </w:r>
      <w:r>
        <w:rPr>
          <w:noProof/>
          <w:position w:val="-8"/>
        </w:rPr>
        <w:drawing>
          <wp:inline distT="0" distB="0" distL="0" distR="0">
            <wp:extent cx="302260" cy="251460"/>
            <wp:effectExtent l="0" t="0" r="0" b="0"/>
            <wp:docPr id="2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302260" cy="25146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г) горизонтальные перемещения основания </w:t>
      </w:r>
      <w:r>
        <w:rPr>
          <w:i/>
        </w:rPr>
        <w:t>u</w:t>
      </w:r>
      <w:r>
        <w:rPr>
          <w:i/>
          <w:vertAlign w:val="subscript"/>
        </w:rPr>
        <w:t>sl</w:t>
      </w:r>
      <w:r>
        <w:t xml:space="preserve"> в пределах криволинейной части просадочной воронки при просадке грунтов от собственного веса;</w:t>
      </w:r>
    </w:p>
    <w:p w:rsidR="00E35632" w:rsidRDefault="00E35632">
      <w:pPr>
        <w:pStyle w:val="ConsPlusNormal"/>
        <w:spacing w:before="220"/>
        <w:ind w:firstLine="540"/>
        <w:jc w:val="both"/>
      </w:pPr>
      <w:r>
        <w:t xml:space="preserve">д) дополнительные осадки подстилающего просадочную толщу грунтов, происходящие за счет повышения напряженного состояния грунтового массива, снижения модуля деформации грунтов при повышении их влажности </w:t>
      </w:r>
      <w:hyperlink w:anchor="P2414">
        <w:r>
          <w:rPr>
            <w:color w:val="0000FF"/>
          </w:rPr>
          <w:t>(6.1.12)</w:t>
        </w:r>
      </w:hyperlink>
      <w:r>
        <w:t>.</w:t>
      </w:r>
    </w:p>
    <w:p w:rsidR="00E35632" w:rsidRDefault="00E35632">
      <w:pPr>
        <w:pStyle w:val="ConsPlusNormal"/>
        <w:spacing w:before="220"/>
        <w:ind w:firstLine="540"/>
        <w:jc w:val="both"/>
      </w:pPr>
      <w:r>
        <w:t xml:space="preserve">Примечание - Просадку грунтов учитывают при относительной просадочности </w:t>
      </w:r>
      <w:r>
        <w:rPr>
          <w:noProof/>
          <w:position w:val="-8"/>
        </w:rPr>
        <w:drawing>
          <wp:inline distT="0" distB="0" distL="0" distR="0">
            <wp:extent cx="684530" cy="251460"/>
            <wp:effectExtent l="0" t="0" r="0" b="0"/>
            <wp:docPr id="2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684530" cy="251460"/>
                    </a:xfrm>
                    <a:prstGeom prst="rect">
                      <a:avLst/>
                    </a:prstGeom>
                    <a:noFill/>
                    <a:ln>
                      <a:noFill/>
                    </a:ln>
                  </pic:spPr>
                </pic:pic>
              </a:graphicData>
            </a:graphic>
          </wp:inline>
        </w:drawing>
      </w:r>
      <w:r>
        <w:t>.</w:t>
      </w:r>
    </w:p>
    <w:p w:rsidR="00E35632" w:rsidRDefault="00E35632">
      <w:pPr>
        <w:pStyle w:val="ConsPlusNormal"/>
        <w:jc w:val="both"/>
      </w:pPr>
    </w:p>
    <w:p w:rsidR="00E35632" w:rsidRDefault="00E35632">
      <w:pPr>
        <w:pStyle w:val="ConsPlusNormal"/>
        <w:jc w:val="center"/>
      </w:pPr>
      <w:r>
        <w:rPr>
          <w:noProof/>
          <w:position w:val="-200"/>
        </w:rPr>
        <w:drawing>
          <wp:inline distT="0" distB="0" distL="0" distR="0">
            <wp:extent cx="5622290" cy="2684780"/>
            <wp:effectExtent l="0" t="0" r="0" b="0"/>
            <wp:docPr id="2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5622290" cy="268478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r>
        <w:rPr>
          <w:i/>
        </w:rPr>
        <w:t>а</w:t>
      </w:r>
      <w:r>
        <w:t xml:space="preserve"> - просадка от собственного веса </w:t>
      </w:r>
      <w:r>
        <w:rPr>
          <w:i/>
        </w:rPr>
        <w:t>s</w:t>
      </w:r>
      <w:r>
        <w:rPr>
          <w:i/>
          <w:vertAlign w:val="subscript"/>
        </w:rPr>
        <w:t>sl,g</w:t>
      </w:r>
      <w:r>
        <w:t xml:space="preserve"> отсутствует</w:t>
      </w:r>
    </w:p>
    <w:p w:rsidR="00E35632" w:rsidRDefault="00E35632">
      <w:pPr>
        <w:pStyle w:val="ConsPlusNormal"/>
        <w:jc w:val="center"/>
      </w:pPr>
      <w:r>
        <w:t>(не превышает 5 см), возможна только просадка от внешней</w:t>
      </w:r>
    </w:p>
    <w:p w:rsidR="00E35632" w:rsidRDefault="00E35632">
      <w:pPr>
        <w:pStyle w:val="ConsPlusNormal"/>
        <w:jc w:val="center"/>
      </w:pPr>
      <w:r>
        <w:t xml:space="preserve">нагрузки </w:t>
      </w:r>
      <w:r>
        <w:rPr>
          <w:i/>
        </w:rPr>
        <w:t>s</w:t>
      </w:r>
      <w:r>
        <w:rPr>
          <w:i/>
          <w:vertAlign w:val="subscript"/>
        </w:rPr>
        <w:t>sl,p</w:t>
      </w:r>
      <w:r>
        <w:t xml:space="preserve"> в верхней зоне просадки </w:t>
      </w:r>
      <w:r>
        <w:rPr>
          <w:i/>
        </w:rPr>
        <w:t>h</w:t>
      </w:r>
      <w:r>
        <w:rPr>
          <w:i/>
          <w:vertAlign w:val="subscript"/>
        </w:rPr>
        <w:t>sl,p</w:t>
      </w:r>
      <w:r>
        <w:t xml:space="preserve"> (I тип</w:t>
      </w:r>
    </w:p>
    <w:p w:rsidR="00E35632" w:rsidRDefault="00E35632">
      <w:pPr>
        <w:pStyle w:val="ConsPlusNormal"/>
        <w:jc w:val="center"/>
      </w:pPr>
      <w:r>
        <w:t xml:space="preserve">грунтовых условий); </w:t>
      </w:r>
      <w:r>
        <w:rPr>
          <w:i/>
        </w:rPr>
        <w:t>б</w:t>
      </w:r>
      <w:r>
        <w:t xml:space="preserve">, </w:t>
      </w:r>
      <w:r>
        <w:rPr>
          <w:i/>
        </w:rPr>
        <w:t>в</w:t>
      </w:r>
      <w:r>
        <w:t xml:space="preserve">, </w:t>
      </w:r>
      <w:r>
        <w:rPr>
          <w:i/>
        </w:rPr>
        <w:t>г</w:t>
      </w:r>
      <w:r>
        <w:t xml:space="preserve"> - возможна просадка</w:t>
      </w:r>
    </w:p>
    <w:p w:rsidR="00E35632" w:rsidRDefault="00E35632">
      <w:pPr>
        <w:pStyle w:val="ConsPlusNormal"/>
        <w:jc w:val="center"/>
      </w:pPr>
      <w:r>
        <w:t xml:space="preserve">от собственного веса </w:t>
      </w:r>
      <w:r>
        <w:rPr>
          <w:i/>
        </w:rPr>
        <w:t>s</w:t>
      </w:r>
      <w:r>
        <w:rPr>
          <w:i/>
          <w:vertAlign w:val="subscript"/>
        </w:rPr>
        <w:t>sl,g</w:t>
      </w:r>
      <w:r>
        <w:t xml:space="preserve"> в нижней зоне просадки </w:t>
      </w:r>
      <w:r>
        <w:rPr>
          <w:i/>
        </w:rPr>
        <w:t>h</w:t>
      </w:r>
      <w:r>
        <w:rPr>
          <w:i/>
          <w:vertAlign w:val="subscript"/>
        </w:rPr>
        <w:t>sl,g</w:t>
      </w:r>
      <w:r>
        <w:t>,</w:t>
      </w:r>
    </w:p>
    <w:p w:rsidR="00E35632" w:rsidRDefault="00E35632">
      <w:pPr>
        <w:pStyle w:val="ConsPlusNormal"/>
        <w:jc w:val="center"/>
      </w:pPr>
      <w:r>
        <w:t xml:space="preserve">начиная с глубины </w:t>
      </w:r>
      <w:r>
        <w:rPr>
          <w:i/>
        </w:rPr>
        <w:t>z</w:t>
      </w:r>
      <w:r>
        <w:rPr>
          <w:i/>
          <w:vertAlign w:val="subscript"/>
        </w:rPr>
        <w:t>g</w:t>
      </w:r>
      <w:r>
        <w:t xml:space="preserve"> (тип грунтовых условий II);</w:t>
      </w:r>
    </w:p>
    <w:p w:rsidR="00E35632" w:rsidRDefault="00E35632">
      <w:pPr>
        <w:pStyle w:val="ConsPlusNormal"/>
        <w:jc w:val="center"/>
      </w:pPr>
      <w:r>
        <w:rPr>
          <w:i/>
        </w:rPr>
        <w:t>б</w:t>
      </w:r>
      <w:r>
        <w:t xml:space="preserve"> - верхняя и нижняя зоны не сливаются, имеется нейтральная</w:t>
      </w:r>
    </w:p>
    <w:p w:rsidR="00E35632" w:rsidRDefault="00E35632">
      <w:pPr>
        <w:pStyle w:val="ConsPlusNormal"/>
        <w:jc w:val="center"/>
      </w:pPr>
      <w:r>
        <w:t xml:space="preserve">зона </w:t>
      </w:r>
      <w:r>
        <w:rPr>
          <w:i/>
        </w:rPr>
        <w:t>h</w:t>
      </w:r>
      <w:r>
        <w:rPr>
          <w:i/>
          <w:vertAlign w:val="subscript"/>
        </w:rPr>
        <w:t>n</w:t>
      </w:r>
      <w:r>
        <w:t xml:space="preserve">; </w:t>
      </w:r>
      <w:r>
        <w:rPr>
          <w:i/>
        </w:rPr>
        <w:t>в</w:t>
      </w:r>
      <w:r>
        <w:t xml:space="preserve"> - верхняя и нижняя зоны просадки сливаются;</w:t>
      </w:r>
    </w:p>
    <w:p w:rsidR="00E35632" w:rsidRDefault="00E35632">
      <w:pPr>
        <w:pStyle w:val="ConsPlusNormal"/>
        <w:jc w:val="center"/>
      </w:pPr>
      <w:r>
        <w:rPr>
          <w:i/>
        </w:rPr>
        <w:t>г</w:t>
      </w:r>
      <w:r>
        <w:t xml:space="preserve"> - просадка от внешней нагрузки отсутствует</w:t>
      </w:r>
    </w:p>
    <w:p w:rsidR="00E35632" w:rsidRDefault="00E35632">
      <w:pPr>
        <w:pStyle w:val="ConsPlusNormal"/>
        <w:jc w:val="both"/>
      </w:pPr>
    </w:p>
    <w:p w:rsidR="00E35632" w:rsidRDefault="00E35632">
      <w:pPr>
        <w:pStyle w:val="ConsPlusNormal"/>
        <w:jc w:val="center"/>
      </w:pPr>
      <w:bookmarkStart w:id="117" w:name="P2361"/>
      <w:bookmarkEnd w:id="117"/>
      <w:r>
        <w:rPr>
          <w:b/>
          <w:i/>
        </w:rPr>
        <w:t>Рисунок 6.1</w:t>
      </w:r>
      <w:r>
        <w:t xml:space="preserve"> </w:t>
      </w:r>
      <w:r>
        <w:rPr>
          <w:b/>
        </w:rPr>
        <w:t>- Схемы к расчету просадок</w:t>
      </w:r>
    </w:p>
    <w:p w:rsidR="00E35632" w:rsidRDefault="00E35632">
      <w:pPr>
        <w:pStyle w:val="ConsPlusNormal"/>
        <w:jc w:val="center"/>
      </w:pPr>
      <w:r>
        <w:rPr>
          <w:b/>
        </w:rPr>
        <w:lastRenderedPageBreak/>
        <w:t>грунта в основании фундамента</w:t>
      </w:r>
    </w:p>
    <w:p w:rsidR="00E35632" w:rsidRDefault="00E35632">
      <w:pPr>
        <w:pStyle w:val="ConsPlusNormal"/>
        <w:jc w:val="both"/>
      </w:pPr>
    </w:p>
    <w:p w:rsidR="00E35632" w:rsidRDefault="00E35632">
      <w:pPr>
        <w:pStyle w:val="ConsPlusNormal"/>
        <w:ind w:firstLine="540"/>
        <w:jc w:val="both"/>
      </w:pPr>
      <w:bookmarkStart w:id="118" w:name="P2364"/>
      <w:bookmarkEnd w:id="118"/>
      <w:r>
        <w:t xml:space="preserve">6.1.6 Просадки грунтов оснований от собственного веса характеризуются </w:t>
      </w:r>
      <w:hyperlink w:anchor="P2388">
        <w:r>
          <w:rPr>
            <w:color w:val="0000FF"/>
          </w:rPr>
          <w:t>(рисунок 6.2)</w:t>
        </w:r>
      </w:hyperlink>
      <w:r>
        <w:t>:</w:t>
      </w:r>
    </w:p>
    <w:p w:rsidR="00E35632" w:rsidRDefault="00E35632">
      <w:pPr>
        <w:pStyle w:val="ConsPlusNormal"/>
        <w:spacing w:before="220"/>
        <w:ind w:firstLine="540"/>
        <w:jc w:val="both"/>
      </w:pPr>
      <w:r>
        <w:t xml:space="preserve">- максимальной, средней просадкой (см. </w:t>
      </w:r>
      <w:hyperlink w:anchor="P2414">
        <w:r>
          <w:rPr>
            <w:color w:val="0000FF"/>
          </w:rPr>
          <w:t>6.1.12</w:t>
        </w:r>
      </w:hyperlink>
      <w:r>
        <w:t>);</w:t>
      </w:r>
    </w:p>
    <w:p w:rsidR="00E35632" w:rsidRDefault="00E35632">
      <w:pPr>
        <w:pStyle w:val="ConsPlusNormal"/>
        <w:spacing w:before="220"/>
        <w:ind w:firstLine="540"/>
        <w:jc w:val="both"/>
      </w:pPr>
      <w:r>
        <w:t xml:space="preserve">- относительной разностью просадок </w:t>
      </w:r>
      <w:r>
        <w:rPr>
          <w:noProof/>
          <w:position w:val="-8"/>
        </w:rPr>
        <w:drawing>
          <wp:inline distT="0" distB="0" distL="0" distR="0">
            <wp:extent cx="521970" cy="251460"/>
            <wp:effectExtent l="0" t="0" r="0" b="0"/>
            <wp:docPr id="2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521970" cy="251460"/>
                    </a:xfrm>
                    <a:prstGeom prst="rect">
                      <a:avLst/>
                    </a:prstGeom>
                    <a:noFill/>
                    <a:ln>
                      <a:noFill/>
                    </a:ln>
                  </pic:spPr>
                </pic:pic>
              </a:graphicData>
            </a:graphic>
          </wp:inline>
        </w:drawing>
      </w:r>
      <w:r>
        <w:t xml:space="preserve"> (</w:t>
      </w:r>
      <w:r>
        <w:rPr>
          <w:i/>
        </w:rPr>
        <w:t>L</w:t>
      </w:r>
      <w:r>
        <w:t xml:space="preserve"> - расстояние между точками по длине участка или между фундаментами);</w:t>
      </w:r>
    </w:p>
    <w:p w:rsidR="00E35632" w:rsidRDefault="00E35632">
      <w:pPr>
        <w:pStyle w:val="ConsPlusNormal"/>
        <w:spacing w:before="220"/>
        <w:ind w:firstLine="540"/>
        <w:jc w:val="both"/>
      </w:pPr>
      <w:r>
        <w:t xml:space="preserve">- наклоном поверхности основания или креном фундаментов (сооружения) </w:t>
      </w:r>
      <w:r>
        <w:rPr>
          <w:i/>
        </w:rPr>
        <w:t>i</w:t>
      </w:r>
      <w:r>
        <w:t>;</w:t>
      </w:r>
    </w:p>
    <w:p w:rsidR="00E35632" w:rsidRDefault="00E35632">
      <w:pPr>
        <w:pStyle w:val="ConsPlusNormal"/>
        <w:spacing w:before="220"/>
        <w:ind w:firstLine="540"/>
        <w:jc w:val="both"/>
      </w:pPr>
      <w:r>
        <w:t xml:space="preserve">- кривизной изгибаемого участка основания и сооружения или выгибом основания </w:t>
      </w:r>
      <w:r>
        <w:rPr>
          <w:i/>
        </w:rPr>
        <w:t>f/L</w:t>
      </w:r>
      <w:r>
        <w:t xml:space="preserve"> (</w:t>
      </w:r>
      <w:r>
        <w:rPr>
          <w:i/>
        </w:rPr>
        <w:t>f</w:t>
      </w:r>
      <w:r>
        <w:t xml:space="preserve"> - прогиб, </w:t>
      </w:r>
      <w:r>
        <w:rPr>
          <w:i/>
        </w:rPr>
        <w:t>L</w:t>
      </w:r>
      <w:r>
        <w:t xml:space="preserve"> - длина однозначного изгибаемого участка основания или сооружения).</w:t>
      </w:r>
    </w:p>
    <w:p w:rsidR="00E35632" w:rsidRDefault="00E35632">
      <w:pPr>
        <w:pStyle w:val="ConsPlusNormal"/>
        <w:jc w:val="both"/>
      </w:pPr>
    </w:p>
    <w:p w:rsidR="00E35632" w:rsidRDefault="00E35632">
      <w:pPr>
        <w:pStyle w:val="ConsPlusNormal"/>
        <w:jc w:val="center"/>
      </w:pPr>
      <w:r>
        <w:rPr>
          <w:noProof/>
          <w:position w:val="-349"/>
        </w:rPr>
        <w:drawing>
          <wp:inline distT="0" distB="0" distL="0" distR="0">
            <wp:extent cx="5525135" cy="4573270"/>
            <wp:effectExtent l="0" t="0" r="0" b="0"/>
            <wp:docPr id="2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5525135" cy="457327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r>
        <w:rPr>
          <w:i/>
        </w:rPr>
        <w:t>А</w:t>
      </w:r>
      <w:r>
        <w:t xml:space="preserve"> - линейный источник замачивания; </w:t>
      </w:r>
      <w:r>
        <w:rPr>
          <w:i/>
        </w:rPr>
        <w:t>Б</w:t>
      </w:r>
      <w:r>
        <w:t xml:space="preserve"> - площадной источник</w:t>
      </w:r>
    </w:p>
    <w:p w:rsidR="00E35632" w:rsidRDefault="00E35632">
      <w:pPr>
        <w:pStyle w:val="ConsPlusNormal"/>
        <w:jc w:val="center"/>
      </w:pPr>
      <w:r>
        <w:t xml:space="preserve">замачивания; </w:t>
      </w:r>
      <w:r>
        <w:rPr>
          <w:i/>
        </w:rPr>
        <w:t>а</w:t>
      </w:r>
      <w:r>
        <w:t xml:space="preserve"> - поперечный разрез зоны увлажнения;</w:t>
      </w:r>
    </w:p>
    <w:p w:rsidR="00E35632" w:rsidRDefault="00E35632">
      <w:pPr>
        <w:pStyle w:val="ConsPlusNormal"/>
        <w:jc w:val="center"/>
      </w:pPr>
      <w:r>
        <w:rPr>
          <w:i/>
        </w:rPr>
        <w:t>б</w:t>
      </w:r>
      <w:r>
        <w:t xml:space="preserve"> - кривая просадки поверхности грунта; </w:t>
      </w:r>
      <w:r>
        <w:rPr>
          <w:i/>
        </w:rPr>
        <w:t>в</w:t>
      </w:r>
      <w:r>
        <w:t xml:space="preserve"> - кривые наклонов</w:t>
      </w:r>
    </w:p>
    <w:p w:rsidR="00E35632" w:rsidRDefault="00E35632">
      <w:pPr>
        <w:pStyle w:val="ConsPlusNormal"/>
        <w:jc w:val="center"/>
      </w:pPr>
      <w:r>
        <w:t>(</w:t>
      </w:r>
      <w:r>
        <w:rPr>
          <w:i/>
        </w:rPr>
        <w:t>4</w:t>
      </w:r>
      <w:r>
        <w:t>) и кривизны (</w:t>
      </w:r>
      <w:r>
        <w:rPr>
          <w:i/>
        </w:rPr>
        <w:t>5</w:t>
      </w:r>
      <w:r>
        <w:t xml:space="preserve">) поверхности; </w:t>
      </w:r>
      <w:r>
        <w:rPr>
          <w:i/>
        </w:rPr>
        <w:t>г</w:t>
      </w:r>
      <w:r>
        <w:t xml:space="preserve"> - кривые горизонтальных</w:t>
      </w:r>
    </w:p>
    <w:p w:rsidR="00E35632" w:rsidRDefault="00E35632">
      <w:pPr>
        <w:pStyle w:val="ConsPlusNormal"/>
        <w:jc w:val="center"/>
      </w:pPr>
      <w:r>
        <w:t xml:space="preserve">перемещений поверхности грунта; </w:t>
      </w:r>
      <w:r>
        <w:rPr>
          <w:i/>
        </w:rPr>
        <w:t>1</w:t>
      </w:r>
      <w:r>
        <w:t xml:space="preserve"> - положение земной</w:t>
      </w:r>
    </w:p>
    <w:p w:rsidR="00E35632" w:rsidRDefault="00E35632">
      <w:pPr>
        <w:pStyle w:val="ConsPlusNormal"/>
        <w:jc w:val="center"/>
      </w:pPr>
      <w:r>
        <w:t xml:space="preserve">поверхности; </w:t>
      </w:r>
      <w:r>
        <w:rPr>
          <w:i/>
        </w:rPr>
        <w:t>2</w:t>
      </w:r>
      <w:r>
        <w:t xml:space="preserve"> - площадь-источник замачивания; </w:t>
      </w:r>
      <w:r>
        <w:rPr>
          <w:i/>
        </w:rPr>
        <w:t>3</w:t>
      </w:r>
      <w:r>
        <w:t xml:space="preserve"> - нижняя</w:t>
      </w:r>
    </w:p>
    <w:p w:rsidR="00E35632" w:rsidRDefault="00E35632">
      <w:pPr>
        <w:pStyle w:val="ConsPlusNormal"/>
        <w:jc w:val="center"/>
      </w:pPr>
      <w:r>
        <w:t xml:space="preserve">граница растекания воды; </w:t>
      </w:r>
      <w:r>
        <w:rPr>
          <w:i/>
        </w:rPr>
        <w:t>B</w:t>
      </w:r>
      <w:r>
        <w:rPr>
          <w:i/>
          <w:vertAlign w:val="subscript"/>
        </w:rPr>
        <w:t>w</w:t>
      </w:r>
      <w:r>
        <w:t xml:space="preserve"> - ширина замачиваемой площади;</w:t>
      </w:r>
    </w:p>
    <w:p w:rsidR="00E35632" w:rsidRDefault="00E35632">
      <w:pPr>
        <w:pStyle w:val="ConsPlusNormal"/>
        <w:jc w:val="center"/>
      </w:pPr>
      <w:r>
        <w:rPr>
          <w:i/>
        </w:rPr>
        <w:t>b</w:t>
      </w:r>
      <w:r>
        <w:rPr>
          <w:i/>
          <w:vertAlign w:val="subscript"/>
        </w:rPr>
        <w:t>w</w:t>
      </w:r>
      <w:r>
        <w:t xml:space="preserve"> - ширина горизонтального участка просадки; </w:t>
      </w:r>
      <w:r>
        <w:rPr>
          <w:noProof/>
          <w:position w:val="-6"/>
        </w:rPr>
        <w:drawing>
          <wp:inline distT="0" distB="0" distL="0" distR="0">
            <wp:extent cx="167640" cy="226060"/>
            <wp:effectExtent l="0" t="0" r="0" b="0"/>
            <wp:docPr id="2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67640" cy="226060"/>
                    </a:xfrm>
                    <a:prstGeom prst="rect">
                      <a:avLst/>
                    </a:prstGeom>
                    <a:noFill/>
                    <a:ln>
                      <a:noFill/>
                    </a:ln>
                  </pic:spPr>
                </pic:pic>
              </a:graphicData>
            </a:graphic>
          </wp:inline>
        </w:drawing>
      </w:r>
      <w:r>
        <w:t xml:space="preserve"> - угол</w:t>
      </w:r>
    </w:p>
    <w:p w:rsidR="00E35632" w:rsidRDefault="00E35632">
      <w:pPr>
        <w:pStyle w:val="ConsPlusNormal"/>
        <w:jc w:val="center"/>
      </w:pPr>
      <w:r>
        <w:t xml:space="preserve">растекания воды в стороны; </w:t>
      </w:r>
      <w:r>
        <w:rPr>
          <w:i/>
        </w:rPr>
        <w:t>H</w:t>
      </w:r>
      <w:r>
        <w:rPr>
          <w:i/>
          <w:vertAlign w:val="subscript"/>
        </w:rPr>
        <w:t>sl</w:t>
      </w:r>
      <w:r>
        <w:t xml:space="preserve"> - просадочная толщина;</w:t>
      </w:r>
    </w:p>
    <w:p w:rsidR="00E35632" w:rsidRDefault="00E35632">
      <w:pPr>
        <w:pStyle w:val="ConsPlusNormal"/>
        <w:jc w:val="center"/>
      </w:pPr>
      <w:r>
        <w:rPr>
          <w:i/>
        </w:rPr>
        <w:t>r</w:t>
      </w:r>
      <w:r>
        <w:t xml:space="preserve"> - расчетная длина криволинейного участка просадки</w:t>
      </w:r>
    </w:p>
    <w:p w:rsidR="00E35632" w:rsidRDefault="00E35632">
      <w:pPr>
        <w:pStyle w:val="ConsPlusNormal"/>
        <w:jc w:val="center"/>
      </w:pPr>
      <w:r>
        <w:t xml:space="preserve">от собственного веса грунта; </w:t>
      </w:r>
      <w:r>
        <w:rPr>
          <w:i/>
        </w:rPr>
        <w:t>l</w:t>
      </w:r>
      <w:r>
        <w:rPr>
          <w:i/>
          <w:vertAlign w:val="subscript"/>
        </w:rPr>
        <w:t>w</w:t>
      </w:r>
      <w:r>
        <w:t xml:space="preserve"> - ширина зоны растекания</w:t>
      </w:r>
    </w:p>
    <w:p w:rsidR="00E35632" w:rsidRDefault="00E35632">
      <w:pPr>
        <w:pStyle w:val="ConsPlusNormal"/>
        <w:jc w:val="center"/>
      </w:pPr>
      <w:r>
        <w:t xml:space="preserve">воды; </w:t>
      </w:r>
      <w:r>
        <w:rPr>
          <w:i/>
        </w:rPr>
        <w:t>u</w:t>
      </w:r>
      <w:r>
        <w:rPr>
          <w:i/>
          <w:vertAlign w:val="subscript"/>
        </w:rPr>
        <w:t>sl</w:t>
      </w:r>
      <w:r>
        <w:t xml:space="preserve"> - горизонтальные перемещения земной поверхности;</w:t>
      </w:r>
    </w:p>
    <w:p w:rsidR="00E35632" w:rsidRDefault="00E35632">
      <w:pPr>
        <w:pStyle w:val="ConsPlusNormal"/>
        <w:jc w:val="center"/>
      </w:pPr>
      <w:r>
        <w:rPr>
          <w:i/>
        </w:rPr>
        <w:lastRenderedPageBreak/>
        <w:t>I</w:t>
      </w:r>
      <w:r>
        <w:t xml:space="preserve"> и </w:t>
      </w:r>
      <w:r>
        <w:rPr>
          <w:i/>
        </w:rPr>
        <w:t>II</w:t>
      </w:r>
      <w:r>
        <w:t xml:space="preserve"> - зоны соответственно разуплотнения и уплотнения</w:t>
      </w:r>
    </w:p>
    <w:p w:rsidR="00E35632" w:rsidRDefault="00E35632">
      <w:pPr>
        <w:pStyle w:val="ConsPlusNormal"/>
        <w:jc w:val="center"/>
      </w:pPr>
      <w:r>
        <w:t xml:space="preserve">грунта; </w:t>
      </w:r>
      <w:r>
        <w:rPr>
          <w:i/>
        </w:rPr>
        <w:t>r</w:t>
      </w:r>
      <w:r>
        <w:rPr>
          <w:vertAlign w:val="subscript"/>
        </w:rPr>
        <w:t>0</w:t>
      </w:r>
      <w:r>
        <w:t xml:space="preserve"> - ширина зон соответственно</w:t>
      </w:r>
    </w:p>
    <w:p w:rsidR="00E35632" w:rsidRDefault="00E35632">
      <w:pPr>
        <w:pStyle w:val="ConsPlusNormal"/>
        <w:jc w:val="center"/>
      </w:pPr>
      <w:r>
        <w:t>уплотнения и разуплотнения грунта</w:t>
      </w:r>
    </w:p>
    <w:p w:rsidR="00E35632" w:rsidRDefault="00E35632">
      <w:pPr>
        <w:pStyle w:val="ConsPlusNormal"/>
        <w:jc w:val="both"/>
      </w:pPr>
    </w:p>
    <w:p w:rsidR="00E35632" w:rsidRDefault="00E35632">
      <w:pPr>
        <w:pStyle w:val="ConsPlusNormal"/>
        <w:jc w:val="center"/>
      </w:pPr>
      <w:bookmarkStart w:id="119" w:name="P2388"/>
      <w:bookmarkEnd w:id="119"/>
      <w:r>
        <w:rPr>
          <w:b/>
          <w:i/>
        </w:rPr>
        <w:t>Рисунок 6.2</w:t>
      </w:r>
      <w:r>
        <w:t xml:space="preserve"> </w:t>
      </w:r>
      <w:r>
        <w:rPr>
          <w:b/>
        </w:rPr>
        <w:t>- Общий характер развития просадочных</w:t>
      </w:r>
    </w:p>
    <w:p w:rsidR="00E35632" w:rsidRDefault="00E35632">
      <w:pPr>
        <w:pStyle w:val="ConsPlusNormal"/>
        <w:jc w:val="center"/>
      </w:pPr>
      <w:r>
        <w:rPr>
          <w:b/>
        </w:rPr>
        <w:t>деформаций на поверхности от собственного веса грунта</w:t>
      </w:r>
    </w:p>
    <w:p w:rsidR="00E35632" w:rsidRDefault="00E35632">
      <w:pPr>
        <w:pStyle w:val="ConsPlusNormal"/>
        <w:jc w:val="both"/>
      </w:pPr>
    </w:p>
    <w:p w:rsidR="00E35632" w:rsidRDefault="00E35632">
      <w:pPr>
        <w:pStyle w:val="ConsPlusNormal"/>
        <w:ind w:firstLine="540"/>
        <w:jc w:val="both"/>
      </w:pPr>
      <w:r>
        <w:t>6.1.7 Горизонтальные перемещения проявляются в пределах верхней части просадочной толщи на глубину 0,5</w:t>
      </w:r>
      <w:r>
        <w:rPr>
          <w:i/>
        </w:rPr>
        <w:t>H</w:t>
      </w:r>
      <w:r>
        <w:rPr>
          <w:i/>
          <w:vertAlign w:val="subscript"/>
        </w:rPr>
        <w:t>sl</w:t>
      </w:r>
      <w:r>
        <w:t xml:space="preserve"> и характеризуются развитием двух зон:</w:t>
      </w:r>
    </w:p>
    <w:p w:rsidR="00E35632" w:rsidRDefault="00E35632">
      <w:pPr>
        <w:pStyle w:val="ConsPlusNormal"/>
        <w:spacing w:before="220"/>
        <w:ind w:firstLine="540"/>
        <w:jc w:val="both"/>
      </w:pPr>
      <w:r>
        <w:t>I - зона горизонтального разуплотнения (растяжения) грунта с возникновением в нем клинообразных просадочных трещин, располагающейся на периферийных частях участков неравномерной просадки грунтов от собственного веса, в пределах которой горизонтальные перемещения направлены в стороны от источников залегания;</w:t>
      </w:r>
    </w:p>
    <w:p w:rsidR="00E35632" w:rsidRDefault="00E35632">
      <w:pPr>
        <w:pStyle w:val="ConsPlusNormal"/>
        <w:spacing w:before="220"/>
        <w:ind w:firstLine="540"/>
        <w:jc w:val="both"/>
      </w:pPr>
      <w:r>
        <w:t>II - зона горизонтального уплотнения (сжатия) грунта возникает вблизи и под источником замачивания, в которой горизонтальные перемещения направлены также в сторону источника замачивания.</w:t>
      </w:r>
    </w:p>
    <w:p w:rsidR="00E35632" w:rsidRDefault="00E35632">
      <w:pPr>
        <w:pStyle w:val="ConsPlusNormal"/>
        <w:spacing w:before="220"/>
        <w:ind w:firstLine="540"/>
        <w:jc w:val="both"/>
      </w:pPr>
      <w:bookmarkStart w:id="120" w:name="P2394"/>
      <w:bookmarkEnd w:id="120"/>
      <w:r>
        <w:t xml:space="preserve">6.1.8 При определении просадок грунтов </w:t>
      </w:r>
      <w:r>
        <w:rPr>
          <w:i/>
        </w:rPr>
        <w:t>s</w:t>
      </w:r>
      <w:r>
        <w:rPr>
          <w:i/>
          <w:vertAlign w:val="subscript"/>
        </w:rPr>
        <w:t>sl,g</w:t>
      </w:r>
      <w:r>
        <w:t xml:space="preserve"> и </w:t>
      </w:r>
      <w:r>
        <w:rPr>
          <w:i/>
        </w:rPr>
        <w:t>s</w:t>
      </w:r>
      <w:r>
        <w:rPr>
          <w:i/>
          <w:vertAlign w:val="subscript"/>
        </w:rPr>
        <w:t>sl,p</w:t>
      </w:r>
      <w:r>
        <w:t xml:space="preserve"> и их неравномерности следует учитывать:</w:t>
      </w:r>
    </w:p>
    <w:p w:rsidR="00E35632" w:rsidRDefault="00E35632">
      <w:pPr>
        <w:pStyle w:val="ConsPlusNormal"/>
        <w:spacing w:before="220"/>
        <w:ind w:firstLine="540"/>
        <w:jc w:val="both"/>
      </w:pPr>
      <w:r>
        <w:t xml:space="preserve">- характер планировки территории (наличие выемок и срезки или насыпей и подсыпок, которые оказывают влияние на напряженное состояние грунтов основания, величину просадочной толщи </w:t>
      </w:r>
      <w:r>
        <w:rPr>
          <w:i/>
        </w:rPr>
        <w:t>h</w:t>
      </w:r>
      <w:r>
        <w:rPr>
          <w:i/>
          <w:vertAlign w:val="subscript"/>
        </w:rPr>
        <w:t>sl</w:t>
      </w:r>
      <w:r>
        <w:t>, а также на характер и величину просадок);</w:t>
      </w:r>
    </w:p>
    <w:p w:rsidR="00E35632" w:rsidRDefault="00E35632">
      <w:pPr>
        <w:pStyle w:val="ConsPlusNormal"/>
        <w:spacing w:before="220"/>
        <w:ind w:firstLine="540"/>
        <w:jc w:val="both"/>
      </w:pPr>
      <w:r>
        <w:t>- возможные виды, размеры и места расположения источников замачивания грунтов; конструктивные особенности сооружения, в частности наличие тоннелей, подвалов под частью сооружения и т.п.;</w:t>
      </w:r>
    </w:p>
    <w:p w:rsidR="00E35632" w:rsidRDefault="00E35632">
      <w:pPr>
        <w:pStyle w:val="ConsPlusNormal"/>
        <w:spacing w:before="220"/>
        <w:ind w:firstLine="540"/>
        <w:jc w:val="both"/>
      </w:pPr>
      <w:r>
        <w:t>- дополнительные нагрузки на глубокие фундаменты, уплотненные и закрепленные массивы от сил негативного трения, возникающих при просадках грунтов от собственного веса.</w:t>
      </w:r>
    </w:p>
    <w:p w:rsidR="00E35632" w:rsidRDefault="00E35632">
      <w:pPr>
        <w:pStyle w:val="ConsPlusNormal"/>
        <w:spacing w:before="220"/>
        <w:ind w:firstLine="540"/>
        <w:jc w:val="both"/>
      </w:pPr>
      <w:r>
        <w:t xml:space="preserve">При замачивании сверху больших площадей (ширина замачиваемой площади </w:t>
      </w:r>
      <w:r>
        <w:rPr>
          <w:i/>
        </w:rPr>
        <w:t>B</w:t>
      </w:r>
      <w:r>
        <w:rPr>
          <w:i/>
          <w:vertAlign w:val="subscript"/>
        </w:rPr>
        <w:t>w</w:t>
      </w:r>
      <w:r>
        <w:t xml:space="preserve"> равна или превышает просадочную толщу </w:t>
      </w:r>
      <w:r>
        <w:rPr>
          <w:i/>
        </w:rPr>
        <w:t>H</w:t>
      </w:r>
      <w:r>
        <w:rPr>
          <w:i/>
          <w:vertAlign w:val="subscript"/>
        </w:rPr>
        <w:t>sl</w:t>
      </w:r>
      <w:r>
        <w:t xml:space="preserve">) и замачивании снизу за счет подъема уровня подземных вод полностью проявляется просадка от собственного веса </w:t>
      </w:r>
      <w:r>
        <w:rPr>
          <w:i/>
        </w:rPr>
        <w:t>s</w:t>
      </w:r>
      <w:r>
        <w:rPr>
          <w:i/>
          <w:vertAlign w:val="subscript"/>
        </w:rPr>
        <w:t>sl,g</w:t>
      </w:r>
      <w:r>
        <w:t xml:space="preserve"> </w:t>
      </w:r>
      <w:hyperlink w:anchor="P2435">
        <w:r>
          <w:rPr>
            <w:color w:val="0000FF"/>
          </w:rPr>
          <w:t>(6.1.16)</w:t>
        </w:r>
      </w:hyperlink>
      <w:r>
        <w:t>, а при замачивании сверху малых площадей (</w:t>
      </w:r>
      <w:r>
        <w:rPr>
          <w:i/>
        </w:rPr>
        <w:t>B</w:t>
      </w:r>
      <w:r>
        <w:rPr>
          <w:i/>
          <w:vertAlign w:val="subscript"/>
        </w:rPr>
        <w:t>w</w:t>
      </w:r>
      <w:r>
        <w:t xml:space="preserve"> &lt; </w:t>
      </w:r>
      <w:r>
        <w:rPr>
          <w:i/>
        </w:rPr>
        <w:t>H</w:t>
      </w:r>
      <w:r>
        <w:rPr>
          <w:i/>
          <w:vertAlign w:val="subscript"/>
        </w:rPr>
        <w:t>sl</w:t>
      </w:r>
      <w:r>
        <w:t xml:space="preserve">) проявляется только ее часть </w:t>
      </w:r>
      <w:r>
        <w:rPr>
          <w:i/>
        </w:rPr>
        <w:t>s'</w:t>
      </w:r>
      <w:r>
        <w:rPr>
          <w:i/>
          <w:vertAlign w:val="subscript"/>
        </w:rPr>
        <w:t>sl,g</w:t>
      </w:r>
      <w:r>
        <w:t xml:space="preserve"> </w:t>
      </w:r>
      <w:hyperlink w:anchor="P2469">
        <w:r>
          <w:rPr>
            <w:color w:val="0000FF"/>
          </w:rPr>
          <w:t>(6.1.22)</w:t>
        </w:r>
      </w:hyperlink>
      <w:r>
        <w:t>.</w:t>
      </w:r>
    </w:p>
    <w:p w:rsidR="00E35632" w:rsidRDefault="00E35632">
      <w:pPr>
        <w:pStyle w:val="ConsPlusNormal"/>
        <w:spacing w:before="220"/>
        <w:ind w:firstLine="540"/>
        <w:jc w:val="both"/>
      </w:pPr>
      <w:r>
        <w:t>Примечание - При определении неравномерности просадок грунтов следует учитывать возможные наиболее неблагоприятные виды и места расположения источников замачивания по отношению к рассчитываемому фундаменту или сооружению в целом.</w:t>
      </w:r>
    </w:p>
    <w:p w:rsidR="00E35632" w:rsidRDefault="00E35632">
      <w:pPr>
        <w:pStyle w:val="ConsPlusNormal"/>
        <w:jc w:val="both"/>
      </w:pPr>
    </w:p>
    <w:p w:rsidR="00E35632" w:rsidRDefault="00E35632">
      <w:pPr>
        <w:pStyle w:val="ConsPlusNormal"/>
        <w:ind w:firstLine="540"/>
        <w:jc w:val="both"/>
      </w:pPr>
      <w:bookmarkStart w:id="121" w:name="P2401"/>
      <w:bookmarkEnd w:id="121"/>
      <w:r>
        <w:t>6.1.9 Грунтовые условия площадок, сложенных просадочными грунтами, в зависимости от возможности проявления просадки грунтов от собственного веса подразделяют на два типа:</w:t>
      </w:r>
    </w:p>
    <w:p w:rsidR="00E35632" w:rsidRDefault="00E35632">
      <w:pPr>
        <w:pStyle w:val="ConsPlusNormal"/>
        <w:spacing w:before="220"/>
        <w:ind w:firstLine="540"/>
        <w:jc w:val="both"/>
      </w:pPr>
      <w:r>
        <w:t>тип I - грунтовые условия, в которых возможна в основном просадка грунтов от внешней нагрузки, а просадка грунтов от собственного веса отсутствует или не превышает 5 см;</w:t>
      </w:r>
    </w:p>
    <w:p w:rsidR="00E35632" w:rsidRDefault="00E35632">
      <w:pPr>
        <w:pStyle w:val="ConsPlusNormal"/>
        <w:spacing w:before="220"/>
        <w:ind w:firstLine="540"/>
        <w:jc w:val="both"/>
      </w:pPr>
      <w:r>
        <w:t>тип II - грунтовые условия, в которых помимо просадки грунтов от внешней нагрузки возможна их просадка от собственного веса и ее величина превышает 5 см.</w:t>
      </w:r>
    </w:p>
    <w:p w:rsidR="00E35632" w:rsidRDefault="00E35632">
      <w:pPr>
        <w:pStyle w:val="ConsPlusNormal"/>
        <w:spacing w:before="220"/>
        <w:ind w:firstLine="540"/>
        <w:jc w:val="both"/>
      </w:pPr>
      <w:r>
        <w:t xml:space="preserve">6.1.10 При проектировании оснований и сооружений на просадочных грунтах с типом II грунтовых условий необходимо учитывать дополнительные нагрузки </w:t>
      </w:r>
      <w:r>
        <w:rPr>
          <w:i/>
        </w:rPr>
        <w:t>P</w:t>
      </w:r>
      <w:r>
        <w:rPr>
          <w:i/>
          <w:vertAlign w:val="subscript"/>
        </w:rPr>
        <w:t>n</w:t>
      </w:r>
      <w:r>
        <w:t xml:space="preserve"> от сил нагружающего (негативного) трения </w:t>
      </w:r>
      <w:r>
        <w:rPr>
          <w:i/>
        </w:rPr>
        <w:t>f</w:t>
      </w:r>
      <w:r>
        <w:rPr>
          <w:i/>
          <w:vertAlign w:val="subscript"/>
        </w:rPr>
        <w:t>n</w:t>
      </w:r>
      <w:r>
        <w:t>, возникающие при просадках грунтов от собственного веса по боковым поверхностям подземных (заглубленных) частей сооружений и отдельных фундаментов, а также глубоких фундаментов.</w:t>
      </w:r>
    </w:p>
    <w:p w:rsidR="00E35632" w:rsidRDefault="00E35632">
      <w:pPr>
        <w:pStyle w:val="ConsPlusNormal"/>
        <w:spacing w:before="220"/>
        <w:ind w:firstLine="540"/>
        <w:jc w:val="both"/>
      </w:pPr>
      <w:r>
        <w:lastRenderedPageBreak/>
        <w:t xml:space="preserve">6.1.11 Дополнительные нагрузки </w:t>
      </w:r>
      <w:r>
        <w:rPr>
          <w:i/>
        </w:rPr>
        <w:t>P</w:t>
      </w:r>
      <w:r>
        <w:rPr>
          <w:i/>
          <w:vertAlign w:val="subscript"/>
        </w:rPr>
        <w:t>n</w:t>
      </w:r>
      <w:r>
        <w:t xml:space="preserve"> от сил нагружающего трения </w:t>
      </w:r>
      <w:r>
        <w:rPr>
          <w:i/>
        </w:rPr>
        <w:t>f</w:t>
      </w:r>
      <w:r>
        <w:rPr>
          <w:i/>
          <w:vertAlign w:val="subscript"/>
        </w:rPr>
        <w:t>n</w:t>
      </w:r>
      <w:r>
        <w:t xml:space="preserve"> по боковой поверхности следует определять:</w:t>
      </w:r>
    </w:p>
    <w:p w:rsidR="00E35632" w:rsidRDefault="00E35632">
      <w:pPr>
        <w:pStyle w:val="ConsPlusNormal"/>
        <w:spacing w:before="220"/>
        <w:ind w:firstLine="540"/>
        <w:jc w:val="both"/>
      </w:pPr>
      <w:r>
        <w:t>а) для подземных частей сооружений и отдельных фундаментов мелкого заложения по формуле</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1131570" cy="251460"/>
            <wp:effectExtent l="0" t="0" r="0" b="0"/>
            <wp:docPr id="2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1131570" cy="251460"/>
                    </a:xfrm>
                    <a:prstGeom prst="rect">
                      <a:avLst/>
                    </a:prstGeom>
                    <a:noFill/>
                    <a:ln>
                      <a:noFill/>
                    </a:ln>
                  </pic:spPr>
                </pic:pic>
              </a:graphicData>
            </a:graphic>
          </wp:inline>
        </w:drawing>
      </w:r>
      <w:r>
        <w:t xml:space="preserve"> (6.1)</w:t>
      </w:r>
    </w:p>
    <w:p w:rsidR="00E35632" w:rsidRDefault="00E35632">
      <w:pPr>
        <w:pStyle w:val="ConsPlusNormal"/>
        <w:jc w:val="both"/>
      </w:pPr>
    </w:p>
    <w:p w:rsidR="00E35632" w:rsidRDefault="00E35632">
      <w:pPr>
        <w:pStyle w:val="ConsPlusNormal"/>
        <w:ind w:firstLine="540"/>
        <w:jc w:val="both"/>
      </w:pPr>
      <w:r>
        <w:t xml:space="preserve">где </w:t>
      </w:r>
      <w:r>
        <w:rPr>
          <w:noProof/>
          <w:position w:val="-8"/>
        </w:rPr>
        <w:drawing>
          <wp:inline distT="0" distB="0" distL="0" distR="0">
            <wp:extent cx="192405" cy="251460"/>
            <wp:effectExtent l="0" t="0" r="0" b="0"/>
            <wp:docPr id="2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 коэффициент условий работы боковых поверхностей с грунтом, принимаемый равным 0,6;</w:t>
      </w:r>
    </w:p>
    <w:p w:rsidR="00E35632" w:rsidRDefault="00E35632">
      <w:pPr>
        <w:pStyle w:val="ConsPlusNormal"/>
        <w:spacing w:before="220"/>
        <w:ind w:firstLine="540"/>
        <w:jc w:val="both"/>
      </w:pPr>
      <w:r>
        <w:rPr>
          <w:i/>
        </w:rPr>
        <w:t>h</w:t>
      </w:r>
      <w:r>
        <w:t xml:space="preserve"> и </w:t>
      </w:r>
      <w:r>
        <w:rPr>
          <w:i/>
        </w:rPr>
        <w:t>u</w:t>
      </w:r>
      <w:r>
        <w:t xml:space="preserve"> - соответственно высота и периметр заглубленной подземной части сооружения или фундамента, м;</w:t>
      </w:r>
    </w:p>
    <w:p w:rsidR="00E35632" w:rsidRDefault="00E35632">
      <w:pPr>
        <w:pStyle w:val="ConsPlusNormal"/>
        <w:spacing w:before="220"/>
        <w:ind w:firstLine="540"/>
        <w:jc w:val="both"/>
      </w:pPr>
      <w:r>
        <w:rPr>
          <w:i/>
        </w:rPr>
        <w:t>f</w:t>
      </w:r>
      <w:r>
        <w:rPr>
          <w:i/>
          <w:vertAlign w:val="subscript"/>
        </w:rPr>
        <w:t>n</w:t>
      </w:r>
      <w:r>
        <w:t xml:space="preserve"> - расчетное сопротивление грунта по площади боковой поверхности сооружения или фундамента, принимаемое по </w:t>
      </w:r>
      <w:hyperlink r:id="rId509">
        <w:r>
          <w:rPr>
            <w:color w:val="0000FF"/>
          </w:rPr>
          <w:t>СП 24.13330</w:t>
        </w:r>
      </w:hyperlink>
      <w:r>
        <w:t xml:space="preserve"> (со знаком минус) на глубине 0,5</w:t>
      </w:r>
      <w:r>
        <w:rPr>
          <w:i/>
        </w:rPr>
        <w:t>h.</w:t>
      </w:r>
    </w:p>
    <w:p w:rsidR="00E35632" w:rsidRDefault="00E35632">
      <w:pPr>
        <w:pStyle w:val="ConsPlusNormal"/>
        <w:spacing w:before="220"/>
        <w:ind w:firstLine="540"/>
        <w:jc w:val="both"/>
      </w:pPr>
      <w:r>
        <w:t xml:space="preserve">б) для свайных фундаментов по </w:t>
      </w:r>
      <w:hyperlink r:id="rId510">
        <w:r>
          <w:rPr>
            <w:color w:val="0000FF"/>
          </w:rPr>
          <w:t>СП 24.13330</w:t>
        </w:r>
      </w:hyperlink>
      <w:r>
        <w:t>.</w:t>
      </w:r>
    </w:p>
    <w:p w:rsidR="00E35632" w:rsidRDefault="00E35632">
      <w:pPr>
        <w:pStyle w:val="ConsPlusNormal"/>
        <w:spacing w:before="220"/>
        <w:ind w:firstLine="540"/>
        <w:jc w:val="both"/>
      </w:pPr>
      <w:bookmarkStart w:id="122" w:name="P2414"/>
      <w:bookmarkEnd w:id="122"/>
      <w:r>
        <w:t xml:space="preserve">6.1.12 Расчет деформаций оснований, сложенных просадочными грунтами, проводят в соответствии с требованиями </w:t>
      </w:r>
      <w:hyperlink w:anchor="P375">
        <w:r>
          <w:rPr>
            <w:color w:val="0000FF"/>
          </w:rPr>
          <w:t>раздела 5</w:t>
        </w:r>
      </w:hyperlink>
      <w:r>
        <w:t>.</w:t>
      </w:r>
    </w:p>
    <w:p w:rsidR="00E35632" w:rsidRDefault="00E35632">
      <w:pPr>
        <w:pStyle w:val="ConsPlusNormal"/>
        <w:spacing w:before="220"/>
        <w:ind w:firstLine="540"/>
        <w:jc w:val="both"/>
      </w:pPr>
      <w:r>
        <w:t>Деформации основания определяют суммированием по формулам:</w:t>
      </w:r>
    </w:p>
    <w:p w:rsidR="00E35632" w:rsidRDefault="00E35632">
      <w:pPr>
        <w:pStyle w:val="ConsPlusNormal"/>
        <w:jc w:val="both"/>
      </w:pPr>
    </w:p>
    <w:p w:rsidR="00E35632" w:rsidRDefault="00E35632">
      <w:pPr>
        <w:pStyle w:val="ConsPlusNormal"/>
        <w:jc w:val="center"/>
      </w:pPr>
      <w:bookmarkStart w:id="123" w:name="P2417"/>
      <w:bookmarkEnd w:id="123"/>
      <w:r>
        <w:rPr>
          <w:i/>
        </w:rPr>
        <w:t>s</w:t>
      </w:r>
      <w:r>
        <w:t xml:space="preserve"> = </w:t>
      </w:r>
      <w:r>
        <w:rPr>
          <w:i/>
        </w:rPr>
        <w:t>s</w:t>
      </w:r>
      <w:r>
        <w:rPr>
          <w:i/>
          <w:vertAlign w:val="subscript"/>
        </w:rPr>
        <w:t>p</w:t>
      </w:r>
      <w:r>
        <w:t xml:space="preserve"> + </w:t>
      </w:r>
      <w:r>
        <w:rPr>
          <w:i/>
        </w:rPr>
        <w:t>s</w:t>
      </w:r>
      <w:r>
        <w:rPr>
          <w:i/>
          <w:vertAlign w:val="subscript"/>
        </w:rPr>
        <w:t>sl,p</w:t>
      </w:r>
      <w:r>
        <w:t xml:space="preserve"> + </w:t>
      </w:r>
      <w:r>
        <w:rPr>
          <w:i/>
        </w:rPr>
        <w:t>s</w:t>
      </w:r>
      <w:r>
        <w:rPr>
          <w:i/>
          <w:vertAlign w:val="subscript"/>
        </w:rPr>
        <w:t>sl,g</w:t>
      </w:r>
      <w:r>
        <w:t xml:space="preserve"> + </w:t>
      </w:r>
      <w:r>
        <w:rPr>
          <w:i/>
        </w:rPr>
        <w:t>s</w:t>
      </w:r>
      <w:r>
        <w:rPr>
          <w:i/>
          <w:vertAlign w:val="subscript"/>
        </w:rPr>
        <w:t>ul</w:t>
      </w:r>
      <w:r>
        <w:t>, (6.2)</w:t>
      </w:r>
    </w:p>
    <w:p w:rsidR="00E35632" w:rsidRDefault="00E35632">
      <w:pPr>
        <w:pStyle w:val="ConsPlusNormal"/>
        <w:jc w:val="both"/>
      </w:pPr>
    </w:p>
    <w:p w:rsidR="00E35632" w:rsidRDefault="00E35632">
      <w:pPr>
        <w:pStyle w:val="ConsPlusNormal"/>
        <w:jc w:val="center"/>
      </w:pPr>
      <w:bookmarkStart w:id="124" w:name="P2419"/>
      <w:bookmarkEnd w:id="124"/>
      <w:r>
        <w:rPr>
          <w:noProof/>
          <w:position w:val="-10"/>
        </w:rPr>
        <w:drawing>
          <wp:inline distT="0" distB="0" distL="0" distR="0">
            <wp:extent cx="2095500" cy="267970"/>
            <wp:effectExtent l="0" t="0" r="0" b="0"/>
            <wp:docPr id="2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2095500" cy="267970"/>
                    </a:xfrm>
                    <a:prstGeom prst="rect">
                      <a:avLst/>
                    </a:prstGeom>
                    <a:noFill/>
                    <a:ln>
                      <a:noFill/>
                    </a:ln>
                  </pic:spPr>
                </pic:pic>
              </a:graphicData>
            </a:graphic>
          </wp:inline>
        </w:drawing>
      </w:r>
      <w:r>
        <w:t xml:space="preserve"> (6.3)</w:t>
      </w:r>
    </w:p>
    <w:p w:rsidR="00E35632" w:rsidRDefault="00E35632">
      <w:pPr>
        <w:pStyle w:val="ConsPlusNormal"/>
        <w:jc w:val="both"/>
      </w:pPr>
    </w:p>
    <w:p w:rsidR="00E35632" w:rsidRDefault="00E35632">
      <w:pPr>
        <w:pStyle w:val="ConsPlusNormal"/>
        <w:ind w:firstLine="540"/>
        <w:jc w:val="both"/>
      </w:pPr>
      <w:r>
        <w:t xml:space="preserve">где </w:t>
      </w:r>
      <w:r>
        <w:rPr>
          <w:i/>
        </w:rPr>
        <w:t>s</w:t>
      </w:r>
      <w:r>
        <w:rPr>
          <w:i/>
          <w:vertAlign w:val="subscript"/>
        </w:rPr>
        <w:t>p</w:t>
      </w:r>
      <w:r>
        <w:t xml:space="preserve"> и </w:t>
      </w:r>
      <w:r>
        <w:rPr>
          <w:noProof/>
          <w:position w:val="-10"/>
        </w:rPr>
        <w:drawing>
          <wp:inline distT="0" distB="0" distL="0" distR="0">
            <wp:extent cx="276860" cy="267970"/>
            <wp:effectExtent l="0" t="0" r="0" b="0"/>
            <wp:docPr id="2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276860" cy="267970"/>
                    </a:xfrm>
                    <a:prstGeom prst="rect">
                      <a:avLst/>
                    </a:prstGeom>
                    <a:noFill/>
                    <a:ln>
                      <a:noFill/>
                    </a:ln>
                  </pic:spPr>
                </pic:pic>
              </a:graphicData>
            </a:graphic>
          </wp:inline>
        </w:drawing>
      </w:r>
      <w:r>
        <w:t xml:space="preserve"> - осадки и разность осадок основания от нагрузки фундамента, определяемые без учета просадочных свойств грунтов исходя из деформационных характеристик грунтов при установившейся влажности </w:t>
      </w:r>
      <w:r>
        <w:rPr>
          <w:i/>
        </w:rPr>
        <w:t>w</w:t>
      </w:r>
      <w:r>
        <w:t xml:space="preserve">, принимаемой равной природной влажности если </w:t>
      </w:r>
      <w:r>
        <w:rPr>
          <w:i/>
        </w:rPr>
        <w:t>w</w:t>
      </w:r>
      <w:r>
        <w:t xml:space="preserve"> &gt; </w:t>
      </w:r>
      <w:r>
        <w:rPr>
          <w:i/>
        </w:rPr>
        <w:t>w</w:t>
      </w:r>
      <w:r>
        <w:rPr>
          <w:i/>
          <w:vertAlign w:val="subscript"/>
        </w:rPr>
        <w:t>p</w:t>
      </w:r>
      <w:r>
        <w:t xml:space="preserve"> и влажности на границе раскатывания (пластичности) </w:t>
      </w:r>
      <w:r>
        <w:rPr>
          <w:i/>
        </w:rPr>
        <w:t>w</w:t>
      </w:r>
      <w:r>
        <w:rPr>
          <w:i/>
          <w:vertAlign w:val="subscript"/>
        </w:rPr>
        <w:t>p</w:t>
      </w:r>
      <w:r>
        <w:t xml:space="preserve">, если </w:t>
      </w:r>
      <w:r>
        <w:rPr>
          <w:i/>
        </w:rPr>
        <w:t>w</w:t>
      </w:r>
      <w:r>
        <w:t xml:space="preserve"> &lt; </w:t>
      </w:r>
      <w:r>
        <w:rPr>
          <w:i/>
        </w:rPr>
        <w:t>w</w:t>
      </w:r>
      <w:r>
        <w:rPr>
          <w:i/>
          <w:vertAlign w:val="subscript"/>
        </w:rPr>
        <w:t>p</w:t>
      </w:r>
      <w:r>
        <w:t>;</w:t>
      </w:r>
    </w:p>
    <w:p w:rsidR="00E35632" w:rsidRDefault="00E35632">
      <w:pPr>
        <w:pStyle w:val="ConsPlusNormal"/>
        <w:spacing w:before="220"/>
        <w:ind w:firstLine="540"/>
        <w:jc w:val="both"/>
      </w:pPr>
      <w:r>
        <w:rPr>
          <w:i/>
        </w:rPr>
        <w:t>s</w:t>
      </w:r>
      <w:r>
        <w:rPr>
          <w:i/>
          <w:vertAlign w:val="subscript"/>
        </w:rPr>
        <w:t>sl,p</w:t>
      </w:r>
      <w:r>
        <w:t xml:space="preserve"> и </w:t>
      </w:r>
      <w:r>
        <w:rPr>
          <w:noProof/>
          <w:position w:val="-10"/>
        </w:rPr>
        <w:drawing>
          <wp:inline distT="0" distB="0" distL="0" distR="0">
            <wp:extent cx="402590" cy="267970"/>
            <wp:effectExtent l="0" t="0" r="0" b="0"/>
            <wp:docPr id="2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402590" cy="267970"/>
                    </a:xfrm>
                    <a:prstGeom prst="rect">
                      <a:avLst/>
                    </a:prstGeom>
                    <a:noFill/>
                    <a:ln>
                      <a:noFill/>
                    </a:ln>
                  </pic:spPr>
                </pic:pic>
              </a:graphicData>
            </a:graphic>
          </wp:inline>
        </w:drawing>
      </w:r>
      <w:r>
        <w:t xml:space="preserve"> - просадка и разность просадок основания фундаментов от его нагрузки в верхней зоне </w:t>
      </w:r>
      <w:r>
        <w:rPr>
          <w:i/>
        </w:rPr>
        <w:t>h</w:t>
      </w:r>
      <w:r>
        <w:rPr>
          <w:i/>
          <w:vertAlign w:val="subscript"/>
        </w:rPr>
        <w:t>sl,p</w:t>
      </w:r>
      <w:r>
        <w:t xml:space="preserve"> (см. </w:t>
      </w:r>
      <w:hyperlink w:anchor="P2361">
        <w:r>
          <w:rPr>
            <w:color w:val="0000FF"/>
          </w:rPr>
          <w:t>рисунок 6.1</w:t>
        </w:r>
      </w:hyperlink>
      <w:r>
        <w:t xml:space="preserve">), определяемые по </w:t>
      </w:r>
      <w:hyperlink w:anchor="P2437">
        <w:r>
          <w:rPr>
            <w:color w:val="0000FF"/>
          </w:rPr>
          <w:t>формулам (6.4)</w:t>
        </w:r>
      </w:hyperlink>
      <w:r>
        <w:t xml:space="preserve"> и </w:t>
      </w:r>
      <w:hyperlink w:anchor="P2445">
        <w:r>
          <w:rPr>
            <w:color w:val="0000FF"/>
          </w:rPr>
          <w:t>(6.5)</w:t>
        </w:r>
      </w:hyperlink>
      <w:r>
        <w:t>;</w:t>
      </w:r>
    </w:p>
    <w:p w:rsidR="00E35632" w:rsidRDefault="00E35632">
      <w:pPr>
        <w:pStyle w:val="ConsPlusNormal"/>
        <w:spacing w:before="220"/>
        <w:ind w:firstLine="540"/>
        <w:jc w:val="both"/>
      </w:pPr>
      <w:r>
        <w:rPr>
          <w:i/>
        </w:rPr>
        <w:t>s</w:t>
      </w:r>
      <w:r>
        <w:rPr>
          <w:i/>
          <w:vertAlign w:val="subscript"/>
        </w:rPr>
        <w:t>sl,g</w:t>
      </w:r>
      <w:r>
        <w:t xml:space="preserve"> и </w:t>
      </w:r>
      <w:r>
        <w:rPr>
          <w:noProof/>
          <w:position w:val="-10"/>
        </w:rPr>
        <w:drawing>
          <wp:inline distT="0" distB="0" distL="0" distR="0">
            <wp:extent cx="402590" cy="267970"/>
            <wp:effectExtent l="0" t="0" r="0" b="0"/>
            <wp:docPr id="2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402590" cy="267970"/>
                    </a:xfrm>
                    <a:prstGeom prst="rect">
                      <a:avLst/>
                    </a:prstGeom>
                    <a:noFill/>
                    <a:ln>
                      <a:noFill/>
                    </a:ln>
                  </pic:spPr>
                </pic:pic>
              </a:graphicData>
            </a:graphic>
          </wp:inline>
        </w:drawing>
      </w:r>
      <w:r>
        <w:t xml:space="preserve"> - просадка и разность просадок основания от собственного веса грунта в нижней зоне просадки </w:t>
      </w:r>
      <w:r>
        <w:rPr>
          <w:i/>
        </w:rPr>
        <w:t>h</w:t>
      </w:r>
      <w:r>
        <w:rPr>
          <w:i/>
          <w:vertAlign w:val="subscript"/>
        </w:rPr>
        <w:t>sl,g</w:t>
      </w:r>
      <w:r>
        <w:t xml:space="preserve"> (см. </w:t>
      </w:r>
      <w:hyperlink w:anchor="P2361">
        <w:r>
          <w:rPr>
            <w:color w:val="0000FF"/>
          </w:rPr>
          <w:t>рисунок 6.1</w:t>
        </w:r>
      </w:hyperlink>
      <w:r>
        <w:t xml:space="preserve">), вычисляемые по </w:t>
      </w:r>
      <w:hyperlink w:anchor="P2437">
        <w:r>
          <w:rPr>
            <w:color w:val="0000FF"/>
          </w:rPr>
          <w:t>формуле (6.4)</w:t>
        </w:r>
      </w:hyperlink>
      <w:r>
        <w:t>;</w:t>
      </w:r>
    </w:p>
    <w:p w:rsidR="00E35632" w:rsidRDefault="00E35632">
      <w:pPr>
        <w:pStyle w:val="ConsPlusNormal"/>
        <w:spacing w:before="220"/>
        <w:ind w:firstLine="540"/>
        <w:jc w:val="both"/>
      </w:pPr>
      <w:r>
        <w:rPr>
          <w:i/>
        </w:rPr>
        <w:t>s</w:t>
      </w:r>
      <w:r>
        <w:rPr>
          <w:i/>
          <w:vertAlign w:val="subscript"/>
        </w:rPr>
        <w:t>ul</w:t>
      </w:r>
      <w:r>
        <w:t xml:space="preserve"> и </w:t>
      </w:r>
      <w:r>
        <w:rPr>
          <w:noProof/>
          <w:position w:val="-8"/>
        </w:rPr>
        <w:drawing>
          <wp:inline distT="0" distB="0" distL="0" distR="0">
            <wp:extent cx="310515" cy="251460"/>
            <wp:effectExtent l="0" t="0" r="0" b="0"/>
            <wp:docPr id="2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310515" cy="251460"/>
                    </a:xfrm>
                    <a:prstGeom prst="rect">
                      <a:avLst/>
                    </a:prstGeom>
                    <a:noFill/>
                    <a:ln>
                      <a:noFill/>
                    </a:ln>
                  </pic:spPr>
                </pic:pic>
              </a:graphicData>
            </a:graphic>
          </wp:inline>
        </w:drawing>
      </w:r>
      <w:r>
        <w:t xml:space="preserve"> - дополнительная осадка и разность осадок подстилающих просадочную толщу грунтов в зоне дополнительного их сжатия </w:t>
      </w:r>
      <w:r>
        <w:rPr>
          <w:i/>
        </w:rPr>
        <w:t>H</w:t>
      </w:r>
      <w:r>
        <w:rPr>
          <w:i/>
          <w:vertAlign w:val="subscript"/>
        </w:rPr>
        <w:t>ul</w:t>
      </w:r>
      <w:r>
        <w:t xml:space="preserve"> (см. </w:t>
      </w:r>
      <w:hyperlink w:anchor="P2361">
        <w:r>
          <w:rPr>
            <w:color w:val="0000FF"/>
          </w:rPr>
          <w:t>рисунок 6.1</w:t>
        </w:r>
      </w:hyperlink>
      <w:r>
        <w:t xml:space="preserve">) определяемые по </w:t>
      </w:r>
      <w:hyperlink w:anchor="P2323">
        <w:r>
          <w:rPr>
            <w:color w:val="0000FF"/>
          </w:rPr>
          <w:t>6.1</w:t>
        </w:r>
      </w:hyperlink>
      <w:r>
        <w:t>.</w:t>
      </w:r>
    </w:p>
    <w:p w:rsidR="00E35632" w:rsidRDefault="00E35632">
      <w:pPr>
        <w:pStyle w:val="ConsPlusNormal"/>
        <w:spacing w:before="220"/>
        <w:ind w:firstLine="540"/>
        <w:jc w:val="both"/>
      </w:pPr>
      <w:r>
        <w:t xml:space="preserve">Примечание - Крен, наклон, прогиб, кривизна и радиус кривизны основания допускается определять по формулам, аналогичным </w:t>
      </w:r>
      <w:hyperlink w:anchor="P2417">
        <w:r>
          <w:rPr>
            <w:color w:val="0000FF"/>
          </w:rPr>
          <w:t>формуле (6.2)</w:t>
        </w:r>
      </w:hyperlink>
      <w:r>
        <w:t>.</w:t>
      </w:r>
    </w:p>
    <w:p w:rsidR="00E35632" w:rsidRDefault="00E35632">
      <w:pPr>
        <w:pStyle w:val="ConsPlusNormal"/>
        <w:jc w:val="both"/>
      </w:pPr>
    </w:p>
    <w:p w:rsidR="00E35632" w:rsidRDefault="00E35632">
      <w:pPr>
        <w:pStyle w:val="ConsPlusNormal"/>
        <w:ind w:firstLine="540"/>
        <w:jc w:val="both"/>
      </w:pPr>
      <w:r>
        <w:t xml:space="preserve">6.1.13 Расчетное сопротивление грунта основания </w:t>
      </w:r>
      <w:r>
        <w:rPr>
          <w:i/>
        </w:rPr>
        <w:t>R</w:t>
      </w:r>
      <w:r>
        <w:t xml:space="preserve"> при возможном замачивании просадочных грунтов </w:t>
      </w:r>
      <w:hyperlink w:anchor="P2338">
        <w:r>
          <w:rPr>
            <w:color w:val="0000FF"/>
          </w:rPr>
          <w:t>(6.1.4)</w:t>
        </w:r>
      </w:hyperlink>
      <w:r>
        <w:t xml:space="preserve"> принимают равным:</w:t>
      </w:r>
    </w:p>
    <w:p w:rsidR="00E35632" w:rsidRDefault="00E35632">
      <w:pPr>
        <w:pStyle w:val="ConsPlusNormal"/>
        <w:spacing w:before="220"/>
        <w:ind w:firstLine="540"/>
        <w:jc w:val="both"/>
      </w:pPr>
      <w:r>
        <w:t xml:space="preserve">а) начальному просадочному давлению </w:t>
      </w:r>
      <w:r>
        <w:rPr>
          <w:i/>
        </w:rPr>
        <w:t>p</w:t>
      </w:r>
      <w:r>
        <w:rPr>
          <w:i/>
          <w:vertAlign w:val="subscript"/>
        </w:rPr>
        <w:t>sl</w:t>
      </w:r>
      <w:r>
        <w:t xml:space="preserve"> при устранении возможности просадки грунтов от внешней нагрузки путем снижения давления по подошве фундамента;</w:t>
      </w:r>
    </w:p>
    <w:p w:rsidR="00E35632" w:rsidRDefault="00E35632">
      <w:pPr>
        <w:pStyle w:val="ConsPlusNormal"/>
        <w:spacing w:before="220"/>
        <w:ind w:firstLine="540"/>
        <w:jc w:val="both"/>
      </w:pPr>
      <w:r>
        <w:t xml:space="preserve">б) значению, вычисленному по </w:t>
      </w:r>
      <w:hyperlink w:anchor="P851">
        <w:r>
          <w:rPr>
            <w:color w:val="0000FF"/>
          </w:rPr>
          <w:t>формуле (5.7)</w:t>
        </w:r>
      </w:hyperlink>
      <w:r>
        <w:t xml:space="preserve"> с использованием расчетных значений </w:t>
      </w:r>
      <w:r>
        <w:lastRenderedPageBreak/>
        <w:t>прочностных характеристик (</w:t>
      </w:r>
      <w:r>
        <w:rPr>
          <w:noProof/>
          <w:position w:val="-8"/>
        </w:rPr>
        <w:drawing>
          <wp:inline distT="0" distB="0" distL="0" distR="0">
            <wp:extent cx="209550" cy="251460"/>
            <wp:effectExtent l="0" t="0" r="0" b="0"/>
            <wp:docPr id="2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и </w:t>
      </w:r>
      <w:r>
        <w:rPr>
          <w:i/>
        </w:rPr>
        <w:t>c</w:t>
      </w:r>
      <w:r>
        <w:rPr>
          <w:vertAlign w:val="subscript"/>
        </w:rPr>
        <w:t>II</w:t>
      </w:r>
      <w:r>
        <w:t>) в водонасыщенном состоянии.</w:t>
      </w:r>
    </w:p>
    <w:p w:rsidR="00E35632" w:rsidRDefault="00E35632">
      <w:pPr>
        <w:pStyle w:val="ConsPlusNormal"/>
        <w:spacing w:before="220"/>
        <w:ind w:firstLine="540"/>
        <w:jc w:val="both"/>
      </w:pPr>
      <w:r>
        <w:t xml:space="preserve">При невозможности замачивания просадочных грунтов расчетное сопротивление грунта основания </w:t>
      </w:r>
      <w:r>
        <w:rPr>
          <w:i/>
        </w:rPr>
        <w:t>R</w:t>
      </w:r>
      <w:r>
        <w:t xml:space="preserve"> вычисляют по </w:t>
      </w:r>
      <w:hyperlink w:anchor="P851">
        <w:r>
          <w:rPr>
            <w:color w:val="0000FF"/>
          </w:rPr>
          <w:t>формуле (5.7)</w:t>
        </w:r>
      </w:hyperlink>
      <w:r>
        <w:t xml:space="preserve"> с использованием прочностных характеристик этих грунтов при установившейся влажности </w:t>
      </w:r>
      <w:hyperlink w:anchor="P2487">
        <w:r>
          <w:rPr>
            <w:color w:val="0000FF"/>
          </w:rPr>
          <w:t>(6.1.25)</w:t>
        </w:r>
      </w:hyperlink>
      <w:r>
        <w:t>.</w:t>
      </w:r>
    </w:p>
    <w:p w:rsidR="00E35632" w:rsidRDefault="00E35632">
      <w:pPr>
        <w:pStyle w:val="ConsPlusNormal"/>
        <w:spacing w:before="220"/>
        <w:ind w:firstLine="540"/>
        <w:jc w:val="both"/>
      </w:pPr>
      <w:r>
        <w:t xml:space="preserve">При определении расчетного сопротивления грунта основания при возможности его замачивания до полного водонасыщения коэффициенты условий работы </w:t>
      </w:r>
      <w:r>
        <w:rPr>
          <w:noProof/>
          <w:position w:val="-8"/>
        </w:rPr>
        <w:drawing>
          <wp:inline distT="0" distB="0" distL="0" distR="0">
            <wp:extent cx="226060" cy="251460"/>
            <wp:effectExtent l="0" t="0" r="0" b="0"/>
            <wp:docPr id="2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226060" cy="251460"/>
                    </a:xfrm>
                    <a:prstGeom prst="rect">
                      <a:avLst/>
                    </a:prstGeom>
                    <a:noFill/>
                    <a:ln>
                      <a:noFill/>
                    </a:ln>
                  </pic:spPr>
                </pic:pic>
              </a:graphicData>
            </a:graphic>
          </wp:inline>
        </w:drawing>
      </w:r>
      <w:r>
        <w:t xml:space="preserve"> и </w:t>
      </w:r>
      <w:r>
        <w:rPr>
          <w:noProof/>
          <w:position w:val="-8"/>
        </w:rPr>
        <w:drawing>
          <wp:inline distT="0" distB="0" distL="0" distR="0">
            <wp:extent cx="241935" cy="251460"/>
            <wp:effectExtent l="0" t="0" r="0" b="0"/>
            <wp:docPr id="2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принимают по </w:t>
      </w:r>
      <w:hyperlink w:anchor="P878">
        <w:r>
          <w:rPr>
            <w:color w:val="0000FF"/>
          </w:rPr>
          <w:t>таблице 5.4</w:t>
        </w:r>
      </w:hyperlink>
      <w:r>
        <w:t xml:space="preserve"> как для глинистых грунтов с показателем текучести </w:t>
      </w:r>
      <w:r>
        <w:rPr>
          <w:i/>
        </w:rPr>
        <w:t>I</w:t>
      </w:r>
      <w:r>
        <w:rPr>
          <w:i/>
          <w:vertAlign w:val="subscript"/>
        </w:rPr>
        <w:t>L</w:t>
      </w:r>
      <w:r>
        <w:t>, соответствующим водонасыщенному состоянию грунта, но не менее 0,5.</w:t>
      </w:r>
    </w:p>
    <w:p w:rsidR="00E35632" w:rsidRDefault="00E35632">
      <w:pPr>
        <w:pStyle w:val="ConsPlusNormal"/>
        <w:spacing w:before="220"/>
        <w:ind w:firstLine="540"/>
        <w:jc w:val="both"/>
      </w:pPr>
      <w:bookmarkStart w:id="125" w:name="P2432"/>
      <w:bookmarkEnd w:id="125"/>
      <w:r>
        <w:t xml:space="preserve">6.1.14 Предварительные размеры фундаментов сооружений геотехнических категорий 2 и 3, возводимых на просадочных грунтах, назначают исходя из расчетных сопротивлений основания </w:t>
      </w:r>
      <w:r>
        <w:rPr>
          <w:i/>
        </w:rPr>
        <w:t>R</w:t>
      </w:r>
      <w:r>
        <w:rPr>
          <w:vertAlign w:val="subscript"/>
        </w:rPr>
        <w:t>0</w:t>
      </w:r>
      <w:r>
        <w:t xml:space="preserve">, принимаемых по </w:t>
      </w:r>
      <w:hyperlink w:anchor="P6252">
        <w:r>
          <w:rPr>
            <w:color w:val="0000FF"/>
          </w:rPr>
          <w:t>таблице Б.4</w:t>
        </w:r>
      </w:hyperlink>
      <w:r>
        <w:t xml:space="preserve"> приложения Б.</w:t>
      </w:r>
    </w:p>
    <w:p w:rsidR="00E35632" w:rsidRDefault="00E35632">
      <w:pPr>
        <w:pStyle w:val="ConsPlusNormal"/>
        <w:spacing w:before="220"/>
        <w:ind w:firstLine="540"/>
        <w:jc w:val="both"/>
      </w:pPr>
      <w:r>
        <w:t xml:space="preserve">Указанными значениями </w:t>
      </w:r>
      <w:r>
        <w:rPr>
          <w:i/>
        </w:rPr>
        <w:t>R</w:t>
      </w:r>
      <w:r>
        <w:rPr>
          <w:vertAlign w:val="subscript"/>
        </w:rPr>
        <w:t>0</w:t>
      </w:r>
      <w:r>
        <w:t xml:space="preserve"> допускается пользоваться также для назначения окончательных размеров фундаментов сооружений пониженного уровня ответственности, в которых отсутствует мокрый процесс.</w:t>
      </w:r>
    </w:p>
    <w:p w:rsidR="00E35632" w:rsidRDefault="00E35632">
      <w:pPr>
        <w:pStyle w:val="ConsPlusNormal"/>
        <w:spacing w:before="220"/>
        <w:ind w:firstLine="540"/>
        <w:jc w:val="both"/>
      </w:pPr>
      <w:bookmarkStart w:id="126" w:name="P2434"/>
      <w:bookmarkEnd w:id="126"/>
      <w:r>
        <w:t xml:space="preserve">6.1.15 При устранении просадочных свойств грунтов уплотнением или закреплением для сооружений геотехнических категорий 2 и 3 необходимо обеспечить, чтобы полное давление на кровлю подстилающего неуплотненного или незакрепленного слоя не превышало начальное просадочное давление </w:t>
      </w:r>
      <w:r>
        <w:rPr>
          <w:i/>
        </w:rPr>
        <w:t>p</w:t>
      </w:r>
      <w:r>
        <w:rPr>
          <w:i/>
          <w:vertAlign w:val="subscript"/>
        </w:rPr>
        <w:t>sl</w:t>
      </w:r>
      <w:r>
        <w:t>.</w:t>
      </w:r>
    </w:p>
    <w:p w:rsidR="00E35632" w:rsidRDefault="00E35632">
      <w:pPr>
        <w:pStyle w:val="ConsPlusNormal"/>
        <w:spacing w:before="220"/>
        <w:ind w:firstLine="540"/>
        <w:jc w:val="both"/>
      </w:pPr>
      <w:bookmarkStart w:id="127" w:name="P2435"/>
      <w:bookmarkEnd w:id="127"/>
      <w:r>
        <w:t xml:space="preserve">6.1.16 Просадку грунтов основания </w:t>
      </w:r>
      <w:r>
        <w:rPr>
          <w:i/>
        </w:rPr>
        <w:t>s</w:t>
      </w:r>
      <w:r>
        <w:rPr>
          <w:i/>
          <w:vertAlign w:val="subscript"/>
        </w:rPr>
        <w:t>sl,p</w:t>
      </w:r>
      <w:r>
        <w:t xml:space="preserve"> и </w:t>
      </w:r>
      <w:r>
        <w:rPr>
          <w:i/>
        </w:rPr>
        <w:t>s</w:t>
      </w:r>
      <w:r>
        <w:rPr>
          <w:i/>
          <w:vertAlign w:val="subscript"/>
        </w:rPr>
        <w:t>sl,g</w:t>
      </w:r>
      <w:r>
        <w:t>, см, при увеличении их влажности вследствие замачивания сверху больших площадей, а также замачивания снизу при подъеме уровня подземных вод вычисляют по формуле</w:t>
      </w:r>
    </w:p>
    <w:p w:rsidR="00E35632" w:rsidRDefault="00E35632">
      <w:pPr>
        <w:pStyle w:val="ConsPlusNormal"/>
        <w:jc w:val="both"/>
      </w:pPr>
    </w:p>
    <w:p w:rsidR="00E35632" w:rsidRDefault="00E35632">
      <w:pPr>
        <w:pStyle w:val="ConsPlusNormal"/>
        <w:jc w:val="center"/>
      </w:pPr>
      <w:bookmarkStart w:id="128" w:name="P2437"/>
      <w:bookmarkEnd w:id="128"/>
      <w:r>
        <w:rPr>
          <w:noProof/>
          <w:position w:val="-26"/>
        </w:rPr>
        <w:drawing>
          <wp:inline distT="0" distB="0" distL="0" distR="0">
            <wp:extent cx="1408430" cy="477520"/>
            <wp:effectExtent l="0" t="0" r="0" b="0"/>
            <wp:docPr id="2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408430" cy="477520"/>
                    </a:xfrm>
                    <a:prstGeom prst="rect">
                      <a:avLst/>
                    </a:prstGeom>
                    <a:noFill/>
                    <a:ln>
                      <a:noFill/>
                    </a:ln>
                  </pic:spPr>
                </pic:pic>
              </a:graphicData>
            </a:graphic>
          </wp:inline>
        </w:drawing>
      </w:r>
      <w:r>
        <w:t xml:space="preserve"> (6.4)</w:t>
      </w:r>
    </w:p>
    <w:p w:rsidR="00E35632" w:rsidRDefault="00E35632">
      <w:pPr>
        <w:pStyle w:val="ConsPlusNormal"/>
        <w:jc w:val="both"/>
      </w:pPr>
    </w:p>
    <w:p w:rsidR="00E35632" w:rsidRDefault="00E35632">
      <w:pPr>
        <w:pStyle w:val="ConsPlusNormal"/>
        <w:ind w:firstLine="540"/>
        <w:jc w:val="both"/>
      </w:pPr>
      <w:r>
        <w:t xml:space="preserve">где </w:t>
      </w:r>
      <w:r>
        <w:rPr>
          <w:noProof/>
          <w:position w:val="-10"/>
        </w:rPr>
        <w:drawing>
          <wp:inline distT="0" distB="0" distL="0" distR="0">
            <wp:extent cx="267970" cy="267970"/>
            <wp:effectExtent l="0" t="0" r="0" b="0"/>
            <wp:docPr id="2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xml:space="preserve"> - относительная просадочность </w:t>
      </w:r>
      <w:r>
        <w:rPr>
          <w:i/>
        </w:rPr>
        <w:t>i</w:t>
      </w:r>
      <w:r>
        <w:t xml:space="preserve">-го слоя грунта, определяемая в соответствии с </w:t>
      </w:r>
      <w:hyperlink w:anchor="P2364">
        <w:r>
          <w:rPr>
            <w:color w:val="0000FF"/>
          </w:rPr>
          <w:t>6.1.6</w:t>
        </w:r>
      </w:hyperlink>
      <w:r>
        <w:t>;</w:t>
      </w:r>
    </w:p>
    <w:p w:rsidR="00E35632" w:rsidRDefault="00E35632">
      <w:pPr>
        <w:pStyle w:val="ConsPlusNormal"/>
        <w:spacing w:before="220"/>
        <w:ind w:firstLine="540"/>
        <w:jc w:val="both"/>
      </w:pPr>
      <w:r>
        <w:rPr>
          <w:i/>
        </w:rPr>
        <w:t>h</w:t>
      </w:r>
      <w:r>
        <w:rPr>
          <w:i/>
          <w:vertAlign w:val="subscript"/>
        </w:rPr>
        <w:t>i</w:t>
      </w:r>
      <w:r>
        <w:t xml:space="preserve"> - толщина </w:t>
      </w:r>
      <w:r>
        <w:rPr>
          <w:i/>
        </w:rPr>
        <w:t>i</w:t>
      </w:r>
      <w:r>
        <w:t>-го слоя, см;</w:t>
      </w:r>
    </w:p>
    <w:p w:rsidR="00E35632" w:rsidRDefault="00E35632">
      <w:pPr>
        <w:pStyle w:val="ConsPlusNormal"/>
        <w:spacing w:before="220"/>
        <w:ind w:firstLine="540"/>
        <w:jc w:val="both"/>
      </w:pPr>
      <w:r>
        <w:rPr>
          <w:i/>
        </w:rPr>
        <w:t>k</w:t>
      </w:r>
      <w:r>
        <w:rPr>
          <w:i/>
          <w:vertAlign w:val="subscript"/>
        </w:rPr>
        <w:t>sl,i</w:t>
      </w:r>
      <w:r>
        <w:t xml:space="preserve"> - коэффициент, определяемый в соответствии с </w:t>
      </w:r>
      <w:hyperlink w:anchor="P2450">
        <w:r>
          <w:rPr>
            <w:color w:val="0000FF"/>
          </w:rPr>
          <w:t>6.1.18</w:t>
        </w:r>
      </w:hyperlink>
      <w:r>
        <w:t>;</w:t>
      </w:r>
    </w:p>
    <w:p w:rsidR="00E35632" w:rsidRDefault="00E35632">
      <w:pPr>
        <w:pStyle w:val="ConsPlusNormal"/>
        <w:spacing w:before="220"/>
        <w:ind w:firstLine="540"/>
        <w:jc w:val="both"/>
      </w:pPr>
      <w:r>
        <w:rPr>
          <w:i/>
        </w:rPr>
        <w:t>n</w:t>
      </w:r>
      <w:r>
        <w:t xml:space="preserve"> - число слоев, на которое разбита зона просадки </w:t>
      </w:r>
      <w:r>
        <w:rPr>
          <w:i/>
        </w:rPr>
        <w:t>h</w:t>
      </w:r>
      <w:r>
        <w:rPr>
          <w:i/>
          <w:vertAlign w:val="subscript"/>
        </w:rPr>
        <w:t>sl</w:t>
      </w:r>
      <w:r>
        <w:t xml:space="preserve">, принимаемое в соответствии с </w:t>
      </w:r>
      <w:hyperlink w:anchor="P2465">
        <w:r>
          <w:rPr>
            <w:color w:val="0000FF"/>
          </w:rPr>
          <w:t>6.1.20</w:t>
        </w:r>
      </w:hyperlink>
      <w:r>
        <w:t>.</w:t>
      </w:r>
    </w:p>
    <w:p w:rsidR="00E35632" w:rsidRDefault="00E35632">
      <w:pPr>
        <w:pStyle w:val="ConsPlusNormal"/>
        <w:spacing w:before="220"/>
        <w:ind w:firstLine="540"/>
        <w:jc w:val="both"/>
      </w:pPr>
      <w:bookmarkStart w:id="129" w:name="P2443"/>
      <w:bookmarkEnd w:id="129"/>
      <w:r>
        <w:t xml:space="preserve">6.1.17 Относительную просадочность грунта </w:t>
      </w:r>
      <w:r>
        <w:rPr>
          <w:noProof/>
          <w:position w:val="-8"/>
        </w:rPr>
        <w:drawing>
          <wp:inline distT="0" distB="0" distL="0" distR="0">
            <wp:extent cx="209550" cy="251460"/>
            <wp:effectExtent l="0" t="0" r="0" b="0"/>
            <wp:docPr id="2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вычисляют на основе испытаний грунта в лабораторных условиях по формуле</w:t>
      </w:r>
    </w:p>
    <w:p w:rsidR="00E35632" w:rsidRDefault="00E35632">
      <w:pPr>
        <w:pStyle w:val="ConsPlusNormal"/>
        <w:jc w:val="both"/>
      </w:pPr>
    </w:p>
    <w:p w:rsidR="00E35632" w:rsidRDefault="00E35632">
      <w:pPr>
        <w:pStyle w:val="ConsPlusNormal"/>
        <w:jc w:val="center"/>
      </w:pPr>
      <w:bookmarkStart w:id="130" w:name="P2445"/>
      <w:bookmarkEnd w:id="130"/>
      <w:r>
        <w:rPr>
          <w:noProof/>
          <w:position w:val="-30"/>
        </w:rPr>
        <w:drawing>
          <wp:inline distT="0" distB="0" distL="0" distR="0">
            <wp:extent cx="1173480" cy="521970"/>
            <wp:effectExtent l="0" t="0" r="0" b="0"/>
            <wp:docPr id="2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173480" cy="521970"/>
                    </a:xfrm>
                    <a:prstGeom prst="rect">
                      <a:avLst/>
                    </a:prstGeom>
                    <a:noFill/>
                    <a:ln>
                      <a:noFill/>
                    </a:ln>
                  </pic:spPr>
                </pic:pic>
              </a:graphicData>
            </a:graphic>
          </wp:inline>
        </w:drawing>
      </w:r>
      <w:r>
        <w:t xml:space="preserve"> (6.5)</w:t>
      </w:r>
    </w:p>
    <w:p w:rsidR="00E35632" w:rsidRDefault="00E35632">
      <w:pPr>
        <w:pStyle w:val="ConsPlusNormal"/>
        <w:jc w:val="both"/>
      </w:pPr>
    </w:p>
    <w:p w:rsidR="00E35632" w:rsidRDefault="00E35632">
      <w:pPr>
        <w:pStyle w:val="ConsPlusNormal"/>
        <w:ind w:firstLine="540"/>
        <w:jc w:val="both"/>
      </w:pPr>
      <w:r>
        <w:t xml:space="preserve">где </w:t>
      </w:r>
      <w:r>
        <w:rPr>
          <w:i/>
        </w:rPr>
        <w:t>h</w:t>
      </w:r>
      <w:r>
        <w:rPr>
          <w:i/>
          <w:vertAlign w:val="subscript"/>
        </w:rPr>
        <w:t>n,p</w:t>
      </w:r>
      <w:r>
        <w:t xml:space="preserve"> и </w:t>
      </w:r>
      <w:r>
        <w:rPr>
          <w:i/>
        </w:rPr>
        <w:t>h</w:t>
      </w:r>
      <w:r>
        <w:rPr>
          <w:i/>
          <w:vertAlign w:val="subscript"/>
        </w:rPr>
        <w:t>sat,p</w:t>
      </w:r>
      <w:r>
        <w:t xml:space="preserve"> - высота образца, см, соответственно природной влажности и после его полного водонасыщения (</w:t>
      </w:r>
      <w:r>
        <w:rPr>
          <w:i/>
        </w:rPr>
        <w:t>w</w:t>
      </w:r>
      <w:r>
        <w:t xml:space="preserve"> = </w:t>
      </w:r>
      <w:r>
        <w:rPr>
          <w:i/>
        </w:rPr>
        <w:t>w</w:t>
      </w:r>
      <w:r>
        <w:rPr>
          <w:i/>
          <w:vertAlign w:val="subscript"/>
        </w:rPr>
        <w:t>sat</w:t>
      </w:r>
      <w:r>
        <w:t xml:space="preserve">) при давлении </w:t>
      </w:r>
      <w:r>
        <w:rPr>
          <w:i/>
        </w:rPr>
        <w:t>p</w:t>
      </w:r>
      <w:r>
        <w:t xml:space="preserve">, кПа, равном вертикальному напряжению на рассматриваемой глубине от внешней нагрузки и собственного веса грунта </w:t>
      </w:r>
      <w:r>
        <w:rPr>
          <w:noProof/>
          <w:position w:val="-10"/>
        </w:rPr>
        <w:drawing>
          <wp:inline distT="0" distB="0" distL="0" distR="0">
            <wp:extent cx="908050" cy="267970"/>
            <wp:effectExtent l="0" t="0" r="0" b="0"/>
            <wp:docPr id="2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908050" cy="267970"/>
                    </a:xfrm>
                    <a:prstGeom prst="rect">
                      <a:avLst/>
                    </a:prstGeom>
                    <a:noFill/>
                    <a:ln>
                      <a:noFill/>
                    </a:ln>
                  </pic:spPr>
                </pic:pic>
              </a:graphicData>
            </a:graphic>
          </wp:inline>
        </w:drawing>
      </w:r>
      <w:r>
        <w:t xml:space="preserve"> при определении просадки грунта в верхней зоне </w:t>
      </w:r>
      <w:r>
        <w:rPr>
          <w:i/>
        </w:rPr>
        <w:t>h</w:t>
      </w:r>
      <w:r>
        <w:rPr>
          <w:i/>
          <w:vertAlign w:val="subscript"/>
        </w:rPr>
        <w:t>sl,p</w:t>
      </w:r>
      <w:r>
        <w:t xml:space="preserve"> просадки; при определении просадки грунта в нижней зоне </w:t>
      </w:r>
      <w:r>
        <w:rPr>
          <w:i/>
        </w:rPr>
        <w:t>h</w:t>
      </w:r>
      <w:r>
        <w:rPr>
          <w:i/>
          <w:vertAlign w:val="subscript"/>
        </w:rPr>
        <w:t>sl,g</w:t>
      </w:r>
      <w:r>
        <w:t xml:space="preserve"> просадки грунта от собственного веса (см. </w:t>
      </w:r>
      <w:hyperlink w:anchor="P2361">
        <w:r>
          <w:rPr>
            <w:color w:val="0000FF"/>
          </w:rPr>
          <w:t>рисунок 6.1</w:t>
        </w:r>
      </w:hyperlink>
      <w:r>
        <w:t>);</w:t>
      </w:r>
    </w:p>
    <w:p w:rsidR="00E35632" w:rsidRDefault="00E35632">
      <w:pPr>
        <w:pStyle w:val="ConsPlusNormal"/>
        <w:spacing w:before="220"/>
        <w:ind w:firstLine="540"/>
        <w:jc w:val="both"/>
      </w:pPr>
      <w:r>
        <w:rPr>
          <w:i/>
        </w:rPr>
        <w:lastRenderedPageBreak/>
        <w:t>h</w:t>
      </w:r>
      <w:r>
        <w:rPr>
          <w:i/>
          <w:vertAlign w:val="subscript"/>
        </w:rPr>
        <w:t>n,g</w:t>
      </w:r>
      <w:r>
        <w:t xml:space="preserve"> - высота, см, того же образца природной влажности при </w:t>
      </w:r>
      <w:r>
        <w:rPr>
          <w:noProof/>
          <w:position w:val="-10"/>
        </w:rPr>
        <w:drawing>
          <wp:inline distT="0" distB="0" distL="0" distR="0">
            <wp:extent cx="530860" cy="267970"/>
            <wp:effectExtent l="0" t="0" r="0" b="0"/>
            <wp:docPr id="2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530860" cy="26797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Значение </w:t>
      </w:r>
      <w:r>
        <w:rPr>
          <w:noProof/>
          <w:position w:val="-8"/>
        </w:rPr>
        <w:drawing>
          <wp:inline distT="0" distB="0" distL="0" distR="0">
            <wp:extent cx="209550" cy="251460"/>
            <wp:effectExtent l="0" t="0" r="0" b="0"/>
            <wp:docPr id="2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может быть определено также в полевых условиях путем замачивания опытных котлованов и по испытаниям грунта штампом с замачиванием.</w:t>
      </w:r>
    </w:p>
    <w:p w:rsidR="00E35632" w:rsidRDefault="00E35632">
      <w:pPr>
        <w:pStyle w:val="ConsPlusNormal"/>
        <w:spacing w:before="220"/>
        <w:ind w:firstLine="540"/>
        <w:jc w:val="both"/>
      </w:pPr>
      <w:bookmarkStart w:id="131" w:name="P2450"/>
      <w:bookmarkEnd w:id="131"/>
      <w:r>
        <w:t xml:space="preserve">6.1.18 Коэффициент </w:t>
      </w:r>
      <w:r>
        <w:rPr>
          <w:i/>
        </w:rPr>
        <w:t>k</w:t>
      </w:r>
      <w:r>
        <w:rPr>
          <w:i/>
          <w:vertAlign w:val="subscript"/>
        </w:rPr>
        <w:t>sl,i</w:t>
      </w:r>
      <w:r>
        <w:t xml:space="preserve">, входящий в </w:t>
      </w:r>
      <w:hyperlink w:anchor="P2437">
        <w:r>
          <w:rPr>
            <w:color w:val="0000FF"/>
          </w:rPr>
          <w:t>формулу (6.4)</w:t>
        </w:r>
      </w:hyperlink>
      <w:r>
        <w:t xml:space="preserve">, при ширине фундамента </w:t>
      </w:r>
      <w:r>
        <w:rPr>
          <w:i/>
        </w:rPr>
        <w:t>b</w:t>
      </w:r>
      <w:r>
        <w:t xml:space="preserve"> &gt;= 12 м принимают равным единице для всех слоев грунта в пределах зоны просадки; при </w:t>
      </w:r>
      <w:r>
        <w:rPr>
          <w:i/>
        </w:rPr>
        <w:t>b</w:t>
      </w:r>
      <w:r>
        <w:t xml:space="preserve"> &lt;= 3 м </w:t>
      </w:r>
      <w:r>
        <w:rPr>
          <w:i/>
        </w:rPr>
        <w:t>h</w:t>
      </w:r>
      <w:r>
        <w:rPr>
          <w:i/>
          <w:vertAlign w:val="subscript"/>
        </w:rPr>
        <w:t>sl,p</w:t>
      </w:r>
      <w:r>
        <w:t xml:space="preserve"> вычисляют по формуле</w:t>
      </w:r>
    </w:p>
    <w:p w:rsidR="00E35632" w:rsidRDefault="00E35632">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000" w:firstRow="0" w:lastRow="0" w:firstColumn="0" w:lastColumn="0" w:noHBand="0" w:noVBand="0"/>
      </w:tblPr>
      <w:tblGrid>
        <w:gridCol w:w="60"/>
        <w:gridCol w:w="113"/>
        <w:gridCol w:w="9068"/>
        <w:gridCol w:w="113"/>
      </w:tblGrid>
      <w:tr w:rsidR="00E35632">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E35632" w:rsidRDefault="00E35632">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E35632" w:rsidRDefault="00E35632">
            <w:pPr>
              <w:pStyle w:val="ConsPlusNormal"/>
              <w:jc w:val="both"/>
            </w:pPr>
            <w:r>
              <w:rPr>
                <w:color w:val="392C69"/>
              </w:rPr>
              <w:t>КонсультантПлюс: примечание.</w:t>
            </w:r>
          </w:p>
          <w:p w:rsidR="00E35632" w:rsidRDefault="00E35632">
            <w:pPr>
              <w:pStyle w:val="ConsPlusNormal"/>
              <w:jc w:val="both"/>
            </w:pPr>
            <w:r>
              <w:rPr>
                <w:color w:val="392C69"/>
              </w:rPr>
              <w:t>Формула дана в соответствии с официальным текстом документа.</w:t>
            </w: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r>
    </w:tbl>
    <w:p w:rsidR="00E35632" w:rsidRDefault="00E35632">
      <w:pPr>
        <w:pStyle w:val="ConsPlusNormal"/>
        <w:spacing w:before="280"/>
        <w:jc w:val="center"/>
      </w:pPr>
      <w:r>
        <w:rPr>
          <w:i/>
        </w:rPr>
        <w:t>k</w:t>
      </w:r>
      <w:r>
        <w:rPr>
          <w:i/>
          <w:vertAlign w:val="subscript"/>
        </w:rPr>
        <w:t>sl,i</w:t>
      </w:r>
      <w:r>
        <w:t xml:space="preserve"> = 0,5 + 1,5(</w:t>
      </w:r>
      <w:r>
        <w:rPr>
          <w:i/>
        </w:rPr>
        <w:t>p</w:t>
      </w:r>
      <w:r>
        <w:t xml:space="preserve"> - </w:t>
      </w:r>
      <w:r>
        <w:rPr>
          <w:i/>
        </w:rPr>
        <w:t>p</w:t>
      </w:r>
      <w:r>
        <w:rPr>
          <w:i/>
          <w:vertAlign w:val="subscript"/>
        </w:rPr>
        <w:t>sl,i</w:t>
      </w:r>
      <w:r>
        <w:t>)/</w:t>
      </w:r>
      <w:r>
        <w:rPr>
          <w:i/>
        </w:rPr>
        <w:t>p</w:t>
      </w:r>
      <w:r>
        <w:rPr>
          <w:vertAlign w:val="subscript"/>
        </w:rPr>
        <w:t>0</w:t>
      </w:r>
      <w:r>
        <w:t>, (6.6)</w:t>
      </w:r>
    </w:p>
    <w:p w:rsidR="00E35632" w:rsidRDefault="00E35632">
      <w:pPr>
        <w:pStyle w:val="ConsPlusNormal"/>
        <w:jc w:val="both"/>
      </w:pPr>
    </w:p>
    <w:p w:rsidR="00E35632" w:rsidRDefault="00E35632">
      <w:pPr>
        <w:pStyle w:val="ConsPlusNormal"/>
        <w:ind w:firstLine="540"/>
        <w:jc w:val="both"/>
      </w:pPr>
      <w:r>
        <w:t xml:space="preserve">где </w:t>
      </w:r>
      <w:r>
        <w:rPr>
          <w:i/>
        </w:rPr>
        <w:t>p</w:t>
      </w:r>
      <w:r>
        <w:t xml:space="preserve"> - среднее давление под подошвой фундамента, кПа;</w:t>
      </w:r>
    </w:p>
    <w:p w:rsidR="00E35632" w:rsidRDefault="00E35632">
      <w:pPr>
        <w:pStyle w:val="ConsPlusNormal"/>
        <w:spacing w:before="220"/>
        <w:ind w:firstLine="540"/>
        <w:jc w:val="both"/>
      </w:pPr>
      <w:r>
        <w:rPr>
          <w:i/>
        </w:rPr>
        <w:t>p</w:t>
      </w:r>
      <w:r>
        <w:rPr>
          <w:i/>
          <w:vertAlign w:val="subscript"/>
        </w:rPr>
        <w:t>sl,i</w:t>
      </w:r>
      <w:r>
        <w:t xml:space="preserve"> - начальное просадочное давление грунта </w:t>
      </w:r>
      <w:r>
        <w:rPr>
          <w:i/>
        </w:rPr>
        <w:t>i</w:t>
      </w:r>
      <w:r>
        <w:t xml:space="preserve">-го слоя, кПа, определяемое в соответствии с </w:t>
      </w:r>
      <w:hyperlink w:anchor="P2443">
        <w:r>
          <w:rPr>
            <w:color w:val="0000FF"/>
          </w:rPr>
          <w:t>6.1.17</w:t>
        </w:r>
      </w:hyperlink>
      <w:r>
        <w:t>;</w:t>
      </w:r>
    </w:p>
    <w:p w:rsidR="00E35632" w:rsidRDefault="00E35632">
      <w:pPr>
        <w:pStyle w:val="ConsPlusNormal"/>
        <w:spacing w:before="220"/>
        <w:ind w:firstLine="540"/>
        <w:jc w:val="both"/>
      </w:pPr>
      <w:r>
        <w:rPr>
          <w:i/>
        </w:rPr>
        <w:t>p</w:t>
      </w:r>
      <w:r>
        <w:rPr>
          <w:vertAlign w:val="subscript"/>
        </w:rPr>
        <w:t>0</w:t>
      </w:r>
      <w:r>
        <w:t xml:space="preserve"> - давление, равное 100 кПа.</w:t>
      </w:r>
    </w:p>
    <w:p w:rsidR="00E35632" w:rsidRDefault="00E35632">
      <w:pPr>
        <w:pStyle w:val="ConsPlusNormal"/>
        <w:spacing w:before="220"/>
        <w:ind w:firstLine="540"/>
        <w:jc w:val="both"/>
      </w:pPr>
      <w:r>
        <w:t xml:space="preserve">При 3 м &lt; </w:t>
      </w:r>
      <w:r>
        <w:rPr>
          <w:i/>
        </w:rPr>
        <w:t>b</w:t>
      </w:r>
      <w:r>
        <w:t xml:space="preserve"> &lt; 12 м </w:t>
      </w:r>
      <w:r>
        <w:rPr>
          <w:i/>
        </w:rPr>
        <w:t>k</w:t>
      </w:r>
      <w:r>
        <w:rPr>
          <w:i/>
          <w:vertAlign w:val="subscript"/>
        </w:rPr>
        <w:t>sl,i</w:t>
      </w:r>
      <w:r>
        <w:t xml:space="preserve"> определяют интерполяцией.</w:t>
      </w:r>
    </w:p>
    <w:p w:rsidR="00E35632" w:rsidRDefault="00E35632">
      <w:pPr>
        <w:pStyle w:val="ConsPlusNormal"/>
        <w:spacing w:before="220"/>
        <w:ind w:firstLine="540"/>
        <w:jc w:val="both"/>
      </w:pPr>
      <w:r>
        <w:t xml:space="preserve">При определении просадки грунта от собственного веса следует принимать </w:t>
      </w:r>
      <w:r>
        <w:rPr>
          <w:i/>
        </w:rPr>
        <w:t>k</w:t>
      </w:r>
      <w:r>
        <w:rPr>
          <w:i/>
          <w:vertAlign w:val="subscript"/>
        </w:rPr>
        <w:t>sl</w:t>
      </w:r>
      <w:r>
        <w:t xml:space="preserve"> = 1 при </w:t>
      </w:r>
      <w:r>
        <w:rPr>
          <w:i/>
        </w:rPr>
        <w:t>H</w:t>
      </w:r>
      <w:r>
        <w:rPr>
          <w:i/>
          <w:vertAlign w:val="subscript"/>
        </w:rPr>
        <w:t>sl</w:t>
      </w:r>
      <w:r>
        <w:t xml:space="preserve"> &lt;= 15 м и </w:t>
      </w:r>
      <w:r>
        <w:rPr>
          <w:i/>
        </w:rPr>
        <w:t>k</w:t>
      </w:r>
      <w:r>
        <w:rPr>
          <w:i/>
          <w:vertAlign w:val="subscript"/>
        </w:rPr>
        <w:t>sl</w:t>
      </w:r>
      <w:r>
        <w:t xml:space="preserve"> = 1,25 при </w:t>
      </w:r>
      <w:r>
        <w:rPr>
          <w:i/>
        </w:rPr>
        <w:t>H</w:t>
      </w:r>
      <w:r>
        <w:rPr>
          <w:i/>
          <w:vertAlign w:val="subscript"/>
        </w:rPr>
        <w:t>sl</w:t>
      </w:r>
      <w:r>
        <w:t xml:space="preserve"> &gt;= 20 м, при промежуточных значениях </w:t>
      </w:r>
      <w:r>
        <w:rPr>
          <w:i/>
        </w:rPr>
        <w:t>H</w:t>
      </w:r>
      <w:r>
        <w:rPr>
          <w:i/>
          <w:vertAlign w:val="subscript"/>
        </w:rPr>
        <w:t>sl</w:t>
      </w:r>
      <w:r>
        <w:t xml:space="preserve"> коэффициент </w:t>
      </w:r>
      <w:r>
        <w:rPr>
          <w:i/>
        </w:rPr>
        <w:t>k</w:t>
      </w:r>
      <w:r>
        <w:rPr>
          <w:i/>
          <w:vertAlign w:val="subscript"/>
        </w:rPr>
        <w:t>sl</w:t>
      </w:r>
      <w:r>
        <w:t xml:space="preserve"> определяют интерполяцией.</w:t>
      </w:r>
    </w:p>
    <w:p w:rsidR="00E35632" w:rsidRDefault="00E35632">
      <w:pPr>
        <w:pStyle w:val="ConsPlusNormal"/>
        <w:spacing w:before="220"/>
        <w:ind w:firstLine="540"/>
        <w:jc w:val="both"/>
      </w:pPr>
      <w:bookmarkStart w:id="132" w:name="P2461"/>
      <w:bookmarkEnd w:id="132"/>
      <w:r>
        <w:t xml:space="preserve">6.1.19 За начальное просадочное давление </w:t>
      </w:r>
      <w:r>
        <w:rPr>
          <w:i/>
        </w:rPr>
        <w:t>p</w:t>
      </w:r>
      <w:r>
        <w:rPr>
          <w:i/>
          <w:vertAlign w:val="subscript"/>
        </w:rPr>
        <w:t>sl</w:t>
      </w:r>
      <w:r>
        <w:t xml:space="preserve"> принимают давление, соответствующее:</w:t>
      </w:r>
    </w:p>
    <w:p w:rsidR="00E35632" w:rsidRDefault="00E35632">
      <w:pPr>
        <w:pStyle w:val="ConsPlusNormal"/>
        <w:spacing w:before="220"/>
        <w:ind w:firstLine="540"/>
        <w:jc w:val="both"/>
      </w:pPr>
      <w:r>
        <w:t xml:space="preserve">- при лабораторных испытаниях грунтов в компрессионном приборе - давлению, при котором относительная просадочность </w:t>
      </w:r>
      <w:r>
        <w:rPr>
          <w:noProof/>
          <w:position w:val="-8"/>
        </w:rPr>
        <w:drawing>
          <wp:inline distT="0" distB="0" distL="0" distR="0">
            <wp:extent cx="209550" cy="251460"/>
            <wp:effectExtent l="0" t="0" r="0" b="0"/>
            <wp:docPr id="2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равна 0,01;</w:t>
      </w:r>
    </w:p>
    <w:p w:rsidR="00E35632" w:rsidRDefault="00E35632">
      <w:pPr>
        <w:pStyle w:val="ConsPlusNormal"/>
        <w:spacing w:before="220"/>
        <w:ind w:firstLine="540"/>
        <w:jc w:val="both"/>
      </w:pPr>
      <w:r>
        <w:t>- при полевых испытаниях штампами предварительно замоченных грунтов - давлению, равному точке перегиба на графике "нагрузка-осадка";</w:t>
      </w:r>
    </w:p>
    <w:p w:rsidR="00E35632" w:rsidRDefault="00E35632">
      <w:pPr>
        <w:pStyle w:val="ConsPlusNormal"/>
        <w:spacing w:before="220"/>
        <w:ind w:firstLine="540"/>
        <w:jc w:val="both"/>
      </w:pPr>
      <w:r>
        <w:t>- при замачивании грунтов в опытных котлованах - вертикальному напряжению от собственного веса грунта на глубине, начиная с которой происходит просадка грунта от собственного веса.</w:t>
      </w:r>
    </w:p>
    <w:p w:rsidR="00E35632" w:rsidRDefault="00E35632">
      <w:pPr>
        <w:pStyle w:val="ConsPlusNormal"/>
        <w:spacing w:before="220"/>
        <w:ind w:firstLine="540"/>
        <w:jc w:val="both"/>
      </w:pPr>
      <w:bookmarkStart w:id="133" w:name="P2465"/>
      <w:bookmarkEnd w:id="133"/>
      <w:r>
        <w:t xml:space="preserve">6.1.20 Толщину зоны просадки грунта </w:t>
      </w:r>
      <w:r>
        <w:rPr>
          <w:i/>
        </w:rPr>
        <w:t>h</w:t>
      </w:r>
      <w:r>
        <w:rPr>
          <w:i/>
          <w:vertAlign w:val="subscript"/>
        </w:rPr>
        <w:t>sl</w:t>
      </w:r>
      <w:r>
        <w:t xml:space="preserve"> принимают равной </w:t>
      </w:r>
      <w:hyperlink w:anchor="P2361">
        <w:r>
          <w:rPr>
            <w:color w:val="0000FF"/>
          </w:rPr>
          <w:t>(рисунок 6.1)</w:t>
        </w:r>
      </w:hyperlink>
      <w:r>
        <w:t>:</w:t>
      </w:r>
    </w:p>
    <w:p w:rsidR="00E35632" w:rsidRDefault="00E35632">
      <w:pPr>
        <w:pStyle w:val="ConsPlusNormal"/>
        <w:spacing w:before="220"/>
        <w:ind w:firstLine="540"/>
        <w:jc w:val="both"/>
      </w:pPr>
      <w:r>
        <w:t xml:space="preserve">- толщине верхней зоны просадочной толщи </w:t>
      </w:r>
      <w:r>
        <w:rPr>
          <w:i/>
        </w:rPr>
        <w:t>h</w:t>
      </w:r>
      <w:r>
        <w:rPr>
          <w:i/>
          <w:vertAlign w:val="subscript"/>
        </w:rPr>
        <w:t>sl,p</w:t>
      </w:r>
      <w:r>
        <w:t xml:space="preserve"> при определении просадки грунта от внешней нагрузки </w:t>
      </w:r>
      <w:r>
        <w:rPr>
          <w:i/>
        </w:rPr>
        <w:t>s</w:t>
      </w:r>
      <w:r>
        <w:rPr>
          <w:i/>
          <w:vertAlign w:val="subscript"/>
        </w:rPr>
        <w:t>sl,p</w:t>
      </w:r>
      <w:r>
        <w:t xml:space="preserve"> </w:t>
      </w:r>
      <w:hyperlink w:anchor="P2341">
        <w:r>
          <w:rPr>
            <w:color w:val="0000FF"/>
          </w:rPr>
          <w:t>(6.1.5)</w:t>
        </w:r>
      </w:hyperlink>
      <w:r>
        <w:t xml:space="preserve">, при этом нижняя граница указанной зоны соответствует глубине, где </w:t>
      </w:r>
      <w:r>
        <w:rPr>
          <w:noProof/>
          <w:position w:val="-10"/>
        </w:rPr>
        <w:drawing>
          <wp:inline distT="0" distB="0" distL="0" distR="0">
            <wp:extent cx="1327150" cy="267970"/>
            <wp:effectExtent l="0" t="0" r="0" b="0"/>
            <wp:docPr id="2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1327150" cy="267970"/>
                    </a:xfrm>
                    <a:prstGeom prst="rect">
                      <a:avLst/>
                    </a:prstGeom>
                    <a:noFill/>
                    <a:ln>
                      <a:noFill/>
                    </a:ln>
                  </pic:spPr>
                </pic:pic>
              </a:graphicData>
            </a:graphic>
          </wp:inline>
        </w:drawing>
      </w:r>
      <w:r>
        <w:t xml:space="preserve"> (</w:t>
      </w:r>
      <w:hyperlink w:anchor="P2361">
        <w:r>
          <w:rPr>
            <w:color w:val="0000FF"/>
          </w:rPr>
          <w:t>рисунок 6.1</w:t>
        </w:r>
      </w:hyperlink>
      <w:r>
        <w:t xml:space="preserve"> а, б) или глубине, где значение </w:t>
      </w:r>
      <w:r>
        <w:rPr>
          <w:noProof/>
          <w:position w:val="-8"/>
        </w:rPr>
        <w:drawing>
          <wp:inline distT="0" distB="0" distL="0" distR="0">
            <wp:extent cx="209550" cy="251460"/>
            <wp:effectExtent l="0" t="0" r="0" b="0"/>
            <wp:docPr id="2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минимально, если </w:t>
      </w:r>
      <w:r>
        <w:rPr>
          <w:noProof/>
          <w:position w:val="-10"/>
        </w:rPr>
        <w:drawing>
          <wp:inline distT="0" distB="0" distL="0" distR="0">
            <wp:extent cx="754380" cy="267970"/>
            <wp:effectExtent l="0" t="0" r="0" b="0"/>
            <wp:docPr id="2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754380" cy="267970"/>
                    </a:xfrm>
                    <a:prstGeom prst="rect">
                      <a:avLst/>
                    </a:prstGeom>
                    <a:noFill/>
                    <a:ln>
                      <a:noFill/>
                    </a:ln>
                  </pic:spPr>
                </pic:pic>
              </a:graphicData>
            </a:graphic>
          </wp:inline>
        </w:drawing>
      </w:r>
      <w:r>
        <w:t xml:space="preserve"> (</w:t>
      </w:r>
      <w:hyperlink w:anchor="P2361">
        <w:r>
          <w:rPr>
            <w:color w:val="0000FF"/>
          </w:rPr>
          <w:t>рисунок 6.1</w:t>
        </w:r>
      </w:hyperlink>
      <w:r>
        <w:t>, в);</w:t>
      </w:r>
    </w:p>
    <w:p w:rsidR="00E35632" w:rsidRDefault="00E35632">
      <w:pPr>
        <w:pStyle w:val="ConsPlusNormal"/>
        <w:spacing w:before="220"/>
        <w:ind w:firstLine="540"/>
        <w:jc w:val="both"/>
      </w:pPr>
      <w:r>
        <w:t xml:space="preserve">- толщине нижней зоны просадочной толщи </w:t>
      </w:r>
      <w:r>
        <w:rPr>
          <w:i/>
        </w:rPr>
        <w:t>h</w:t>
      </w:r>
      <w:r>
        <w:rPr>
          <w:i/>
          <w:vertAlign w:val="subscript"/>
        </w:rPr>
        <w:t>sl,g</w:t>
      </w:r>
      <w:r>
        <w:t xml:space="preserve"> при определении просадки грунта от собственного веса </w:t>
      </w:r>
      <w:r>
        <w:rPr>
          <w:i/>
        </w:rPr>
        <w:t>s</w:t>
      </w:r>
      <w:r>
        <w:rPr>
          <w:i/>
          <w:vertAlign w:val="subscript"/>
        </w:rPr>
        <w:t>sl,g</w:t>
      </w:r>
      <w:r>
        <w:t xml:space="preserve">, </w:t>
      </w:r>
      <w:hyperlink w:anchor="P2341">
        <w:r>
          <w:rPr>
            <w:color w:val="0000FF"/>
          </w:rPr>
          <w:t>(6.1.5)</w:t>
        </w:r>
      </w:hyperlink>
      <w:r>
        <w:t xml:space="preserve">, т.е. начиная с глубины </w:t>
      </w:r>
      <w:r>
        <w:rPr>
          <w:i/>
        </w:rPr>
        <w:t>z</w:t>
      </w:r>
      <w:r>
        <w:rPr>
          <w:i/>
          <w:vertAlign w:val="subscript"/>
        </w:rPr>
        <w:t>g</w:t>
      </w:r>
      <w:r>
        <w:t xml:space="preserve">, где </w:t>
      </w:r>
      <w:r>
        <w:rPr>
          <w:noProof/>
          <w:position w:val="-8"/>
        </w:rPr>
        <w:drawing>
          <wp:inline distT="0" distB="0" distL="0" distR="0">
            <wp:extent cx="572770" cy="251460"/>
            <wp:effectExtent l="0" t="0" r="0" b="0"/>
            <wp:docPr id="2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572770" cy="251460"/>
                    </a:xfrm>
                    <a:prstGeom prst="rect">
                      <a:avLst/>
                    </a:prstGeom>
                    <a:noFill/>
                    <a:ln>
                      <a:noFill/>
                    </a:ln>
                  </pic:spPr>
                </pic:pic>
              </a:graphicData>
            </a:graphic>
          </wp:inline>
        </w:drawing>
      </w:r>
      <w:r>
        <w:t xml:space="preserve">, или значение </w:t>
      </w:r>
      <w:r>
        <w:rPr>
          <w:noProof/>
          <w:position w:val="-8"/>
        </w:rPr>
        <w:drawing>
          <wp:inline distT="0" distB="0" distL="0" distR="0">
            <wp:extent cx="209550" cy="251460"/>
            <wp:effectExtent l="0" t="0" r="0" b="0"/>
            <wp:docPr id="2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минимально, если </w:t>
      </w:r>
      <w:r>
        <w:rPr>
          <w:noProof/>
          <w:position w:val="-10"/>
        </w:rPr>
        <w:drawing>
          <wp:inline distT="0" distB="0" distL="0" distR="0">
            <wp:extent cx="754380" cy="267970"/>
            <wp:effectExtent l="0" t="0" r="0" b="0"/>
            <wp:docPr id="2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754380" cy="267970"/>
                    </a:xfrm>
                    <a:prstGeom prst="rect">
                      <a:avLst/>
                    </a:prstGeom>
                    <a:noFill/>
                    <a:ln>
                      <a:noFill/>
                    </a:ln>
                  </pic:spPr>
                </pic:pic>
              </a:graphicData>
            </a:graphic>
          </wp:inline>
        </w:drawing>
      </w:r>
      <w:r>
        <w:t>, и до нижней границы просадочной толщи.</w:t>
      </w:r>
    </w:p>
    <w:p w:rsidR="00E35632" w:rsidRDefault="00E35632">
      <w:pPr>
        <w:pStyle w:val="ConsPlusNormal"/>
        <w:spacing w:before="220"/>
        <w:ind w:firstLine="540"/>
        <w:jc w:val="both"/>
      </w:pPr>
      <w:r>
        <w:t xml:space="preserve">6.1.21 При отсутствии опытных определений начального просадочного давления суммирование по </w:t>
      </w:r>
      <w:hyperlink w:anchor="P2445">
        <w:r>
          <w:rPr>
            <w:color w:val="0000FF"/>
          </w:rPr>
          <w:t>формуле (6.5)</w:t>
        </w:r>
      </w:hyperlink>
      <w:r>
        <w:t xml:space="preserve"> проводят до глубины, на которой относительная просадочность </w:t>
      </w:r>
      <w:r>
        <w:rPr>
          <w:noProof/>
          <w:position w:val="-8"/>
        </w:rPr>
        <w:lastRenderedPageBreak/>
        <w:drawing>
          <wp:inline distT="0" distB="0" distL="0" distR="0">
            <wp:extent cx="209550" cy="251460"/>
            <wp:effectExtent l="0" t="0" r="0" b="0"/>
            <wp:docPr id="2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от давления </w:t>
      </w:r>
      <w:r>
        <w:rPr>
          <w:i/>
        </w:rPr>
        <w:t>p</w:t>
      </w:r>
      <w:r>
        <w:rPr>
          <w:i/>
          <w:vertAlign w:val="subscript"/>
        </w:rPr>
        <w:t>l</w:t>
      </w:r>
      <w:r>
        <w:t xml:space="preserve"> равна 0,01.</w:t>
      </w:r>
    </w:p>
    <w:p w:rsidR="00E35632" w:rsidRDefault="00E35632">
      <w:pPr>
        <w:pStyle w:val="ConsPlusNormal"/>
        <w:spacing w:before="220"/>
        <w:ind w:firstLine="540"/>
        <w:jc w:val="both"/>
      </w:pPr>
      <w:bookmarkStart w:id="134" w:name="P2469"/>
      <w:bookmarkEnd w:id="134"/>
      <w:r>
        <w:t xml:space="preserve">6.1.22 Для расчета просадок грунта от нагрузки фундамента </w:t>
      </w:r>
      <w:r>
        <w:rPr>
          <w:i/>
        </w:rPr>
        <w:t>s</w:t>
      </w:r>
      <w:r>
        <w:rPr>
          <w:i/>
          <w:vertAlign w:val="subscript"/>
        </w:rPr>
        <w:t>sl,p</w:t>
      </w:r>
      <w:r>
        <w:t xml:space="preserve"> и в нижней зоне от собственного веса грунта </w:t>
      </w:r>
      <w:r>
        <w:rPr>
          <w:i/>
        </w:rPr>
        <w:t>s</w:t>
      </w:r>
      <w:r>
        <w:rPr>
          <w:i/>
          <w:vertAlign w:val="subscript"/>
        </w:rPr>
        <w:t>sl,g</w:t>
      </w:r>
      <w:r>
        <w:t xml:space="preserve"> просадочную толщу разбивают на отдельные слои толщиной </w:t>
      </w:r>
      <w:r>
        <w:rPr>
          <w:i/>
        </w:rPr>
        <w:t>h</w:t>
      </w:r>
      <w:r>
        <w:rPr>
          <w:i/>
          <w:vertAlign w:val="subscript"/>
        </w:rPr>
        <w:t>i</w:t>
      </w:r>
      <w:r>
        <w:t xml:space="preserve"> в соответствии с литологическим разрезом и горизонтами определения </w:t>
      </w:r>
      <w:r>
        <w:rPr>
          <w:noProof/>
          <w:position w:val="-10"/>
        </w:rPr>
        <w:drawing>
          <wp:inline distT="0" distB="0" distL="0" distR="0">
            <wp:extent cx="267970" cy="267970"/>
            <wp:effectExtent l="0" t="0" r="0" b="0"/>
            <wp:docPr id="28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При этом толщина слоев должна быть не более 2 м, а изменение суммарного напряжения в пределах каждого слоя не должно превышать 200 кПа.</w:t>
      </w:r>
    </w:p>
    <w:p w:rsidR="00E35632" w:rsidRDefault="00E35632">
      <w:pPr>
        <w:pStyle w:val="ConsPlusNormal"/>
        <w:spacing w:before="220"/>
        <w:ind w:firstLine="540"/>
        <w:jc w:val="both"/>
      </w:pPr>
      <w:r>
        <w:t xml:space="preserve">При расчете просадок </w:t>
      </w:r>
      <w:r>
        <w:rPr>
          <w:i/>
        </w:rPr>
        <w:t>s</w:t>
      </w:r>
      <w:r>
        <w:rPr>
          <w:i/>
          <w:vertAlign w:val="subscript"/>
        </w:rPr>
        <w:t>sl,p</w:t>
      </w:r>
      <w:r>
        <w:t xml:space="preserve"> и </w:t>
      </w:r>
      <w:r>
        <w:rPr>
          <w:i/>
        </w:rPr>
        <w:t>s</w:t>
      </w:r>
      <w:r>
        <w:rPr>
          <w:i/>
          <w:vertAlign w:val="subscript"/>
        </w:rPr>
        <w:t>sl,q</w:t>
      </w:r>
      <w:r>
        <w:t xml:space="preserve"> по </w:t>
      </w:r>
      <w:hyperlink w:anchor="P2419">
        <w:r>
          <w:rPr>
            <w:color w:val="0000FF"/>
          </w:rPr>
          <w:t>формуле (6.3)</w:t>
        </w:r>
      </w:hyperlink>
      <w:r>
        <w:t xml:space="preserve"> учитывают только слои грунта, относительная просадочность которых при фактическом напряжении от </w:t>
      </w:r>
      <w:r>
        <w:rPr>
          <w:noProof/>
          <w:position w:val="-10"/>
        </w:rPr>
        <w:drawing>
          <wp:inline distT="0" distB="0" distL="0" distR="0">
            <wp:extent cx="963930" cy="267970"/>
            <wp:effectExtent l="0" t="0" r="0" b="0"/>
            <wp:docPr id="28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963930" cy="267970"/>
                    </a:xfrm>
                    <a:prstGeom prst="rect">
                      <a:avLst/>
                    </a:prstGeom>
                    <a:noFill/>
                    <a:ln>
                      <a:noFill/>
                    </a:ln>
                  </pic:spPr>
                </pic:pic>
              </a:graphicData>
            </a:graphic>
          </wp:inline>
        </w:drawing>
      </w:r>
      <w:r>
        <w:t xml:space="preserve"> или только от </w:t>
      </w:r>
      <w:r>
        <w:rPr>
          <w:noProof/>
          <w:position w:val="-10"/>
        </w:rPr>
        <w:drawing>
          <wp:inline distT="0" distB="0" distL="0" distR="0">
            <wp:extent cx="251460" cy="267970"/>
            <wp:effectExtent l="0" t="0" r="0" b="0"/>
            <wp:docPr id="28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r>
        <w:t xml:space="preserve"> (см. </w:t>
      </w:r>
      <w:hyperlink w:anchor="P2361">
        <w:r>
          <w:rPr>
            <w:color w:val="0000FF"/>
          </w:rPr>
          <w:t>рисунок 6.1</w:t>
        </w:r>
      </w:hyperlink>
      <w:r>
        <w:t xml:space="preserve">) </w:t>
      </w:r>
      <w:r>
        <w:rPr>
          <w:noProof/>
          <w:position w:val="-8"/>
        </w:rPr>
        <w:drawing>
          <wp:inline distT="0" distB="0" distL="0" distR="0">
            <wp:extent cx="684530" cy="251460"/>
            <wp:effectExtent l="0" t="0" r="0" b="0"/>
            <wp:docPr id="28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684530" cy="251460"/>
                    </a:xfrm>
                    <a:prstGeom prst="rect">
                      <a:avLst/>
                    </a:prstGeom>
                    <a:noFill/>
                    <a:ln>
                      <a:noFill/>
                    </a:ln>
                  </pic:spPr>
                </pic:pic>
              </a:graphicData>
            </a:graphic>
          </wp:inline>
        </w:drawing>
      </w:r>
      <w:r>
        <w:t xml:space="preserve">. Слои, в которых </w:t>
      </w:r>
      <w:r>
        <w:rPr>
          <w:noProof/>
          <w:position w:val="-8"/>
        </w:rPr>
        <w:drawing>
          <wp:inline distT="0" distB="0" distL="0" distR="0">
            <wp:extent cx="684530" cy="251460"/>
            <wp:effectExtent l="0" t="0" r="0" b="0"/>
            <wp:docPr id="28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684530" cy="251460"/>
                    </a:xfrm>
                    <a:prstGeom prst="rect">
                      <a:avLst/>
                    </a:prstGeom>
                    <a:noFill/>
                    <a:ln>
                      <a:noFill/>
                    </a:ln>
                  </pic:spPr>
                </pic:pic>
              </a:graphicData>
            </a:graphic>
          </wp:inline>
        </w:drawing>
      </w:r>
      <w:r>
        <w:t>, исключают из рассмотрения.</w:t>
      </w:r>
    </w:p>
    <w:p w:rsidR="00E35632" w:rsidRDefault="00E35632">
      <w:pPr>
        <w:pStyle w:val="ConsPlusNormal"/>
        <w:spacing w:before="220"/>
        <w:ind w:firstLine="540"/>
        <w:jc w:val="both"/>
      </w:pPr>
      <w:r>
        <w:t xml:space="preserve">Возможную просадку грунта от собственного веса </w:t>
      </w:r>
      <w:r>
        <w:rPr>
          <w:i/>
        </w:rPr>
        <w:t>s'</w:t>
      </w:r>
      <w:r>
        <w:rPr>
          <w:i/>
          <w:vertAlign w:val="subscript"/>
        </w:rPr>
        <w:t>sl,g</w:t>
      </w:r>
      <w:r>
        <w:t xml:space="preserve">, см, при замачивании из точечных или линейных источников (см. </w:t>
      </w:r>
      <w:hyperlink w:anchor="P2394">
        <w:r>
          <w:rPr>
            <w:color w:val="0000FF"/>
          </w:rPr>
          <w:t>6.1.8</w:t>
        </w:r>
      </w:hyperlink>
      <w:r>
        <w:t xml:space="preserve">) сверху малых площадей (ширина замачиваемой площади </w:t>
      </w:r>
      <w:r>
        <w:rPr>
          <w:i/>
        </w:rPr>
        <w:t>B</w:t>
      </w:r>
      <w:r>
        <w:rPr>
          <w:i/>
          <w:vertAlign w:val="subscript"/>
        </w:rPr>
        <w:t>w</w:t>
      </w:r>
      <w:r>
        <w:t xml:space="preserve"> меньше размера просадочной толщи </w:t>
      </w:r>
      <w:r>
        <w:rPr>
          <w:i/>
        </w:rPr>
        <w:t>H</w:t>
      </w:r>
      <w:r>
        <w:rPr>
          <w:i/>
          <w:vertAlign w:val="subscript"/>
        </w:rPr>
        <w:t>sl</w:t>
      </w:r>
      <w:r>
        <w:t>) вычисляют по формуле</w:t>
      </w:r>
    </w:p>
    <w:p w:rsidR="00E35632" w:rsidRDefault="00E35632">
      <w:pPr>
        <w:pStyle w:val="ConsPlusNormal"/>
        <w:jc w:val="both"/>
      </w:pPr>
    </w:p>
    <w:p w:rsidR="00E35632" w:rsidRDefault="00E35632">
      <w:pPr>
        <w:pStyle w:val="ConsPlusNormal"/>
        <w:jc w:val="center"/>
      </w:pPr>
      <w:r>
        <w:rPr>
          <w:noProof/>
          <w:position w:val="-12"/>
        </w:rPr>
        <w:drawing>
          <wp:inline distT="0" distB="0" distL="0" distR="0">
            <wp:extent cx="2263140" cy="302260"/>
            <wp:effectExtent l="0" t="0" r="0" b="0"/>
            <wp:docPr id="28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63140" cy="302260"/>
                    </a:xfrm>
                    <a:prstGeom prst="rect">
                      <a:avLst/>
                    </a:prstGeom>
                    <a:noFill/>
                    <a:ln>
                      <a:noFill/>
                    </a:ln>
                  </pic:spPr>
                </pic:pic>
              </a:graphicData>
            </a:graphic>
          </wp:inline>
        </w:drawing>
      </w:r>
      <w:r>
        <w:t xml:space="preserve"> (6.7)</w:t>
      </w:r>
    </w:p>
    <w:p w:rsidR="00E35632" w:rsidRDefault="00E35632">
      <w:pPr>
        <w:pStyle w:val="ConsPlusNormal"/>
        <w:jc w:val="both"/>
      </w:pPr>
    </w:p>
    <w:p w:rsidR="00E35632" w:rsidRDefault="00E35632">
      <w:pPr>
        <w:pStyle w:val="ConsPlusNormal"/>
        <w:ind w:firstLine="540"/>
        <w:jc w:val="both"/>
      </w:pPr>
      <w:r>
        <w:t xml:space="preserve">где </w:t>
      </w:r>
      <w:r>
        <w:rPr>
          <w:i/>
        </w:rPr>
        <w:t>s</w:t>
      </w:r>
      <w:r>
        <w:rPr>
          <w:i/>
          <w:vertAlign w:val="subscript"/>
        </w:rPr>
        <w:t>sl,g</w:t>
      </w:r>
      <w:r>
        <w:t xml:space="preserve"> - максимальное значение просадки грунта от собственного веса, см, определяемое в соответствии с </w:t>
      </w:r>
      <w:hyperlink w:anchor="P2434">
        <w:r>
          <w:rPr>
            <w:color w:val="0000FF"/>
          </w:rPr>
          <w:t>6.1.15</w:t>
        </w:r>
      </w:hyperlink>
      <w:r>
        <w:t>.</w:t>
      </w:r>
    </w:p>
    <w:p w:rsidR="00E35632" w:rsidRDefault="00E35632">
      <w:pPr>
        <w:pStyle w:val="ConsPlusNormal"/>
        <w:spacing w:before="220"/>
        <w:ind w:firstLine="540"/>
        <w:jc w:val="both"/>
      </w:pPr>
      <w:r>
        <w:t xml:space="preserve">6.1.23 Дополнительная осадка </w:t>
      </w:r>
      <w:r>
        <w:rPr>
          <w:i/>
        </w:rPr>
        <w:t>s</w:t>
      </w:r>
      <w:r>
        <w:rPr>
          <w:i/>
          <w:vertAlign w:val="subscript"/>
        </w:rPr>
        <w:t>ul</w:t>
      </w:r>
      <w:r>
        <w:t xml:space="preserve"> подстилающих просадочную толщу в пределах зоны дополнительного сжатия </w:t>
      </w:r>
      <w:r>
        <w:rPr>
          <w:i/>
        </w:rPr>
        <w:t>H</w:t>
      </w:r>
      <w:r>
        <w:rPr>
          <w:i/>
          <w:vertAlign w:val="subscript"/>
        </w:rPr>
        <w:t>ul</w:t>
      </w:r>
      <w:r>
        <w:t xml:space="preserve"> вычисляют по формуле</w:t>
      </w:r>
    </w:p>
    <w:p w:rsidR="00E35632" w:rsidRDefault="00E35632">
      <w:pPr>
        <w:pStyle w:val="ConsPlusNormal"/>
        <w:jc w:val="both"/>
      </w:pPr>
    </w:p>
    <w:p w:rsidR="00E35632" w:rsidRDefault="00E35632">
      <w:pPr>
        <w:pStyle w:val="ConsPlusNormal"/>
        <w:jc w:val="center"/>
      </w:pPr>
      <w:r>
        <w:rPr>
          <w:noProof/>
          <w:position w:val="-33"/>
        </w:rPr>
        <w:drawing>
          <wp:inline distT="0" distB="0" distL="0" distR="0">
            <wp:extent cx="3841750" cy="564515"/>
            <wp:effectExtent l="0" t="0" r="0" b="0"/>
            <wp:docPr id="29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3841750" cy="564515"/>
                    </a:xfrm>
                    <a:prstGeom prst="rect">
                      <a:avLst/>
                    </a:prstGeom>
                    <a:noFill/>
                    <a:ln>
                      <a:noFill/>
                    </a:ln>
                  </pic:spPr>
                </pic:pic>
              </a:graphicData>
            </a:graphic>
          </wp:inline>
        </w:drawing>
      </w:r>
      <w:r>
        <w:t xml:space="preserve"> (6.8)</w:t>
      </w:r>
    </w:p>
    <w:p w:rsidR="00E35632" w:rsidRDefault="00E35632">
      <w:pPr>
        <w:pStyle w:val="ConsPlusNormal"/>
        <w:jc w:val="both"/>
      </w:pPr>
    </w:p>
    <w:p w:rsidR="00E35632" w:rsidRDefault="00E35632">
      <w:pPr>
        <w:pStyle w:val="ConsPlusNormal"/>
        <w:ind w:firstLine="540"/>
        <w:jc w:val="both"/>
      </w:pPr>
      <w:r>
        <w:t xml:space="preserve">где </w:t>
      </w:r>
      <w:r>
        <w:rPr>
          <w:noProof/>
          <w:position w:val="-10"/>
        </w:rPr>
        <w:drawing>
          <wp:inline distT="0" distB="0" distL="0" distR="0">
            <wp:extent cx="318135" cy="267970"/>
            <wp:effectExtent l="0" t="0" r="0" b="0"/>
            <wp:docPr id="29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318135" cy="267970"/>
                    </a:xfrm>
                    <a:prstGeom prst="rect">
                      <a:avLst/>
                    </a:prstGeom>
                    <a:noFill/>
                    <a:ln>
                      <a:noFill/>
                    </a:ln>
                  </pic:spPr>
                </pic:pic>
              </a:graphicData>
            </a:graphic>
          </wp:inline>
        </w:drawing>
      </w:r>
      <w:r>
        <w:t xml:space="preserve"> и </w:t>
      </w:r>
      <w:r>
        <w:rPr>
          <w:noProof/>
          <w:position w:val="-10"/>
        </w:rPr>
        <w:drawing>
          <wp:inline distT="0" distB="0" distL="0" distR="0">
            <wp:extent cx="318135" cy="267970"/>
            <wp:effectExtent l="0" t="0" r="0" b="0"/>
            <wp:docPr id="29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18135" cy="267970"/>
                    </a:xfrm>
                    <a:prstGeom prst="rect">
                      <a:avLst/>
                    </a:prstGeom>
                    <a:noFill/>
                    <a:ln>
                      <a:noFill/>
                    </a:ln>
                  </pic:spPr>
                </pic:pic>
              </a:graphicData>
            </a:graphic>
          </wp:inline>
        </w:drawing>
      </w:r>
      <w:r>
        <w:t xml:space="preserve"> - средние значения вертикальных напряжений в </w:t>
      </w:r>
      <w:r>
        <w:rPr>
          <w:i/>
        </w:rPr>
        <w:t>i</w:t>
      </w:r>
      <w:r>
        <w:t xml:space="preserve">-м слое грунта от его собственного веса соответственно при природной влажности и полном водонасыщении, зона дополнительного сжатия </w:t>
      </w:r>
      <w:r>
        <w:rPr>
          <w:i/>
        </w:rPr>
        <w:t>H</w:t>
      </w:r>
      <w:r>
        <w:rPr>
          <w:i/>
          <w:vertAlign w:val="subscript"/>
        </w:rPr>
        <w:t>ul</w:t>
      </w:r>
      <w:r>
        <w:t xml:space="preserve"> подстилающих грунтов;</w:t>
      </w:r>
    </w:p>
    <w:p w:rsidR="00E35632" w:rsidRDefault="00E35632">
      <w:pPr>
        <w:pStyle w:val="ConsPlusNormal"/>
        <w:spacing w:before="220"/>
        <w:ind w:firstLine="540"/>
        <w:jc w:val="both"/>
      </w:pPr>
      <w:r>
        <w:rPr>
          <w:i/>
        </w:rPr>
        <w:t>h</w:t>
      </w:r>
      <w:r>
        <w:rPr>
          <w:i/>
          <w:vertAlign w:val="subscript"/>
        </w:rPr>
        <w:t>ul,i</w:t>
      </w:r>
      <w:r>
        <w:t xml:space="preserve"> - толщина </w:t>
      </w:r>
      <w:r>
        <w:rPr>
          <w:i/>
        </w:rPr>
        <w:t>i</w:t>
      </w:r>
      <w:r>
        <w:t xml:space="preserve">-го слоя грунта, на которые разделена зона </w:t>
      </w:r>
      <w:r>
        <w:rPr>
          <w:i/>
        </w:rPr>
        <w:t>H</w:t>
      </w:r>
      <w:r>
        <w:rPr>
          <w:i/>
          <w:vertAlign w:val="subscript"/>
        </w:rPr>
        <w:t>ul</w:t>
      </w:r>
      <w:r>
        <w:t>;</w:t>
      </w:r>
    </w:p>
    <w:p w:rsidR="00E35632" w:rsidRDefault="00E35632">
      <w:pPr>
        <w:pStyle w:val="ConsPlusNormal"/>
        <w:spacing w:before="220"/>
        <w:ind w:firstLine="540"/>
        <w:jc w:val="both"/>
      </w:pPr>
      <w:r>
        <w:rPr>
          <w:noProof/>
          <w:position w:val="-10"/>
        </w:rPr>
        <w:drawing>
          <wp:inline distT="0" distB="0" distL="0" distR="0">
            <wp:extent cx="437515" cy="267970"/>
            <wp:effectExtent l="0" t="0" r="0" b="0"/>
            <wp:docPr id="29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37515" cy="267970"/>
                    </a:xfrm>
                    <a:prstGeom prst="rect">
                      <a:avLst/>
                    </a:prstGeom>
                    <a:noFill/>
                    <a:ln>
                      <a:noFill/>
                    </a:ln>
                  </pic:spPr>
                </pic:pic>
              </a:graphicData>
            </a:graphic>
          </wp:inline>
        </w:drawing>
      </w:r>
      <w:r>
        <w:t xml:space="preserve"> - среднее значение дополнительного вертикального напряжения в </w:t>
      </w:r>
      <w:r>
        <w:rPr>
          <w:i/>
        </w:rPr>
        <w:t>i</w:t>
      </w:r>
      <w:r>
        <w:t>-м слое подстилающего грунта при полном водонасыщении при суммарных давлениях от собственного веса грунта, веса планировочной насыпи; веса сооружения с учетом нагрузок на полы по грунту; технологического оборудования и т.п., а также увеличение собственного веса просадочного грунта при уплотнении, закреплении, повышении его влажности до полного водонасыщения и влияния других факторов;</w:t>
      </w:r>
    </w:p>
    <w:p w:rsidR="00E35632" w:rsidRDefault="00E35632">
      <w:pPr>
        <w:pStyle w:val="ConsPlusNormal"/>
        <w:spacing w:before="220"/>
        <w:ind w:firstLine="540"/>
        <w:jc w:val="both"/>
      </w:pPr>
      <w:r>
        <w:rPr>
          <w:i/>
        </w:rPr>
        <w:t>E</w:t>
      </w:r>
      <w:r>
        <w:rPr>
          <w:vertAlign w:val="subscript"/>
        </w:rPr>
        <w:t>0</w:t>
      </w:r>
      <w:r>
        <w:rPr>
          <w:i/>
          <w:vertAlign w:val="subscript"/>
        </w:rPr>
        <w:t>,i</w:t>
      </w:r>
      <w:r>
        <w:t xml:space="preserve"> и </w:t>
      </w:r>
      <w:r>
        <w:rPr>
          <w:noProof/>
          <w:position w:val="-10"/>
        </w:rPr>
        <w:drawing>
          <wp:inline distT="0" distB="0" distL="0" distR="0">
            <wp:extent cx="302260" cy="267970"/>
            <wp:effectExtent l="0" t="0" r="0" b="0"/>
            <wp:docPr id="29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02260" cy="267970"/>
                    </a:xfrm>
                    <a:prstGeom prst="rect">
                      <a:avLst/>
                    </a:prstGeom>
                    <a:noFill/>
                    <a:ln>
                      <a:noFill/>
                    </a:ln>
                  </pic:spPr>
                </pic:pic>
              </a:graphicData>
            </a:graphic>
          </wp:inline>
        </w:drawing>
      </w:r>
      <w:r>
        <w:t xml:space="preserve"> - модули деформаций </w:t>
      </w:r>
      <w:r>
        <w:rPr>
          <w:i/>
        </w:rPr>
        <w:t>i</w:t>
      </w:r>
      <w:r>
        <w:t>-го слоя подстилающего грунта при полном водонасыщении и природной влажности.</w:t>
      </w:r>
    </w:p>
    <w:p w:rsidR="00E35632" w:rsidRDefault="00E35632">
      <w:pPr>
        <w:pStyle w:val="ConsPlusNormal"/>
        <w:spacing w:before="220"/>
        <w:ind w:firstLine="540"/>
        <w:jc w:val="both"/>
      </w:pPr>
      <w:r>
        <w:t xml:space="preserve">6.1.24 Нижнюю границу зоны дополнительного сжатия </w:t>
      </w:r>
      <w:r>
        <w:rPr>
          <w:i/>
        </w:rPr>
        <w:t>H</w:t>
      </w:r>
      <w:r>
        <w:rPr>
          <w:i/>
          <w:vertAlign w:val="subscript"/>
        </w:rPr>
        <w:t>ul</w:t>
      </w:r>
      <w:r>
        <w:t xml:space="preserve"> подстилающих просадочную толщу грунтов принимают на глубине </w:t>
      </w:r>
      <w:r>
        <w:rPr>
          <w:i/>
        </w:rPr>
        <w:t>z</w:t>
      </w:r>
      <w:r>
        <w:t xml:space="preserve"> = </w:t>
      </w:r>
      <w:r>
        <w:rPr>
          <w:i/>
        </w:rPr>
        <w:t>H</w:t>
      </w:r>
      <w:r>
        <w:rPr>
          <w:i/>
          <w:vertAlign w:val="subscript"/>
        </w:rPr>
        <w:t>ul</w:t>
      </w:r>
      <w:r>
        <w:t>, где выполняется одно из следующих условий:</w:t>
      </w:r>
    </w:p>
    <w:p w:rsidR="00E35632" w:rsidRDefault="00E35632">
      <w:pPr>
        <w:pStyle w:val="ConsPlusNormal"/>
        <w:spacing w:before="220"/>
        <w:ind w:firstLine="540"/>
        <w:jc w:val="both"/>
      </w:pPr>
      <w:r>
        <w:t xml:space="preserve">- модуль деформации подстилающих водонасыщенных грунтов </w:t>
      </w:r>
      <w:r>
        <w:rPr>
          <w:i/>
        </w:rPr>
        <w:t>E</w:t>
      </w:r>
      <w:r>
        <w:t xml:space="preserve"> &gt;= 30 МПа, или влажных </w:t>
      </w:r>
      <w:r>
        <w:rPr>
          <w:i/>
        </w:rPr>
        <w:t>E</w:t>
      </w:r>
      <w:r>
        <w:t xml:space="preserve"> &gt;= 25 МПа при условии снижения его при полном водонасыщении не менее </w:t>
      </w:r>
      <w:r>
        <w:rPr>
          <w:i/>
        </w:rPr>
        <w:t>E</w:t>
      </w:r>
      <w:r>
        <w:rPr>
          <w:i/>
          <w:vertAlign w:val="subscript"/>
        </w:rPr>
        <w:t>w</w:t>
      </w:r>
      <w:r>
        <w:t xml:space="preserve"> = 20 МПа;</w:t>
      </w:r>
    </w:p>
    <w:p w:rsidR="00E35632" w:rsidRDefault="00E35632">
      <w:pPr>
        <w:pStyle w:val="ConsPlusNormal"/>
        <w:spacing w:before="220"/>
        <w:ind w:firstLine="540"/>
        <w:jc w:val="both"/>
      </w:pPr>
      <w:r>
        <w:lastRenderedPageBreak/>
        <w:t xml:space="preserve">- дополнительные вертикальные напряжения </w:t>
      </w:r>
      <w:r>
        <w:rPr>
          <w:noProof/>
          <w:position w:val="-10"/>
        </w:rPr>
        <w:drawing>
          <wp:inline distT="0" distB="0" distL="0" distR="0">
            <wp:extent cx="908050" cy="267970"/>
            <wp:effectExtent l="0" t="0" r="0" b="0"/>
            <wp:docPr id="2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908050" cy="267970"/>
                    </a:xfrm>
                    <a:prstGeom prst="rect">
                      <a:avLst/>
                    </a:prstGeom>
                    <a:noFill/>
                    <a:ln>
                      <a:noFill/>
                    </a:ln>
                  </pic:spPr>
                </pic:pic>
              </a:graphicData>
            </a:graphic>
          </wp:inline>
        </w:drawing>
      </w:r>
      <w:r>
        <w:t xml:space="preserve">, где </w:t>
      </w:r>
      <w:r>
        <w:rPr>
          <w:noProof/>
          <w:position w:val="-10"/>
        </w:rPr>
        <w:drawing>
          <wp:inline distT="0" distB="0" distL="0" distR="0">
            <wp:extent cx="251460" cy="267970"/>
            <wp:effectExtent l="0" t="0" r="0" b="0"/>
            <wp:docPr id="29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r>
        <w:t xml:space="preserve"> вычисляют по </w:t>
      </w:r>
      <w:hyperlink w:anchor="P1685">
        <w:r>
          <w:rPr>
            <w:color w:val="0000FF"/>
          </w:rPr>
          <w:t>формуле (5.23)</w:t>
        </w:r>
      </w:hyperlink>
      <w:r>
        <w:t>.</w:t>
      </w:r>
    </w:p>
    <w:p w:rsidR="00E35632" w:rsidRDefault="00E35632">
      <w:pPr>
        <w:pStyle w:val="ConsPlusNormal"/>
        <w:spacing w:before="220"/>
        <w:ind w:firstLine="540"/>
        <w:jc w:val="both"/>
      </w:pPr>
      <w:bookmarkStart w:id="135" w:name="P2487"/>
      <w:bookmarkEnd w:id="135"/>
      <w:r>
        <w:t xml:space="preserve">6.1.25 При проектировании оснований, сложенных просадочными грунтами, в случае их возможного замачивания </w:t>
      </w:r>
      <w:hyperlink w:anchor="P2339">
        <w:r>
          <w:rPr>
            <w:color w:val="0000FF"/>
          </w:rPr>
          <w:t>(6.1.4, а)</w:t>
        </w:r>
      </w:hyperlink>
      <w:r>
        <w:t xml:space="preserve"> следует предусматривать мероприятия, исключающие или снижающие до допустимых пределов просадки оснований и (или) уменьшающие их влияние на эксплуатационную надежность сооружений в соответствии с </w:t>
      </w:r>
      <w:hyperlink w:anchor="P2488">
        <w:r>
          <w:rPr>
            <w:color w:val="0000FF"/>
          </w:rPr>
          <w:t>6.1.26</w:t>
        </w:r>
      </w:hyperlink>
      <w:r>
        <w:t xml:space="preserve"> и </w:t>
      </w:r>
      <w:hyperlink w:anchor="P2494">
        <w:r>
          <w:rPr>
            <w:color w:val="0000FF"/>
          </w:rPr>
          <w:t>6.1.27</w:t>
        </w:r>
      </w:hyperlink>
      <w:r>
        <w:t>.</w:t>
      </w:r>
    </w:p>
    <w:p w:rsidR="00E35632" w:rsidRDefault="00E35632">
      <w:pPr>
        <w:pStyle w:val="ConsPlusNormal"/>
        <w:spacing w:before="220"/>
        <w:ind w:firstLine="540"/>
        <w:jc w:val="both"/>
      </w:pPr>
      <w:bookmarkStart w:id="136" w:name="P2488"/>
      <w:bookmarkEnd w:id="136"/>
      <w:r>
        <w:t xml:space="preserve">6.1.26 При возможности замачивания грунтов основания </w:t>
      </w:r>
      <w:hyperlink w:anchor="P2338">
        <w:r>
          <w:rPr>
            <w:color w:val="0000FF"/>
          </w:rPr>
          <w:t>(6.1.4)</w:t>
        </w:r>
      </w:hyperlink>
      <w:r>
        <w:t xml:space="preserve"> следует предусматривать одно из следующих мероприятий:</w:t>
      </w:r>
    </w:p>
    <w:p w:rsidR="00E35632" w:rsidRDefault="00E35632">
      <w:pPr>
        <w:pStyle w:val="ConsPlusNormal"/>
        <w:spacing w:before="220"/>
        <w:ind w:firstLine="540"/>
        <w:jc w:val="both"/>
      </w:pPr>
      <w:r>
        <w:t xml:space="preserve">а) устранение просадочных свойств грунтов в пределах всей просадочной толщи или только в ее верхней части </w:t>
      </w:r>
      <w:hyperlink w:anchor="P2494">
        <w:r>
          <w:rPr>
            <w:color w:val="0000FF"/>
          </w:rPr>
          <w:t>(6.1.27)</w:t>
        </w:r>
      </w:hyperlink>
      <w:r>
        <w:t>;</w:t>
      </w:r>
    </w:p>
    <w:p w:rsidR="00E35632" w:rsidRDefault="00E35632">
      <w:pPr>
        <w:pStyle w:val="ConsPlusNormal"/>
        <w:spacing w:before="220"/>
        <w:ind w:firstLine="540"/>
        <w:jc w:val="both"/>
      </w:pPr>
      <w:r>
        <w:t xml:space="preserve">б) прорезку просадочной толщи фундаментами, в том числе свайными и массивами из закрепленного грунта </w:t>
      </w:r>
      <w:hyperlink w:anchor="P2494">
        <w:r>
          <w:rPr>
            <w:color w:val="0000FF"/>
          </w:rPr>
          <w:t>(6.1.27)</w:t>
        </w:r>
      </w:hyperlink>
      <w:r>
        <w:t>;</w:t>
      </w:r>
    </w:p>
    <w:p w:rsidR="00E35632" w:rsidRDefault="00E35632">
      <w:pPr>
        <w:pStyle w:val="ConsPlusNormal"/>
        <w:spacing w:before="220"/>
        <w:ind w:firstLine="540"/>
        <w:jc w:val="both"/>
      </w:pPr>
      <w:r>
        <w:t xml:space="preserve">в) комплекс мероприятий, включающий частичное устранение просадочных свойств грунтов, водозащитные и конструктивные мероприятия </w:t>
      </w:r>
      <w:hyperlink w:anchor="P2257">
        <w:r>
          <w:rPr>
            <w:color w:val="0000FF"/>
          </w:rPr>
          <w:t>(5.9)</w:t>
        </w:r>
      </w:hyperlink>
      <w:r>
        <w:t>.</w:t>
      </w:r>
    </w:p>
    <w:p w:rsidR="00E35632" w:rsidRDefault="00E35632">
      <w:pPr>
        <w:pStyle w:val="ConsPlusNormal"/>
        <w:spacing w:before="220"/>
        <w:ind w:firstLine="540"/>
        <w:jc w:val="both"/>
      </w:pPr>
      <w:r>
        <w:t>В грунтовых условиях типа II наряду с устранением просадочных свойств грунтов или прорезкой просадочной толщи фундаментами глубокого заложения следует предусматривать водозащитные мероприятия, а также соответствующие компоновку генплана и вертикальную планировку застраиваемого участка.</w:t>
      </w:r>
    </w:p>
    <w:p w:rsidR="00E35632" w:rsidRDefault="00E35632">
      <w:pPr>
        <w:pStyle w:val="ConsPlusNormal"/>
        <w:spacing w:before="220"/>
        <w:ind w:firstLine="540"/>
        <w:jc w:val="both"/>
      </w:pPr>
      <w:r>
        <w:t xml:space="preserve">Выбор мероприятий следует проводить с учетом типа грунтовых условий, вида возможного замачивания, расчетной просадки, взаимосвязи проектируемых сооружений с сооружениями окружающей застройки в соответствии с требованиями </w:t>
      </w:r>
      <w:hyperlink w:anchor="P252">
        <w:r>
          <w:rPr>
            <w:color w:val="0000FF"/>
          </w:rPr>
          <w:t>разделов 4</w:t>
        </w:r>
      </w:hyperlink>
      <w:r>
        <w:t xml:space="preserve"> и </w:t>
      </w:r>
      <w:hyperlink w:anchor="P4452">
        <w:r>
          <w:rPr>
            <w:color w:val="0000FF"/>
          </w:rPr>
          <w:t>9</w:t>
        </w:r>
      </w:hyperlink>
      <w:r>
        <w:t>.</w:t>
      </w:r>
    </w:p>
    <w:p w:rsidR="00E35632" w:rsidRDefault="00E35632">
      <w:pPr>
        <w:pStyle w:val="ConsPlusNormal"/>
        <w:spacing w:before="220"/>
        <w:ind w:firstLine="540"/>
        <w:jc w:val="both"/>
      </w:pPr>
      <w:bookmarkStart w:id="137" w:name="P2494"/>
      <w:bookmarkEnd w:id="137"/>
      <w:r>
        <w:t>6.1.27 Устранение просадочных свойств грунтов достигается:</w:t>
      </w:r>
    </w:p>
    <w:p w:rsidR="00E35632" w:rsidRDefault="00E35632">
      <w:pPr>
        <w:pStyle w:val="ConsPlusNormal"/>
        <w:spacing w:before="220"/>
        <w:ind w:firstLine="540"/>
        <w:jc w:val="both"/>
      </w:pPr>
      <w:r>
        <w:t>а) в пределах верхней зоны просадки или ее части - уплотнением тяжелыми трамбовками, устройством грунтовых подушек, вытрамбовыванием котлованов, в том числе с устройством уширения из жесткого материала (бетона, щебня, песчано-гравийной смеси), уплотнением ступенчато возрастающей нагрузкой сваевдавливающими установками СВУ, химическим или термическим закреплением;</w:t>
      </w:r>
    </w:p>
    <w:p w:rsidR="00E35632" w:rsidRDefault="00E35632">
      <w:pPr>
        <w:pStyle w:val="ConsPlusNormal"/>
        <w:jc w:val="both"/>
      </w:pPr>
      <w:r>
        <w:t xml:space="preserve">(в ред. </w:t>
      </w:r>
      <w:hyperlink r:id="rId542">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б) в пределах всей просадочной толщи - глубинным уплотнением, пробивкой скважин с заполнением их уплотненным глинистым грунтом с предварительным замачиванием грунтов основания, в том числе с глубинными взрывами, уплотнением ступенчато возрастающей нагрузкой сваевдавливающими установками после предварительного замачивания грунтов основания, химическим или термическим закреплением, а также разгрузкой грунтового массива путем частичной срезки грунта при выполнении вертикальной планировки или устройства под сооружения глубоких подвалов, подземных этажей.</w:t>
      </w:r>
    </w:p>
    <w:p w:rsidR="00E35632" w:rsidRDefault="00E35632">
      <w:pPr>
        <w:pStyle w:val="ConsPlusNormal"/>
        <w:jc w:val="both"/>
      </w:pPr>
      <w:r>
        <w:t xml:space="preserve">(в ред. </w:t>
      </w:r>
      <w:hyperlink r:id="rId543">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6.1.28 При проектировании заглубленных фундаментов следует учитывать:</w:t>
      </w:r>
    </w:p>
    <w:p w:rsidR="00E35632" w:rsidRDefault="00E35632">
      <w:pPr>
        <w:pStyle w:val="ConsPlusNormal"/>
        <w:spacing w:before="220"/>
        <w:ind w:firstLine="540"/>
        <w:jc w:val="both"/>
      </w:pPr>
      <w:r>
        <w:t xml:space="preserve">- в грунтовых условиях типа I - сопротивление грунта по боковой поверхности фундаментов при выполнении их в вытрамбованных котлованах из забивных блоков, в глубоких щелях, буровых скважинах, а также для фундаментов в опалубке, в случаях выполнения обратной засыпки котлованов по требованиям </w:t>
      </w:r>
      <w:hyperlink r:id="rId544">
        <w:r>
          <w:rPr>
            <w:color w:val="0000FF"/>
          </w:rPr>
          <w:t>СП 45.13330</w:t>
        </w:r>
      </w:hyperlink>
      <w:r>
        <w:t>;</w:t>
      </w:r>
    </w:p>
    <w:p w:rsidR="00E35632" w:rsidRDefault="00E35632">
      <w:pPr>
        <w:pStyle w:val="ConsPlusNormal"/>
        <w:spacing w:before="220"/>
        <w:ind w:firstLine="540"/>
        <w:jc w:val="both"/>
      </w:pPr>
      <w:r>
        <w:t>- грунтовых условиях типа II - нагружающее (негативное) трение грунта по боковой поверхности фундаментов, возникающее при просадке грунтов от собственного веса.</w:t>
      </w:r>
    </w:p>
    <w:p w:rsidR="00E35632" w:rsidRDefault="00E35632">
      <w:pPr>
        <w:pStyle w:val="ConsPlusNormal"/>
        <w:spacing w:before="220"/>
        <w:ind w:firstLine="540"/>
        <w:jc w:val="both"/>
      </w:pPr>
      <w:r>
        <w:lastRenderedPageBreak/>
        <w:t xml:space="preserve">Снижение нагружающего (негативного) трения по боковой поверхности фундаментов достигается путем устройства швов скольжения из эластичных материалов, совмещая их с гидроизоляцией, либо глубоких прорезей, заполненных глинистым грунтом (типа пасты) с числом пластичности </w:t>
      </w:r>
      <w:r>
        <w:rPr>
          <w:i/>
        </w:rPr>
        <w:t>I</w:t>
      </w:r>
      <w:r>
        <w:rPr>
          <w:i/>
          <w:vertAlign w:val="subscript"/>
        </w:rPr>
        <w:t>p</w:t>
      </w:r>
      <w:r>
        <w:t xml:space="preserve"> &gt; 0,17.</w:t>
      </w:r>
    </w:p>
    <w:p w:rsidR="00E35632" w:rsidRDefault="00E35632">
      <w:pPr>
        <w:pStyle w:val="ConsPlusNormal"/>
        <w:spacing w:before="220"/>
        <w:ind w:firstLine="540"/>
        <w:jc w:val="both"/>
      </w:pPr>
      <w:r>
        <w:t xml:space="preserve">6.1.29 Проектирование конструкций сооружений необходимо выполнять с учетом совместного расчета их с основанием по </w:t>
      </w:r>
      <w:hyperlink r:id="rId545">
        <w:r>
          <w:rPr>
            <w:color w:val="0000FF"/>
          </w:rPr>
          <w:t>СП 21.13330</w:t>
        </w:r>
      </w:hyperlink>
      <w:r>
        <w:t>.</w:t>
      </w:r>
    </w:p>
    <w:p w:rsidR="00E35632" w:rsidRDefault="00E35632">
      <w:pPr>
        <w:pStyle w:val="ConsPlusTitle"/>
        <w:spacing w:before="220"/>
        <w:ind w:firstLine="540"/>
        <w:jc w:val="both"/>
        <w:outlineLvl w:val="2"/>
      </w:pPr>
      <w:bookmarkStart w:id="138" w:name="P2504"/>
      <w:bookmarkEnd w:id="138"/>
      <w:r>
        <w:t>6.2 Набухающие грунты</w:t>
      </w:r>
    </w:p>
    <w:p w:rsidR="00E35632" w:rsidRDefault="00E35632">
      <w:pPr>
        <w:pStyle w:val="ConsPlusNormal"/>
        <w:spacing w:before="220"/>
        <w:ind w:firstLine="540"/>
        <w:jc w:val="both"/>
      </w:pPr>
      <w:r>
        <w:t>6.2.1 Основания, сложенные набухающими грунтами, следует проектировать с учетом способности таких грунтов при повышении влажности увеличиваться в объеме - набухать. При последующем понижении влажности у набухающих грунтов происходит обратный процесс - усадка.</w:t>
      </w:r>
    </w:p>
    <w:p w:rsidR="00E35632" w:rsidRDefault="00E35632">
      <w:pPr>
        <w:pStyle w:val="ConsPlusNormal"/>
        <w:spacing w:before="220"/>
        <w:ind w:firstLine="540"/>
        <w:jc w:val="both"/>
      </w:pPr>
      <w:r>
        <w:t>Необходимо учитывать, что способностью набухать при увеличении влажности обладают некоторые виды шлаков (например, шлаки электроплавильных производств), а также обычные глинистые грунты (не набухающие при увеличении влажности), если они замачиваются химическими отходами производств (например, растворами серной кислоты).</w:t>
      </w:r>
    </w:p>
    <w:p w:rsidR="00E35632" w:rsidRDefault="00E35632">
      <w:pPr>
        <w:pStyle w:val="ConsPlusNormal"/>
        <w:spacing w:before="220"/>
        <w:ind w:firstLine="540"/>
        <w:jc w:val="both"/>
      </w:pPr>
      <w:r>
        <w:t>Возможность набухания шлаков при их увлажнении и глинистых грунтов при замачивании химическими отходами производств устанавливают опытным путем в лабораторных или полевых условиях.</w:t>
      </w:r>
    </w:p>
    <w:p w:rsidR="00E35632" w:rsidRDefault="00E35632">
      <w:pPr>
        <w:pStyle w:val="ConsPlusNormal"/>
        <w:spacing w:before="220"/>
        <w:ind w:firstLine="540"/>
        <w:jc w:val="both"/>
      </w:pPr>
      <w:r>
        <w:t xml:space="preserve">6.2.2 Набухающие грунты характеризуются относительным набуханием при заданном давлении </w:t>
      </w:r>
      <w:r>
        <w:rPr>
          <w:noProof/>
          <w:position w:val="-8"/>
        </w:rPr>
        <w:drawing>
          <wp:inline distT="0" distB="0" distL="0" distR="0">
            <wp:extent cx="241935" cy="251460"/>
            <wp:effectExtent l="0" t="0" r="0" b="0"/>
            <wp:docPr id="29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давлением набухания </w:t>
      </w:r>
      <w:r>
        <w:rPr>
          <w:i/>
        </w:rPr>
        <w:t>p</w:t>
      </w:r>
      <w:r>
        <w:rPr>
          <w:i/>
          <w:vertAlign w:val="subscript"/>
        </w:rPr>
        <w:t>sw</w:t>
      </w:r>
      <w:r>
        <w:t xml:space="preserve">, влажностью набухания </w:t>
      </w:r>
      <w:r>
        <w:rPr>
          <w:i/>
        </w:rPr>
        <w:t>w</w:t>
      </w:r>
      <w:r>
        <w:rPr>
          <w:i/>
          <w:vertAlign w:val="subscript"/>
        </w:rPr>
        <w:t>sw</w:t>
      </w:r>
      <w:r>
        <w:t xml:space="preserve"> и относительной усадкой при высыхании </w:t>
      </w:r>
      <w:r>
        <w:rPr>
          <w:noProof/>
          <w:position w:val="-8"/>
        </w:rPr>
        <w:drawing>
          <wp:inline distT="0" distB="0" distL="0" distR="0">
            <wp:extent cx="226060" cy="251460"/>
            <wp:effectExtent l="0" t="0" r="0" b="0"/>
            <wp:docPr id="29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226060" cy="25146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Указанные характеристики определяют в соответствии с </w:t>
      </w:r>
      <w:hyperlink w:anchor="P2550">
        <w:r>
          <w:rPr>
            <w:color w:val="0000FF"/>
          </w:rPr>
          <w:t>6.2.7</w:t>
        </w:r>
      </w:hyperlink>
      <w:r>
        <w:t xml:space="preserve">, </w:t>
      </w:r>
      <w:hyperlink w:anchor="P2560">
        <w:r>
          <w:rPr>
            <w:color w:val="0000FF"/>
          </w:rPr>
          <w:t>6.2.10</w:t>
        </w:r>
      </w:hyperlink>
      <w:r>
        <w:t xml:space="preserve"> и </w:t>
      </w:r>
      <w:hyperlink w:anchor="P2664">
        <w:r>
          <w:rPr>
            <w:color w:val="0000FF"/>
          </w:rPr>
          <w:t>6.2.16</w:t>
        </w:r>
      </w:hyperlink>
      <w:r>
        <w:t>.</w:t>
      </w:r>
    </w:p>
    <w:p w:rsidR="00E35632" w:rsidRDefault="00E35632">
      <w:pPr>
        <w:pStyle w:val="ConsPlusNormal"/>
        <w:spacing w:before="220"/>
        <w:ind w:firstLine="540"/>
        <w:jc w:val="both"/>
      </w:pPr>
      <w:bookmarkStart w:id="139" w:name="P2510"/>
      <w:bookmarkEnd w:id="139"/>
      <w:r>
        <w:t>6.2.3 При проектировании оснований, сложенных набухающими грунтами, следует учитывать возможность:</w:t>
      </w:r>
    </w:p>
    <w:p w:rsidR="00E35632" w:rsidRDefault="00E35632">
      <w:pPr>
        <w:pStyle w:val="ConsPlusNormal"/>
        <w:spacing w:before="220"/>
        <w:ind w:firstLine="540"/>
        <w:jc w:val="both"/>
      </w:pPr>
      <w:r>
        <w:t>- набухания грунтов за счет подъема уровня подземных вод или инфильтрации - увлажнения грунтов производственными или поверхностными водами;</w:t>
      </w:r>
    </w:p>
    <w:p w:rsidR="00E35632" w:rsidRDefault="00E35632">
      <w:pPr>
        <w:pStyle w:val="ConsPlusNormal"/>
        <w:spacing w:before="220"/>
        <w:ind w:firstLine="540"/>
        <w:jc w:val="both"/>
      </w:pPr>
      <w:r>
        <w:t>- набухания грунтов за счет накопления влаги под сооружениями в ограниченной по глубине зоне вследствие нарушения природных условий испарения при застройке и асфальтировании территории (экранирование поверхности);</w:t>
      </w:r>
    </w:p>
    <w:p w:rsidR="00E35632" w:rsidRDefault="00E35632">
      <w:pPr>
        <w:pStyle w:val="ConsPlusNormal"/>
        <w:spacing w:before="220"/>
        <w:ind w:firstLine="540"/>
        <w:jc w:val="both"/>
      </w:pPr>
      <w:r>
        <w:t>- набухания и усадки грунта в верхней части зоны аэрации - за счет изменения водно-теплового режима (сезонных климатических факторов);</w:t>
      </w:r>
    </w:p>
    <w:p w:rsidR="00E35632" w:rsidRDefault="00E35632">
      <w:pPr>
        <w:pStyle w:val="ConsPlusNormal"/>
        <w:spacing w:before="220"/>
        <w:ind w:firstLine="540"/>
        <w:jc w:val="both"/>
      </w:pPr>
      <w:r>
        <w:t>- усадки за счет высыхания от воздействия тепловых источников.</w:t>
      </w:r>
    </w:p>
    <w:p w:rsidR="00E35632" w:rsidRDefault="00E35632">
      <w:pPr>
        <w:pStyle w:val="ConsPlusNormal"/>
        <w:spacing w:before="220"/>
        <w:ind w:firstLine="540"/>
        <w:jc w:val="both"/>
      </w:pPr>
      <w:r>
        <w:t>Примечание - При проектировании заглубленных частей сооружений необходимо учитывать горизонтальное давление, возникающее при набухании и усадке грунтов.</w:t>
      </w:r>
    </w:p>
    <w:p w:rsidR="00E35632" w:rsidRDefault="00E35632">
      <w:pPr>
        <w:pStyle w:val="ConsPlusNormal"/>
        <w:jc w:val="both"/>
      </w:pPr>
    </w:p>
    <w:p w:rsidR="00E35632" w:rsidRDefault="00E35632">
      <w:pPr>
        <w:pStyle w:val="ConsPlusNormal"/>
        <w:ind w:firstLine="540"/>
        <w:jc w:val="both"/>
      </w:pPr>
      <w:r>
        <w:t xml:space="preserve">6.2.4 Горизонтальное давление </w:t>
      </w:r>
      <w:r>
        <w:rPr>
          <w:i/>
        </w:rPr>
        <w:t>p</w:t>
      </w:r>
      <w:r>
        <w:rPr>
          <w:i/>
          <w:vertAlign w:val="subscript"/>
        </w:rPr>
        <w:t>h</w:t>
      </w:r>
      <w:r>
        <w:t>, кПа, вычисляют по формуле</w:t>
      </w:r>
    </w:p>
    <w:p w:rsidR="00E35632" w:rsidRDefault="00E35632">
      <w:pPr>
        <w:pStyle w:val="ConsPlusNormal"/>
        <w:jc w:val="both"/>
      </w:pPr>
    </w:p>
    <w:p w:rsidR="00E35632" w:rsidRDefault="00E35632">
      <w:pPr>
        <w:pStyle w:val="ConsPlusNormal"/>
        <w:jc w:val="center"/>
      </w:pPr>
      <w:bookmarkStart w:id="140" w:name="P2519"/>
      <w:bookmarkEnd w:id="140"/>
      <w:r>
        <w:rPr>
          <w:noProof/>
          <w:position w:val="-10"/>
        </w:rPr>
        <w:drawing>
          <wp:inline distT="0" distB="0" distL="0" distR="0">
            <wp:extent cx="1117600" cy="267970"/>
            <wp:effectExtent l="0" t="0" r="0" b="0"/>
            <wp:docPr id="29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1117600" cy="267970"/>
                    </a:xfrm>
                    <a:prstGeom prst="rect">
                      <a:avLst/>
                    </a:prstGeom>
                    <a:noFill/>
                    <a:ln>
                      <a:noFill/>
                    </a:ln>
                  </pic:spPr>
                </pic:pic>
              </a:graphicData>
            </a:graphic>
          </wp:inline>
        </w:drawing>
      </w:r>
      <w:r>
        <w:t xml:space="preserve"> (6.9)</w:t>
      </w:r>
    </w:p>
    <w:p w:rsidR="00E35632" w:rsidRDefault="00E35632">
      <w:pPr>
        <w:pStyle w:val="ConsPlusNormal"/>
        <w:jc w:val="both"/>
      </w:pPr>
    </w:p>
    <w:p w:rsidR="00E35632" w:rsidRDefault="00E35632">
      <w:pPr>
        <w:pStyle w:val="ConsPlusNormal"/>
        <w:ind w:firstLine="540"/>
        <w:jc w:val="both"/>
      </w:pPr>
      <w:r>
        <w:t xml:space="preserve">где </w:t>
      </w:r>
      <w:r>
        <w:rPr>
          <w:noProof/>
          <w:position w:val="-8"/>
        </w:rPr>
        <w:drawing>
          <wp:inline distT="0" distB="0" distL="0" distR="0">
            <wp:extent cx="192405" cy="251460"/>
            <wp:effectExtent l="0" t="0" r="0" b="0"/>
            <wp:docPr id="30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 коэффициент условий работы, равный 0,85;</w:t>
      </w:r>
    </w:p>
    <w:p w:rsidR="00E35632" w:rsidRDefault="00E35632">
      <w:pPr>
        <w:pStyle w:val="ConsPlusNormal"/>
        <w:spacing w:before="220"/>
        <w:ind w:firstLine="540"/>
        <w:jc w:val="both"/>
      </w:pPr>
      <w:r>
        <w:rPr>
          <w:i/>
        </w:rPr>
        <w:t>k</w:t>
      </w:r>
      <w:r>
        <w:rPr>
          <w:i/>
          <w:vertAlign w:val="subscript"/>
        </w:rPr>
        <w:t>sw</w:t>
      </w:r>
      <w:r>
        <w:t xml:space="preserve"> - коэффициент, зависящий от интенсивности набухания и принимаемый по таблице 6.1;</w:t>
      </w:r>
    </w:p>
    <w:p w:rsidR="00E35632" w:rsidRDefault="00E35632">
      <w:pPr>
        <w:pStyle w:val="ConsPlusNormal"/>
        <w:spacing w:before="220"/>
        <w:ind w:firstLine="540"/>
        <w:jc w:val="both"/>
      </w:pPr>
      <w:r>
        <w:rPr>
          <w:i/>
        </w:rPr>
        <w:lastRenderedPageBreak/>
        <w:t>p</w:t>
      </w:r>
      <w:r>
        <w:rPr>
          <w:i/>
          <w:vertAlign w:val="subscript"/>
        </w:rPr>
        <w:t>max,h</w:t>
      </w:r>
      <w:r>
        <w:t xml:space="preserve"> - максимальное горизонтальное давление, определяемое в лабораторных условиях, кПа.</w:t>
      </w:r>
    </w:p>
    <w:p w:rsidR="00E35632" w:rsidRDefault="00E35632">
      <w:pPr>
        <w:pStyle w:val="ConsPlusNormal"/>
        <w:jc w:val="both"/>
      </w:pPr>
    </w:p>
    <w:p w:rsidR="00E35632" w:rsidRDefault="00E35632">
      <w:pPr>
        <w:pStyle w:val="ConsPlusNormal"/>
        <w:jc w:val="right"/>
      </w:pPr>
      <w:r>
        <w:t>Таблица 6.1</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020"/>
        <w:gridCol w:w="775"/>
        <w:gridCol w:w="715"/>
        <w:gridCol w:w="710"/>
        <w:gridCol w:w="708"/>
        <w:gridCol w:w="706"/>
        <w:gridCol w:w="691"/>
        <w:gridCol w:w="715"/>
      </w:tblGrid>
      <w:tr w:rsidR="00E35632">
        <w:tc>
          <w:tcPr>
            <w:tcW w:w="4020" w:type="dxa"/>
          </w:tcPr>
          <w:p w:rsidR="00E35632" w:rsidRDefault="00E35632">
            <w:pPr>
              <w:pStyle w:val="ConsPlusNormal"/>
            </w:pPr>
            <w:r>
              <w:t>Интенсивность набухания за 1 сут, %</w:t>
            </w:r>
          </w:p>
        </w:tc>
        <w:tc>
          <w:tcPr>
            <w:tcW w:w="775" w:type="dxa"/>
          </w:tcPr>
          <w:p w:rsidR="00E35632" w:rsidRDefault="00E35632">
            <w:pPr>
              <w:pStyle w:val="ConsPlusNormal"/>
              <w:jc w:val="center"/>
            </w:pPr>
            <w:r>
              <w:t>0,1</w:t>
            </w:r>
          </w:p>
        </w:tc>
        <w:tc>
          <w:tcPr>
            <w:tcW w:w="715" w:type="dxa"/>
          </w:tcPr>
          <w:p w:rsidR="00E35632" w:rsidRDefault="00E35632">
            <w:pPr>
              <w:pStyle w:val="ConsPlusNormal"/>
              <w:jc w:val="center"/>
            </w:pPr>
            <w:r>
              <w:t>0,2</w:t>
            </w:r>
          </w:p>
        </w:tc>
        <w:tc>
          <w:tcPr>
            <w:tcW w:w="710" w:type="dxa"/>
          </w:tcPr>
          <w:p w:rsidR="00E35632" w:rsidRDefault="00E35632">
            <w:pPr>
              <w:pStyle w:val="ConsPlusNormal"/>
              <w:jc w:val="center"/>
            </w:pPr>
            <w:r>
              <w:t>0,3</w:t>
            </w:r>
          </w:p>
        </w:tc>
        <w:tc>
          <w:tcPr>
            <w:tcW w:w="708" w:type="dxa"/>
          </w:tcPr>
          <w:p w:rsidR="00E35632" w:rsidRDefault="00E35632">
            <w:pPr>
              <w:pStyle w:val="ConsPlusNormal"/>
              <w:jc w:val="center"/>
            </w:pPr>
            <w:r>
              <w:t>0,4</w:t>
            </w:r>
          </w:p>
        </w:tc>
        <w:tc>
          <w:tcPr>
            <w:tcW w:w="706" w:type="dxa"/>
          </w:tcPr>
          <w:p w:rsidR="00E35632" w:rsidRDefault="00E35632">
            <w:pPr>
              <w:pStyle w:val="ConsPlusNormal"/>
              <w:jc w:val="center"/>
            </w:pPr>
            <w:r>
              <w:t>0,5</w:t>
            </w:r>
          </w:p>
        </w:tc>
        <w:tc>
          <w:tcPr>
            <w:tcW w:w="691" w:type="dxa"/>
          </w:tcPr>
          <w:p w:rsidR="00E35632" w:rsidRDefault="00E35632">
            <w:pPr>
              <w:pStyle w:val="ConsPlusNormal"/>
              <w:jc w:val="center"/>
            </w:pPr>
            <w:r>
              <w:t>0,6</w:t>
            </w:r>
          </w:p>
        </w:tc>
        <w:tc>
          <w:tcPr>
            <w:tcW w:w="715" w:type="dxa"/>
          </w:tcPr>
          <w:p w:rsidR="00E35632" w:rsidRDefault="00E35632">
            <w:pPr>
              <w:pStyle w:val="ConsPlusNormal"/>
              <w:jc w:val="center"/>
            </w:pPr>
            <w:r>
              <w:t>0,7</w:t>
            </w:r>
          </w:p>
        </w:tc>
      </w:tr>
      <w:tr w:rsidR="00E35632">
        <w:tc>
          <w:tcPr>
            <w:tcW w:w="4020" w:type="dxa"/>
          </w:tcPr>
          <w:p w:rsidR="00E35632" w:rsidRDefault="00E35632">
            <w:pPr>
              <w:pStyle w:val="ConsPlusNormal"/>
            </w:pPr>
            <w:r>
              <w:rPr>
                <w:i/>
              </w:rPr>
              <w:t>k</w:t>
            </w:r>
            <w:r>
              <w:rPr>
                <w:i/>
                <w:vertAlign w:val="subscript"/>
              </w:rPr>
              <w:t>sw</w:t>
            </w:r>
          </w:p>
        </w:tc>
        <w:tc>
          <w:tcPr>
            <w:tcW w:w="775" w:type="dxa"/>
          </w:tcPr>
          <w:p w:rsidR="00E35632" w:rsidRDefault="00E35632">
            <w:pPr>
              <w:pStyle w:val="ConsPlusNormal"/>
              <w:jc w:val="center"/>
            </w:pPr>
            <w:r>
              <w:t>1,40</w:t>
            </w:r>
          </w:p>
        </w:tc>
        <w:tc>
          <w:tcPr>
            <w:tcW w:w="715" w:type="dxa"/>
          </w:tcPr>
          <w:p w:rsidR="00E35632" w:rsidRDefault="00E35632">
            <w:pPr>
              <w:pStyle w:val="ConsPlusNormal"/>
              <w:jc w:val="center"/>
            </w:pPr>
            <w:r>
              <w:t>1,25</w:t>
            </w:r>
          </w:p>
        </w:tc>
        <w:tc>
          <w:tcPr>
            <w:tcW w:w="710" w:type="dxa"/>
          </w:tcPr>
          <w:p w:rsidR="00E35632" w:rsidRDefault="00E35632">
            <w:pPr>
              <w:pStyle w:val="ConsPlusNormal"/>
              <w:jc w:val="center"/>
            </w:pPr>
            <w:r>
              <w:t>1,12</w:t>
            </w:r>
          </w:p>
        </w:tc>
        <w:tc>
          <w:tcPr>
            <w:tcW w:w="708" w:type="dxa"/>
          </w:tcPr>
          <w:p w:rsidR="00E35632" w:rsidRDefault="00E35632">
            <w:pPr>
              <w:pStyle w:val="ConsPlusNormal"/>
              <w:jc w:val="center"/>
            </w:pPr>
            <w:r>
              <w:t>1,05</w:t>
            </w:r>
          </w:p>
        </w:tc>
        <w:tc>
          <w:tcPr>
            <w:tcW w:w="706" w:type="dxa"/>
          </w:tcPr>
          <w:p w:rsidR="00E35632" w:rsidRDefault="00E35632">
            <w:pPr>
              <w:pStyle w:val="ConsPlusNormal"/>
              <w:jc w:val="center"/>
            </w:pPr>
            <w:r>
              <w:t>1,02</w:t>
            </w:r>
          </w:p>
        </w:tc>
        <w:tc>
          <w:tcPr>
            <w:tcW w:w="691" w:type="dxa"/>
          </w:tcPr>
          <w:p w:rsidR="00E35632" w:rsidRDefault="00E35632">
            <w:pPr>
              <w:pStyle w:val="ConsPlusNormal"/>
              <w:jc w:val="center"/>
            </w:pPr>
            <w:r>
              <w:t>1,01</w:t>
            </w:r>
          </w:p>
        </w:tc>
        <w:tc>
          <w:tcPr>
            <w:tcW w:w="715" w:type="dxa"/>
          </w:tcPr>
          <w:p w:rsidR="00E35632" w:rsidRDefault="00E35632">
            <w:pPr>
              <w:pStyle w:val="ConsPlusNormal"/>
              <w:jc w:val="center"/>
            </w:pPr>
            <w:r>
              <w:t>1,00</w:t>
            </w:r>
          </w:p>
        </w:tc>
      </w:tr>
    </w:tbl>
    <w:p w:rsidR="00E35632" w:rsidRDefault="00E35632">
      <w:pPr>
        <w:pStyle w:val="ConsPlusNormal"/>
        <w:jc w:val="both"/>
      </w:pPr>
    </w:p>
    <w:p w:rsidR="00E35632" w:rsidRDefault="00E35632">
      <w:pPr>
        <w:pStyle w:val="ConsPlusNormal"/>
        <w:ind w:firstLine="540"/>
        <w:jc w:val="both"/>
      </w:pPr>
      <w:r>
        <w:t xml:space="preserve">6.2.5 Основания, сложенные набухающими грунтами, следует рассчитывать в соответствии с требованиями </w:t>
      </w:r>
      <w:hyperlink w:anchor="P375">
        <w:r>
          <w:rPr>
            <w:color w:val="0000FF"/>
          </w:rPr>
          <w:t>раздела 5</w:t>
        </w:r>
      </w:hyperlink>
      <w:r>
        <w:t>.</w:t>
      </w:r>
    </w:p>
    <w:p w:rsidR="00E35632" w:rsidRDefault="00E35632">
      <w:pPr>
        <w:pStyle w:val="ConsPlusNormal"/>
        <w:spacing w:before="220"/>
        <w:ind w:firstLine="540"/>
        <w:jc w:val="both"/>
      </w:pPr>
      <w:r>
        <w:t xml:space="preserve">Деформации основания в результате набухания или усадки грунта следует определять путем суммирования деформаций отдельных слоев основания согласно </w:t>
      </w:r>
      <w:hyperlink w:anchor="P2552">
        <w:r>
          <w:rPr>
            <w:color w:val="0000FF"/>
          </w:rPr>
          <w:t>6.2.9</w:t>
        </w:r>
      </w:hyperlink>
      <w:r>
        <w:t xml:space="preserve"> и </w:t>
      </w:r>
      <w:hyperlink w:anchor="P2655">
        <w:r>
          <w:rPr>
            <w:color w:val="0000FF"/>
          </w:rPr>
          <w:t>6.2.15</w:t>
        </w:r>
      </w:hyperlink>
      <w:r>
        <w:t>.</w:t>
      </w:r>
    </w:p>
    <w:p w:rsidR="00E35632" w:rsidRDefault="00E35632">
      <w:pPr>
        <w:pStyle w:val="ConsPlusNormal"/>
        <w:spacing w:before="220"/>
        <w:ind w:firstLine="540"/>
        <w:jc w:val="both"/>
      </w:pPr>
      <w:r>
        <w:t>При определении деформаций основания осадка его от внешней нагрузки и возможная осадка от уменьшения влажности набухающего грунта должны суммироваться. Подъем основания в результате набухания грунта определяют в предположении, что осадки основания от внешней нагрузки стабилизировались.</w:t>
      </w:r>
    </w:p>
    <w:p w:rsidR="00E35632" w:rsidRDefault="00E35632">
      <w:pPr>
        <w:pStyle w:val="ConsPlusNormal"/>
        <w:spacing w:before="220"/>
        <w:ind w:firstLine="540"/>
        <w:jc w:val="both"/>
      </w:pPr>
      <w:r>
        <w:t xml:space="preserve">Предельные значения деформаций основания фундаментов, вызываемых набуханием (усадкой) грунтов, допускается принимать в соответствии с требованиями </w:t>
      </w:r>
      <w:hyperlink w:anchor="P6874">
        <w:r>
          <w:rPr>
            <w:color w:val="0000FF"/>
          </w:rPr>
          <w:t>приложения Г</w:t>
        </w:r>
      </w:hyperlink>
      <w:r>
        <w:t xml:space="preserve"> с учетом требований </w:t>
      </w:r>
      <w:hyperlink w:anchor="P1801">
        <w:r>
          <w:rPr>
            <w:color w:val="0000FF"/>
          </w:rPr>
          <w:t>5.6.50</w:t>
        </w:r>
      </w:hyperlink>
      <w:r>
        <w:t>.</w:t>
      </w:r>
    </w:p>
    <w:p w:rsidR="00E35632" w:rsidRDefault="00E35632">
      <w:pPr>
        <w:pStyle w:val="ConsPlusNormal"/>
        <w:spacing w:before="220"/>
        <w:ind w:firstLine="540"/>
        <w:jc w:val="both"/>
      </w:pPr>
      <w:r>
        <w:t>6.2.6 При расчете оснований из набухающих грунтов следует применять характеристики грунтов при их природной плотности и влажности. При расчете оснований из набухающих грунтов после их предварительного замачивания используют характеристики грунта в замоченном состоянии.</w:t>
      </w:r>
    </w:p>
    <w:p w:rsidR="00E35632" w:rsidRDefault="00E35632">
      <w:pPr>
        <w:pStyle w:val="ConsPlusNormal"/>
        <w:spacing w:before="220"/>
        <w:ind w:firstLine="540"/>
        <w:jc w:val="both"/>
      </w:pPr>
      <w:r>
        <w:t xml:space="preserve">Расчетное сопротивление грунтов оснований, сложенных набухающими грунтами, вычисляют по </w:t>
      </w:r>
      <w:hyperlink w:anchor="P851">
        <w:r>
          <w:rPr>
            <w:color w:val="0000FF"/>
          </w:rPr>
          <w:t>формуле (5.7)</w:t>
        </w:r>
      </w:hyperlink>
      <w:r>
        <w:t xml:space="preserve">. При этом необходимо учитывать допустимость его повышения согласно требованиям </w:t>
      </w:r>
      <w:hyperlink w:anchor="P1213">
        <w:r>
          <w:rPr>
            <w:color w:val="0000FF"/>
          </w:rPr>
          <w:t>5.6.24</w:t>
        </w:r>
      </w:hyperlink>
      <w:r>
        <w:t>, что будет способствовать уменьшению подъема фундамента при набухании грунта.</w:t>
      </w:r>
    </w:p>
    <w:p w:rsidR="00E35632" w:rsidRDefault="00E35632">
      <w:pPr>
        <w:pStyle w:val="ConsPlusNormal"/>
        <w:spacing w:before="220"/>
        <w:ind w:firstLine="540"/>
        <w:jc w:val="both"/>
      </w:pPr>
      <w:bookmarkStart w:id="141" w:name="P2550"/>
      <w:bookmarkEnd w:id="141"/>
      <w:r>
        <w:t xml:space="preserve">6.2.7 Относительное набухание </w:t>
      </w:r>
      <w:r>
        <w:rPr>
          <w:noProof/>
          <w:position w:val="-8"/>
        </w:rPr>
        <w:drawing>
          <wp:inline distT="0" distB="0" distL="0" distR="0">
            <wp:extent cx="241935" cy="251460"/>
            <wp:effectExtent l="0" t="0" r="0" b="0"/>
            <wp:docPr id="30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давление набухания </w:t>
      </w:r>
      <w:r>
        <w:rPr>
          <w:i/>
        </w:rPr>
        <w:t>p</w:t>
      </w:r>
      <w:r>
        <w:rPr>
          <w:i/>
          <w:vertAlign w:val="subscript"/>
        </w:rPr>
        <w:t>sw</w:t>
      </w:r>
      <w:r>
        <w:t xml:space="preserve"> и относительную усадку </w:t>
      </w:r>
      <w:r>
        <w:rPr>
          <w:noProof/>
          <w:position w:val="-8"/>
        </w:rPr>
        <w:drawing>
          <wp:inline distT="0" distB="0" distL="0" distR="0">
            <wp:extent cx="226060" cy="251460"/>
            <wp:effectExtent l="0" t="0" r="0" b="0"/>
            <wp:docPr id="30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226060" cy="251460"/>
                    </a:xfrm>
                    <a:prstGeom prst="rect">
                      <a:avLst/>
                    </a:prstGeom>
                    <a:noFill/>
                    <a:ln>
                      <a:noFill/>
                    </a:ln>
                  </pic:spPr>
                </pic:pic>
              </a:graphicData>
            </a:graphic>
          </wp:inline>
        </w:drawing>
      </w:r>
      <w:r>
        <w:t xml:space="preserve"> определяют по результатам лабораторных испытаний с учетом указанных в </w:t>
      </w:r>
      <w:hyperlink w:anchor="P2510">
        <w:r>
          <w:rPr>
            <w:color w:val="0000FF"/>
          </w:rPr>
          <w:t>6.2.3</w:t>
        </w:r>
      </w:hyperlink>
      <w:r>
        <w:t xml:space="preserve"> причин набухания или усадки. Эти характеристики могут быть получены также по данным полевых испытаний грунтов штампом.</w:t>
      </w:r>
    </w:p>
    <w:p w:rsidR="00E35632" w:rsidRDefault="00E35632">
      <w:pPr>
        <w:pStyle w:val="ConsPlusNormal"/>
        <w:spacing w:before="220"/>
        <w:ind w:firstLine="540"/>
        <w:jc w:val="both"/>
      </w:pPr>
      <w:r>
        <w:t xml:space="preserve">6.2.8 Нормативные значения характеристик </w:t>
      </w:r>
      <w:r>
        <w:rPr>
          <w:noProof/>
          <w:position w:val="-8"/>
        </w:rPr>
        <w:drawing>
          <wp:inline distT="0" distB="0" distL="0" distR="0">
            <wp:extent cx="241935" cy="251460"/>
            <wp:effectExtent l="0" t="0" r="0" b="0"/>
            <wp:docPr id="30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и </w:t>
      </w:r>
      <w:r>
        <w:rPr>
          <w:noProof/>
          <w:position w:val="-8"/>
        </w:rPr>
        <w:drawing>
          <wp:inline distT="0" distB="0" distL="0" distR="0">
            <wp:extent cx="226060" cy="251460"/>
            <wp:effectExtent l="0" t="0" r="0" b="0"/>
            <wp:docPr id="30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226060" cy="251460"/>
                    </a:xfrm>
                    <a:prstGeom prst="rect">
                      <a:avLst/>
                    </a:prstGeom>
                    <a:noFill/>
                    <a:ln>
                      <a:noFill/>
                    </a:ln>
                  </pic:spPr>
                </pic:pic>
              </a:graphicData>
            </a:graphic>
          </wp:inline>
        </w:drawing>
      </w:r>
      <w:r>
        <w:t xml:space="preserve"> набухающих грунтов вычисляют как средние значения результатов их определений. Расчетные значения этих характеристик допускается принимать равными нормативным </w:t>
      </w:r>
      <w:r>
        <w:rPr>
          <w:noProof/>
          <w:position w:val="-10"/>
        </w:rPr>
        <w:drawing>
          <wp:inline distT="0" distB="0" distL="0" distR="0">
            <wp:extent cx="544830" cy="267970"/>
            <wp:effectExtent l="0" t="0" r="0" b="0"/>
            <wp:docPr id="30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544830" cy="267970"/>
                    </a:xfrm>
                    <a:prstGeom prst="rect">
                      <a:avLst/>
                    </a:prstGeom>
                    <a:noFill/>
                    <a:ln>
                      <a:noFill/>
                    </a:ln>
                  </pic:spPr>
                </pic:pic>
              </a:graphicData>
            </a:graphic>
          </wp:inline>
        </w:drawing>
      </w:r>
      <w:r>
        <w:t>.</w:t>
      </w:r>
    </w:p>
    <w:p w:rsidR="00E35632" w:rsidRDefault="00E35632">
      <w:pPr>
        <w:pStyle w:val="ConsPlusNormal"/>
        <w:spacing w:before="220"/>
        <w:ind w:firstLine="540"/>
        <w:jc w:val="both"/>
      </w:pPr>
      <w:bookmarkStart w:id="142" w:name="P2552"/>
      <w:bookmarkEnd w:id="142"/>
      <w:r>
        <w:t xml:space="preserve">6.2.9 Подъем основания при набухании грунта </w:t>
      </w:r>
      <w:r>
        <w:rPr>
          <w:i/>
        </w:rPr>
        <w:t>h</w:t>
      </w:r>
      <w:r>
        <w:rPr>
          <w:i/>
          <w:vertAlign w:val="subscript"/>
        </w:rPr>
        <w:t>sw</w:t>
      </w:r>
      <w:r>
        <w:t>, см, вычисляют по формуле</w:t>
      </w:r>
    </w:p>
    <w:p w:rsidR="00E35632" w:rsidRDefault="00E35632">
      <w:pPr>
        <w:pStyle w:val="ConsPlusNormal"/>
        <w:jc w:val="both"/>
      </w:pPr>
    </w:p>
    <w:p w:rsidR="00E35632" w:rsidRDefault="00E35632">
      <w:pPr>
        <w:pStyle w:val="ConsPlusNormal"/>
        <w:jc w:val="center"/>
      </w:pPr>
      <w:r>
        <w:rPr>
          <w:noProof/>
          <w:position w:val="-26"/>
        </w:rPr>
        <w:drawing>
          <wp:inline distT="0" distB="0" distL="0" distR="0">
            <wp:extent cx="1271270" cy="479425"/>
            <wp:effectExtent l="0" t="0" r="0" b="0"/>
            <wp:docPr id="30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1271270" cy="479425"/>
                    </a:xfrm>
                    <a:prstGeom prst="rect">
                      <a:avLst/>
                    </a:prstGeom>
                    <a:noFill/>
                    <a:ln>
                      <a:noFill/>
                    </a:ln>
                  </pic:spPr>
                </pic:pic>
              </a:graphicData>
            </a:graphic>
          </wp:inline>
        </w:drawing>
      </w:r>
      <w:r>
        <w:t xml:space="preserve"> (6.10)</w:t>
      </w:r>
    </w:p>
    <w:p w:rsidR="00E35632" w:rsidRDefault="00E35632">
      <w:pPr>
        <w:pStyle w:val="ConsPlusNormal"/>
        <w:jc w:val="both"/>
      </w:pPr>
    </w:p>
    <w:p w:rsidR="00E35632" w:rsidRDefault="00E35632">
      <w:pPr>
        <w:pStyle w:val="ConsPlusNormal"/>
        <w:ind w:firstLine="540"/>
        <w:jc w:val="both"/>
      </w:pPr>
      <w:r>
        <w:t xml:space="preserve">где </w:t>
      </w:r>
      <w:r>
        <w:rPr>
          <w:noProof/>
          <w:position w:val="-10"/>
        </w:rPr>
        <w:drawing>
          <wp:inline distT="0" distB="0" distL="0" distR="0">
            <wp:extent cx="302260" cy="267970"/>
            <wp:effectExtent l="0" t="0" r="0" b="0"/>
            <wp:docPr id="30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302260" cy="267970"/>
                    </a:xfrm>
                    <a:prstGeom prst="rect">
                      <a:avLst/>
                    </a:prstGeom>
                    <a:noFill/>
                    <a:ln>
                      <a:noFill/>
                    </a:ln>
                  </pic:spPr>
                </pic:pic>
              </a:graphicData>
            </a:graphic>
          </wp:inline>
        </w:drawing>
      </w:r>
      <w:r>
        <w:t xml:space="preserve"> - относительное набухание грунта </w:t>
      </w:r>
      <w:r>
        <w:rPr>
          <w:i/>
        </w:rPr>
        <w:t>i</w:t>
      </w:r>
      <w:r>
        <w:t xml:space="preserve">-го слоя, определяемое в соответствии с </w:t>
      </w:r>
      <w:hyperlink w:anchor="P2560">
        <w:r>
          <w:rPr>
            <w:color w:val="0000FF"/>
          </w:rPr>
          <w:t>6.2.10</w:t>
        </w:r>
      </w:hyperlink>
      <w:r>
        <w:t>;</w:t>
      </w:r>
    </w:p>
    <w:p w:rsidR="00E35632" w:rsidRDefault="00E35632">
      <w:pPr>
        <w:pStyle w:val="ConsPlusNormal"/>
        <w:spacing w:before="220"/>
        <w:ind w:firstLine="540"/>
        <w:jc w:val="both"/>
      </w:pPr>
      <w:r>
        <w:rPr>
          <w:i/>
        </w:rPr>
        <w:t>h</w:t>
      </w:r>
      <w:r>
        <w:rPr>
          <w:i/>
          <w:vertAlign w:val="subscript"/>
        </w:rPr>
        <w:t>i</w:t>
      </w:r>
      <w:r>
        <w:t xml:space="preserve"> - толщина </w:t>
      </w:r>
      <w:r>
        <w:rPr>
          <w:i/>
        </w:rPr>
        <w:t>i</w:t>
      </w:r>
      <w:r>
        <w:t>-го слоя грунта, см;</w:t>
      </w:r>
    </w:p>
    <w:p w:rsidR="00E35632" w:rsidRDefault="00E35632">
      <w:pPr>
        <w:pStyle w:val="ConsPlusNormal"/>
        <w:spacing w:before="220"/>
        <w:ind w:firstLine="540"/>
        <w:jc w:val="both"/>
      </w:pPr>
      <w:r>
        <w:rPr>
          <w:i/>
        </w:rPr>
        <w:lastRenderedPageBreak/>
        <w:t>k</w:t>
      </w:r>
      <w:r>
        <w:rPr>
          <w:i/>
          <w:vertAlign w:val="subscript"/>
        </w:rPr>
        <w:t>sw,i</w:t>
      </w:r>
      <w:r>
        <w:t xml:space="preserve"> - коэффициент, определяемый в соответствии с </w:t>
      </w:r>
      <w:hyperlink w:anchor="P2585">
        <w:r>
          <w:rPr>
            <w:color w:val="0000FF"/>
          </w:rPr>
          <w:t>6.2.12</w:t>
        </w:r>
      </w:hyperlink>
      <w:r>
        <w:t>;</w:t>
      </w:r>
    </w:p>
    <w:p w:rsidR="00E35632" w:rsidRDefault="00E35632">
      <w:pPr>
        <w:pStyle w:val="ConsPlusNormal"/>
        <w:spacing w:before="220"/>
        <w:ind w:firstLine="540"/>
        <w:jc w:val="both"/>
      </w:pPr>
      <w:r>
        <w:rPr>
          <w:i/>
        </w:rPr>
        <w:t>n</w:t>
      </w:r>
      <w:r>
        <w:t xml:space="preserve"> - число слоев, на которое разбита зона набухания грунта.</w:t>
      </w:r>
    </w:p>
    <w:p w:rsidR="00E35632" w:rsidRDefault="00E35632">
      <w:pPr>
        <w:pStyle w:val="ConsPlusNormal"/>
        <w:spacing w:before="220"/>
        <w:ind w:firstLine="540"/>
        <w:jc w:val="both"/>
      </w:pPr>
      <w:bookmarkStart w:id="143" w:name="P2560"/>
      <w:bookmarkEnd w:id="143"/>
      <w:r>
        <w:t>6.2.10 Относительное набухание грунта при инфильтрации влаги вычисляют по формуле</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1327150" cy="251460"/>
            <wp:effectExtent l="0" t="0" r="0" b="0"/>
            <wp:docPr id="30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327150" cy="25146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ind w:firstLine="540"/>
        <w:jc w:val="both"/>
      </w:pPr>
      <w:r>
        <w:t xml:space="preserve">где </w:t>
      </w:r>
      <w:r>
        <w:rPr>
          <w:i/>
        </w:rPr>
        <w:t>h</w:t>
      </w:r>
      <w:r>
        <w:rPr>
          <w:i/>
          <w:vertAlign w:val="subscript"/>
        </w:rPr>
        <w:t>n</w:t>
      </w:r>
      <w:r>
        <w:t xml:space="preserve"> - высота образца, см, природной влажности и плотности, обжатого без возможности бокового расширения давлением </w:t>
      </w:r>
      <w:r>
        <w:rPr>
          <w:i/>
        </w:rPr>
        <w:t>p</w:t>
      </w:r>
      <w:r>
        <w:t xml:space="preserve">, равным суммарному вертикальному напряжению на рассматриваемой глубине (значение определяют в соответствии с </w:t>
      </w:r>
      <w:hyperlink w:anchor="P2586">
        <w:r>
          <w:rPr>
            <w:color w:val="0000FF"/>
          </w:rPr>
          <w:t>6.2.13</w:t>
        </w:r>
      </w:hyperlink>
      <w:r>
        <w:t>);</w:t>
      </w:r>
    </w:p>
    <w:p w:rsidR="00E35632" w:rsidRDefault="00E35632">
      <w:pPr>
        <w:pStyle w:val="ConsPlusNormal"/>
        <w:spacing w:before="220"/>
        <w:ind w:firstLine="540"/>
        <w:jc w:val="both"/>
      </w:pPr>
      <w:r>
        <w:rPr>
          <w:i/>
        </w:rPr>
        <w:t>h</w:t>
      </w:r>
      <w:r>
        <w:rPr>
          <w:i/>
          <w:vertAlign w:val="subscript"/>
        </w:rPr>
        <w:t>sat</w:t>
      </w:r>
      <w:r>
        <w:t xml:space="preserve"> - высота того же образца, см, после замачивания до полного водонасыщения и обжатого в тех же условиях.</w:t>
      </w:r>
    </w:p>
    <w:p w:rsidR="00E35632" w:rsidRDefault="00E35632">
      <w:pPr>
        <w:pStyle w:val="ConsPlusNormal"/>
        <w:spacing w:before="220"/>
        <w:ind w:firstLine="540"/>
        <w:jc w:val="both"/>
      </w:pPr>
      <w:r>
        <w:t xml:space="preserve">По результатам испытаний образцов грунта при различном давлении строят зависимости </w:t>
      </w:r>
      <w:r>
        <w:rPr>
          <w:noProof/>
          <w:position w:val="-8"/>
        </w:rPr>
        <w:drawing>
          <wp:inline distT="0" distB="0" distL="0" distR="0">
            <wp:extent cx="760730" cy="251460"/>
            <wp:effectExtent l="0" t="0" r="0" b="0"/>
            <wp:docPr id="30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760730" cy="251460"/>
                    </a:xfrm>
                    <a:prstGeom prst="rect">
                      <a:avLst/>
                    </a:prstGeom>
                    <a:noFill/>
                    <a:ln>
                      <a:noFill/>
                    </a:ln>
                  </pic:spPr>
                </pic:pic>
              </a:graphicData>
            </a:graphic>
          </wp:inline>
        </w:drawing>
      </w:r>
      <w:r>
        <w:t xml:space="preserve"> и </w:t>
      </w:r>
      <w:r>
        <w:rPr>
          <w:i/>
        </w:rPr>
        <w:t>w</w:t>
      </w:r>
      <w:r>
        <w:rPr>
          <w:i/>
          <w:vertAlign w:val="subscript"/>
        </w:rPr>
        <w:t>sw</w:t>
      </w:r>
      <w:r>
        <w:t xml:space="preserve"> = </w:t>
      </w:r>
      <w:r>
        <w:rPr>
          <w:i/>
        </w:rPr>
        <w:t>f</w:t>
      </w:r>
      <w:r>
        <w:t>(</w:t>
      </w:r>
      <w:r>
        <w:rPr>
          <w:i/>
        </w:rPr>
        <w:t>p</w:t>
      </w:r>
      <w:r>
        <w:t xml:space="preserve">) и определяют давление набухания </w:t>
      </w:r>
      <w:r>
        <w:rPr>
          <w:i/>
        </w:rPr>
        <w:t>p</w:t>
      </w:r>
      <w:r>
        <w:rPr>
          <w:i/>
          <w:vertAlign w:val="subscript"/>
        </w:rPr>
        <w:t>sw</w:t>
      </w:r>
      <w:r>
        <w:t xml:space="preserve"> соответствующее </w:t>
      </w:r>
      <w:r>
        <w:rPr>
          <w:noProof/>
          <w:position w:val="-8"/>
        </w:rPr>
        <w:drawing>
          <wp:inline distT="0" distB="0" distL="0" distR="0">
            <wp:extent cx="513080" cy="251460"/>
            <wp:effectExtent l="0" t="0" r="0" b="0"/>
            <wp:docPr id="3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513080" cy="25146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При экранировании поверхности и изменении водно-теплового режима относительное набухание </w:t>
      </w:r>
      <w:r>
        <w:rPr>
          <w:noProof/>
          <w:position w:val="-8"/>
        </w:rPr>
        <w:drawing>
          <wp:inline distT="0" distB="0" distL="0" distR="0">
            <wp:extent cx="241935" cy="251460"/>
            <wp:effectExtent l="0" t="0" r="0" b="0"/>
            <wp:docPr id="3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вычисляют по формуле</w:t>
      </w:r>
    </w:p>
    <w:p w:rsidR="00E35632" w:rsidRDefault="00E35632">
      <w:pPr>
        <w:pStyle w:val="ConsPlusNormal"/>
        <w:jc w:val="both"/>
      </w:pPr>
    </w:p>
    <w:p w:rsidR="00E35632" w:rsidRDefault="00E35632">
      <w:pPr>
        <w:pStyle w:val="ConsPlusNormal"/>
        <w:jc w:val="center"/>
      </w:pPr>
      <w:bookmarkStart w:id="144" w:name="P2569"/>
      <w:bookmarkEnd w:id="144"/>
      <w:r>
        <w:rPr>
          <w:noProof/>
          <w:position w:val="-10"/>
        </w:rPr>
        <w:drawing>
          <wp:inline distT="0" distB="0" distL="0" distR="0">
            <wp:extent cx="1760220" cy="267970"/>
            <wp:effectExtent l="0" t="0" r="0" b="0"/>
            <wp:docPr id="3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760220" cy="267970"/>
                    </a:xfrm>
                    <a:prstGeom prst="rect">
                      <a:avLst/>
                    </a:prstGeom>
                    <a:noFill/>
                    <a:ln>
                      <a:noFill/>
                    </a:ln>
                  </pic:spPr>
                </pic:pic>
              </a:graphicData>
            </a:graphic>
          </wp:inline>
        </w:drawing>
      </w:r>
      <w:r>
        <w:t xml:space="preserve"> (6.11)</w:t>
      </w:r>
    </w:p>
    <w:p w:rsidR="00E35632" w:rsidRDefault="00E35632">
      <w:pPr>
        <w:pStyle w:val="ConsPlusNormal"/>
        <w:jc w:val="both"/>
      </w:pPr>
    </w:p>
    <w:p w:rsidR="00E35632" w:rsidRDefault="00E35632">
      <w:pPr>
        <w:pStyle w:val="ConsPlusNormal"/>
        <w:ind w:firstLine="540"/>
        <w:jc w:val="both"/>
      </w:pPr>
      <w:r>
        <w:t xml:space="preserve">где </w:t>
      </w:r>
      <w:r>
        <w:rPr>
          <w:i/>
        </w:rPr>
        <w:t>k</w:t>
      </w:r>
      <w:r>
        <w:t xml:space="preserve"> - коэффициент, определяемый опытным путем (при отсутствии опытных данных принимают равным 2);</w:t>
      </w:r>
    </w:p>
    <w:p w:rsidR="00E35632" w:rsidRDefault="00E35632">
      <w:pPr>
        <w:pStyle w:val="ConsPlusNormal"/>
        <w:spacing w:before="220"/>
        <w:ind w:firstLine="540"/>
        <w:jc w:val="both"/>
      </w:pPr>
      <w:r>
        <w:rPr>
          <w:i/>
        </w:rPr>
        <w:t>w</w:t>
      </w:r>
      <w:r>
        <w:rPr>
          <w:i/>
          <w:vertAlign w:val="subscript"/>
        </w:rPr>
        <w:t>eq</w:t>
      </w:r>
      <w:r>
        <w:t xml:space="preserve"> - конечная (установившаяся) влажность грунта, доли единицы, определяемая по 6.2.11;</w:t>
      </w:r>
    </w:p>
    <w:p w:rsidR="00E35632" w:rsidRDefault="00E35632">
      <w:pPr>
        <w:pStyle w:val="ConsPlusNormal"/>
        <w:spacing w:before="220"/>
        <w:ind w:firstLine="540"/>
        <w:jc w:val="both"/>
      </w:pPr>
      <w:r>
        <w:rPr>
          <w:i/>
        </w:rPr>
        <w:t>w</w:t>
      </w:r>
      <w:r>
        <w:rPr>
          <w:vertAlign w:val="subscript"/>
        </w:rPr>
        <w:t>0</w:t>
      </w:r>
      <w:r>
        <w:t xml:space="preserve"> и </w:t>
      </w:r>
      <w:r>
        <w:rPr>
          <w:i/>
        </w:rPr>
        <w:t>e</w:t>
      </w:r>
      <w:r>
        <w:rPr>
          <w:vertAlign w:val="subscript"/>
        </w:rPr>
        <w:t>0</w:t>
      </w:r>
      <w:r>
        <w:t xml:space="preserve"> - соответственно начальные значения влажности и коэффициента пористости грунта, доли единицы.</w:t>
      </w:r>
    </w:p>
    <w:p w:rsidR="00E35632" w:rsidRDefault="00E35632">
      <w:pPr>
        <w:pStyle w:val="ConsPlusNormal"/>
        <w:spacing w:before="220"/>
        <w:ind w:firstLine="540"/>
        <w:jc w:val="both"/>
      </w:pPr>
      <w:r>
        <w:t xml:space="preserve">6.2.11 Значение </w:t>
      </w:r>
      <w:r>
        <w:rPr>
          <w:i/>
        </w:rPr>
        <w:t>w</w:t>
      </w:r>
      <w:r>
        <w:rPr>
          <w:i/>
          <w:vertAlign w:val="subscript"/>
        </w:rPr>
        <w:t>eq</w:t>
      </w:r>
      <w:r>
        <w:t xml:space="preserve"> </w:t>
      </w:r>
      <w:r>
        <w:rPr>
          <w:i/>
        </w:rPr>
        <w:t>i</w:t>
      </w:r>
      <w:r>
        <w:t xml:space="preserve">-го слоя при экранировании поверхности определяют по экспериментальной зависимости влажности набухания от нагрузки </w:t>
      </w:r>
      <w:r>
        <w:rPr>
          <w:i/>
        </w:rPr>
        <w:t>w</w:t>
      </w:r>
      <w:r>
        <w:rPr>
          <w:i/>
          <w:vertAlign w:val="subscript"/>
        </w:rPr>
        <w:t>sw</w:t>
      </w:r>
      <w:r>
        <w:t xml:space="preserve"> = </w:t>
      </w:r>
      <w:r>
        <w:rPr>
          <w:i/>
        </w:rPr>
        <w:t>f</w:t>
      </w:r>
      <w:r>
        <w:t>(</w:t>
      </w:r>
      <w:r>
        <w:rPr>
          <w:i/>
        </w:rPr>
        <w:t>p</w:t>
      </w:r>
      <w:r>
        <w:t xml:space="preserve">) при давлении </w:t>
      </w:r>
      <w:r>
        <w:rPr>
          <w:i/>
        </w:rPr>
        <w:t>p</w:t>
      </w:r>
      <w:r>
        <w:rPr>
          <w:i/>
          <w:vertAlign w:val="subscript"/>
        </w:rPr>
        <w:t>i</w:t>
      </w:r>
      <w:r>
        <w:t>, кПа, вычисляемом по формуле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1802130" cy="267970"/>
            <wp:effectExtent l="0" t="0" r="0" b="0"/>
            <wp:docPr id="3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802130" cy="267970"/>
                    </a:xfrm>
                    <a:prstGeom prst="rect">
                      <a:avLst/>
                    </a:prstGeom>
                    <a:noFill/>
                    <a:ln>
                      <a:noFill/>
                    </a:ln>
                  </pic:spPr>
                </pic:pic>
              </a:graphicData>
            </a:graphic>
          </wp:inline>
        </w:drawing>
      </w:r>
      <w:r>
        <w:t xml:space="preserve"> (6.12)</w:t>
      </w:r>
    </w:p>
    <w:p w:rsidR="00E35632" w:rsidRDefault="00E35632">
      <w:pPr>
        <w:pStyle w:val="ConsPlusNormal"/>
        <w:jc w:val="both"/>
      </w:pPr>
    </w:p>
    <w:p w:rsidR="00E35632" w:rsidRDefault="00E35632">
      <w:pPr>
        <w:pStyle w:val="ConsPlusNormal"/>
        <w:ind w:firstLine="540"/>
        <w:jc w:val="both"/>
      </w:pPr>
      <w:r>
        <w:t xml:space="preserve">где </w:t>
      </w:r>
      <w:r>
        <w:rPr>
          <w:noProof/>
          <w:position w:val="-8"/>
        </w:rPr>
        <w:drawing>
          <wp:inline distT="0" distB="0" distL="0" distR="0">
            <wp:extent cx="209550" cy="251460"/>
            <wp:effectExtent l="0" t="0" r="0" b="0"/>
            <wp:docPr id="3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удельный вес воды, кН/м</w:t>
      </w:r>
      <w:r>
        <w:rPr>
          <w:vertAlign w:val="superscript"/>
        </w:rPr>
        <w:t>3</w:t>
      </w:r>
      <w:r>
        <w:t>;</w:t>
      </w:r>
    </w:p>
    <w:p w:rsidR="00E35632" w:rsidRDefault="00E35632">
      <w:pPr>
        <w:pStyle w:val="ConsPlusNormal"/>
        <w:spacing w:before="220"/>
        <w:ind w:firstLine="540"/>
        <w:jc w:val="both"/>
      </w:pPr>
      <w:r>
        <w:rPr>
          <w:i/>
        </w:rPr>
        <w:t>z</w:t>
      </w:r>
      <w:r>
        <w:t xml:space="preserve"> - расстояние от экранируемой поверхности до уровня подземных вод;</w:t>
      </w:r>
    </w:p>
    <w:p w:rsidR="00E35632" w:rsidRDefault="00E35632">
      <w:pPr>
        <w:pStyle w:val="ConsPlusNormal"/>
        <w:spacing w:before="220"/>
        <w:ind w:firstLine="540"/>
        <w:jc w:val="both"/>
      </w:pPr>
      <w:r>
        <w:rPr>
          <w:i/>
        </w:rPr>
        <w:t>z</w:t>
      </w:r>
      <w:r>
        <w:rPr>
          <w:i/>
          <w:vertAlign w:val="subscript"/>
        </w:rPr>
        <w:t>i</w:t>
      </w:r>
      <w:r>
        <w:t xml:space="preserve"> - глубина залегания рассматриваемого слоя, м;</w:t>
      </w:r>
    </w:p>
    <w:p w:rsidR="00E35632" w:rsidRDefault="00E35632">
      <w:pPr>
        <w:pStyle w:val="ConsPlusNormal"/>
        <w:spacing w:before="220"/>
        <w:ind w:firstLine="540"/>
        <w:jc w:val="both"/>
      </w:pPr>
      <w:r>
        <w:rPr>
          <w:noProof/>
          <w:position w:val="-10"/>
        </w:rPr>
        <w:drawing>
          <wp:inline distT="0" distB="0" distL="0" distR="0">
            <wp:extent cx="318135" cy="267970"/>
            <wp:effectExtent l="0" t="0" r="0" b="0"/>
            <wp:docPr id="3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18135" cy="267970"/>
                    </a:xfrm>
                    <a:prstGeom prst="rect">
                      <a:avLst/>
                    </a:prstGeom>
                    <a:noFill/>
                    <a:ln>
                      <a:noFill/>
                    </a:ln>
                  </pic:spPr>
                </pic:pic>
              </a:graphicData>
            </a:graphic>
          </wp:inline>
        </w:drawing>
      </w:r>
      <w:r>
        <w:t xml:space="preserve"> - суммарное напряжение в рассматриваемом </w:t>
      </w:r>
      <w:r>
        <w:rPr>
          <w:i/>
        </w:rPr>
        <w:t>i</w:t>
      </w:r>
      <w:r>
        <w:t>-м слое, кПа;</w:t>
      </w:r>
    </w:p>
    <w:p w:rsidR="00E35632" w:rsidRDefault="00E35632">
      <w:pPr>
        <w:pStyle w:val="ConsPlusNormal"/>
        <w:jc w:val="both"/>
      </w:pPr>
      <w:r>
        <w:t xml:space="preserve">(в ред. </w:t>
      </w:r>
      <w:hyperlink r:id="rId562">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rPr>
          <w:noProof/>
          <w:position w:val="-8"/>
        </w:rPr>
        <w:drawing>
          <wp:inline distT="0" distB="0" distL="0" distR="0">
            <wp:extent cx="167640" cy="251460"/>
            <wp:effectExtent l="0" t="0" r="0" b="0"/>
            <wp:docPr id="3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 удельный вес грунта </w:t>
      </w:r>
      <w:r>
        <w:rPr>
          <w:i/>
        </w:rPr>
        <w:t>i</w:t>
      </w:r>
      <w:r>
        <w:t>-го слоя, кН/м</w:t>
      </w:r>
      <w:r>
        <w:rPr>
          <w:vertAlign w:val="superscript"/>
        </w:rPr>
        <w:t>3</w:t>
      </w:r>
      <w:r>
        <w:t>.</w:t>
      </w:r>
    </w:p>
    <w:p w:rsidR="00E35632" w:rsidRDefault="00E35632">
      <w:pPr>
        <w:pStyle w:val="ConsPlusNormal"/>
        <w:spacing w:before="220"/>
        <w:ind w:firstLine="540"/>
        <w:jc w:val="both"/>
      </w:pPr>
      <w:r>
        <w:t>Значение (</w:t>
      </w:r>
      <w:r>
        <w:rPr>
          <w:i/>
        </w:rPr>
        <w:t>w</w:t>
      </w:r>
      <w:r>
        <w:rPr>
          <w:i/>
          <w:vertAlign w:val="subscript"/>
        </w:rPr>
        <w:t>eq</w:t>
      </w:r>
      <w:r>
        <w:t xml:space="preserve"> - </w:t>
      </w:r>
      <w:r>
        <w:rPr>
          <w:i/>
        </w:rPr>
        <w:t>w</w:t>
      </w:r>
      <w:r>
        <w:rPr>
          <w:vertAlign w:val="subscript"/>
        </w:rPr>
        <w:t>0</w:t>
      </w:r>
      <w:r>
        <w:t xml:space="preserve">) в </w:t>
      </w:r>
      <w:hyperlink w:anchor="P2569">
        <w:r>
          <w:rPr>
            <w:color w:val="0000FF"/>
          </w:rPr>
          <w:t>формуле (6.11)</w:t>
        </w:r>
      </w:hyperlink>
      <w:r>
        <w:t xml:space="preserve"> при изменении водно-теплового режима определяют как разность между наибольшим (в период максимального увлажнения) и наименьшим (в период максимального подсыхания) значениями влажности грунта. Коэффициент пористости в этом случае принимают для влажности грунта, отвечающей периоду максимального подсыхания. Профиль </w:t>
      </w:r>
      <w:r>
        <w:lastRenderedPageBreak/>
        <w:t>влажности массива для случая максимального увлажнения и подсыхания определяют экспериментальным путем в полевых условиях.</w:t>
      </w:r>
    </w:p>
    <w:p w:rsidR="00E35632" w:rsidRDefault="00E35632">
      <w:pPr>
        <w:pStyle w:val="ConsPlusNormal"/>
        <w:spacing w:before="220"/>
        <w:ind w:firstLine="540"/>
        <w:jc w:val="both"/>
      </w:pPr>
      <w:bookmarkStart w:id="145" w:name="P2585"/>
      <w:bookmarkEnd w:id="145"/>
      <w:r>
        <w:t xml:space="preserve">6.2.12 Коэффициент </w:t>
      </w:r>
      <w:r>
        <w:rPr>
          <w:i/>
        </w:rPr>
        <w:t>k</w:t>
      </w:r>
      <w:r>
        <w:rPr>
          <w:i/>
          <w:vertAlign w:val="subscript"/>
        </w:rPr>
        <w:t>sw</w:t>
      </w:r>
      <w:r>
        <w:t xml:space="preserve">, входящий в </w:t>
      </w:r>
      <w:hyperlink w:anchor="P2519">
        <w:r>
          <w:rPr>
            <w:color w:val="0000FF"/>
          </w:rPr>
          <w:t>формулу (6.9)</w:t>
        </w:r>
      </w:hyperlink>
      <w:r>
        <w:t xml:space="preserve">, в зависимости от суммарного вертикального напряжения </w:t>
      </w:r>
      <w:r>
        <w:rPr>
          <w:noProof/>
          <w:position w:val="-10"/>
        </w:rPr>
        <w:drawing>
          <wp:inline distT="0" distB="0" distL="0" distR="0">
            <wp:extent cx="351790" cy="267970"/>
            <wp:effectExtent l="0" t="0" r="0" b="0"/>
            <wp:docPr id="3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351790" cy="267970"/>
                    </a:xfrm>
                    <a:prstGeom prst="rect">
                      <a:avLst/>
                    </a:prstGeom>
                    <a:noFill/>
                    <a:ln>
                      <a:noFill/>
                    </a:ln>
                  </pic:spPr>
                </pic:pic>
              </a:graphicData>
            </a:graphic>
          </wp:inline>
        </w:drawing>
      </w:r>
      <w:r>
        <w:t xml:space="preserve"> на рассматриваемой глубине принимают равным 0,8 при </w:t>
      </w:r>
      <w:r>
        <w:rPr>
          <w:noProof/>
          <w:position w:val="-10"/>
        </w:rPr>
        <w:drawing>
          <wp:inline distT="0" distB="0" distL="0" distR="0">
            <wp:extent cx="1043305" cy="267970"/>
            <wp:effectExtent l="0" t="0" r="0" b="0"/>
            <wp:docPr id="3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1043305" cy="267970"/>
                    </a:xfrm>
                    <a:prstGeom prst="rect">
                      <a:avLst/>
                    </a:prstGeom>
                    <a:noFill/>
                    <a:ln>
                      <a:noFill/>
                    </a:ln>
                  </pic:spPr>
                </pic:pic>
              </a:graphicData>
            </a:graphic>
          </wp:inline>
        </w:drawing>
      </w:r>
      <w:r>
        <w:t xml:space="preserve"> и </w:t>
      </w:r>
      <w:r>
        <w:rPr>
          <w:i/>
        </w:rPr>
        <w:t>k</w:t>
      </w:r>
      <w:r>
        <w:rPr>
          <w:i/>
          <w:vertAlign w:val="subscript"/>
        </w:rPr>
        <w:t>sw</w:t>
      </w:r>
      <w:r>
        <w:t xml:space="preserve"> = 0,6 при </w:t>
      </w:r>
      <w:r>
        <w:rPr>
          <w:noProof/>
          <w:position w:val="-10"/>
        </w:rPr>
        <w:drawing>
          <wp:inline distT="0" distB="0" distL="0" distR="0">
            <wp:extent cx="1117600" cy="267970"/>
            <wp:effectExtent l="0" t="0" r="0" b="0"/>
            <wp:docPr id="3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1117600" cy="267970"/>
                    </a:xfrm>
                    <a:prstGeom prst="rect">
                      <a:avLst/>
                    </a:prstGeom>
                    <a:noFill/>
                    <a:ln>
                      <a:noFill/>
                    </a:ln>
                  </pic:spPr>
                </pic:pic>
              </a:graphicData>
            </a:graphic>
          </wp:inline>
        </w:drawing>
      </w:r>
      <w:r>
        <w:t>, а при промежуточных значениях определяют интерполяцией.</w:t>
      </w:r>
    </w:p>
    <w:p w:rsidR="00E35632" w:rsidRDefault="00E35632">
      <w:pPr>
        <w:pStyle w:val="ConsPlusNormal"/>
        <w:spacing w:before="220"/>
        <w:ind w:firstLine="540"/>
        <w:jc w:val="both"/>
      </w:pPr>
      <w:bookmarkStart w:id="146" w:name="P2586"/>
      <w:bookmarkEnd w:id="146"/>
      <w:r>
        <w:t xml:space="preserve">6.2.13 Суммарное вертикальное напряжение </w:t>
      </w:r>
      <w:r>
        <w:rPr>
          <w:noProof/>
          <w:position w:val="-10"/>
        </w:rPr>
        <w:drawing>
          <wp:inline distT="0" distB="0" distL="0" distR="0">
            <wp:extent cx="351790" cy="267970"/>
            <wp:effectExtent l="0" t="0" r="0" b="0"/>
            <wp:docPr id="3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351790" cy="267970"/>
                    </a:xfrm>
                    <a:prstGeom prst="rect">
                      <a:avLst/>
                    </a:prstGeom>
                    <a:noFill/>
                    <a:ln>
                      <a:noFill/>
                    </a:ln>
                  </pic:spPr>
                </pic:pic>
              </a:graphicData>
            </a:graphic>
          </wp:inline>
        </w:drawing>
      </w:r>
      <w:r>
        <w:t xml:space="preserve">, кПа, на глубине </w:t>
      </w:r>
      <w:r>
        <w:rPr>
          <w:i/>
        </w:rPr>
        <w:t>z</w:t>
      </w:r>
      <w:r>
        <w:t xml:space="preserve"> от подошвы фундамента (см. </w:t>
      </w:r>
      <w:hyperlink w:anchor="P2601">
        <w:r>
          <w:rPr>
            <w:color w:val="0000FF"/>
          </w:rPr>
          <w:t>рисунок 6.3</w:t>
        </w:r>
      </w:hyperlink>
      <w:r>
        <w:t>) вычисляют по формуле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1620520" cy="267970"/>
            <wp:effectExtent l="0" t="0" r="0" b="0"/>
            <wp:docPr id="3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1620520" cy="267970"/>
                    </a:xfrm>
                    <a:prstGeom prst="rect">
                      <a:avLst/>
                    </a:prstGeom>
                    <a:noFill/>
                    <a:ln>
                      <a:noFill/>
                    </a:ln>
                  </pic:spPr>
                </pic:pic>
              </a:graphicData>
            </a:graphic>
          </wp:inline>
        </w:drawing>
      </w:r>
      <w:r>
        <w:t xml:space="preserve"> (6.13)</w:t>
      </w:r>
    </w:p>
    <w:p w:rsidR="00E35632" w:rsidRDefault="00E35632">
      <w:pPr>
        <w:pStyle w:val="ConsPlusNormal"/>
        <w:jc w:val="both"/>
      </w:pPr>
    </w:p>
    <w:p w:rsidR="00E35632" w:rsidRDefault="00E35632">
      <w:pPr>
        <w:pStyle w:val="ConsPlusNormal"/>
        <w:ind w:firstLine="540"/>
        <w:jc w:val="both"/>
      </w:pPr>
      <w:r>
        <w:t xml:space="preserve">где </w:t>
      </w:r>
      <w:r>
        <w:rPr>
          <w:noProof/>
          <w:position w:val="-10"/>
        </w:rPr>
        <w:drawing>
          <wp:inline distT="0" distB="0" distL="0" distR="0">
            <wp:extent cx="251460" cy="267970"/>
            <wp:effectExtent l="0" t="0" r="0" b="0"/>
            <wp:docPr id="3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r>
        <w:t xml:space="preserve">, </w:t>
      </w:r>
      <w:r>
        <w:rPr>
          <w:noProof/>
          <w:position w:val="-10"/>
        </w:rPr>
        <w:drawing>
          <wp:inline distT="0" distB="0" distL="0" distR="0">
            <wp:extent cx="267970" cy="267970"/>
            <wp:effectExtent l="0" t="0" r="0" b="0"/>
            <wp:docPr id="3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xml:space="preserve"> - вертикальные напряжения соответственно от нагрузки фундамента и от собственного веса грунта, кПа;</w:t>
      </w:r>
    </w:p>
    <w:p w:rsidR="00E35632" w:rsidRDefault="00E35632">
      <w:pPr>
        <w:pStyle w:val="ConsPlusNormal"/>
        <w:spacing w:before="220"/>
        <w:ind w:firstLine="540"/>
        <w:jc w:val="both"/>
      </w:pPr>
      <w:r>
        <w:rPr>
          <w:noProof/>
          <w:position w:val="-10"/>
        </w:rPr>
        <w:drawing>
          <wp:inline distT="0" distB="0" distL="0" distR="0">
            <wp:extent cx="351790" cy="267970"/>
            <wp:effectExtent l="0" t="0" r="0" b="0"/>
            <wp:docPr id="3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351790" cy="267970"/>
                    </a:xfrm>
                    <a:prstGeom prst="rect">
                      <a:avLst/>
                    </a:prstGeom>
                    <a:noFill/>
                    <a:ln>
                      <a:noFill/>
                    </a:ln>
                  </pic:spPr>
                </pic:pic>
              </a:graphicData>
            </a:graphic>
          </wp:inline>
        </w:drawing>
      </w:r>
      <w:r>
        <w:t xml:space="preserve"> - дополнительное вертикальное давление, кПа, вызванное влиянием веса неувлажненной части массива грунта за пределами площади замачивания, вычисляемое по формуле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1257300" cy="267970"/>
            <wp:effectExtent l="0" t="0" r="0" b="0"/>
            <wp:docPr id="3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1257300" cy="267970"/>
                    </a:xfrm>
                    <a:prstGeom prst="rect">
                      <a:avLst/>
                    </a:prstGeom>
                    <a:noFill/>
                    <a:ln>
                      <a:noFill/>
                    </a:ln>
                  </pic:spPr>
                </pic:pic>
              </a:graphicData>
            </a:graphic>
          </wp:inline>
        </w:drawing>
      </w:r>
      <w:r>
        <w:t xml:space="preserve"> (6.14)</w:t>
      </w:r>
    </w:p>
    <w:p w:rsidR="00E35632" w:rsidRDefault="00E35632">
      <w:pPr>
        <w:pStyle w:val="ConsPlusNormal"/>
        <w:jc w:val="both"/>
      </w:pPr>
    </w:p>
    <w:p w:rsidR="00E35632" w:rsidRDefault="00E35632">
      <w:pPr>
        <w:pStyle w:val="ConsPlusNormal"/>
        <w:ind w:firstLine="540"/>
        <w:jc w:val="both"/>
      </w:pPr>
      <w:r>
        <w:t xml:space="preserve">здесь </w:t>
      </w:r>
      <w:r>
        <w:rPr>
          <w:i/>
        </w:rPr>
        <w:t>k</w:t>
      </w:r>
      <w:r>
        <w:rPr>
          <w:i/>
          <w:vertAlign w:val="subscript"/>
        </w:rPr>
        <w:t>g</w:t>
      </w:r>
      <w:r>
        <w:t xml:space="preserve"> - коэффициент, принимаемый по </w:t>
      </w:r>
      <w:hyperlink w:anchor="P2604">
        <w:r>
          <w:rPr>
            <w:color w:val="0000FF"/>
          </w:rPr>
          <w:t>таблице 6.2</w:t>
        </w:r>
      </w:hyperlink>
      <w:r>
        <w:t>;</w:t>
      </w:r>
    </w:p>
    <w:p w:rsidR="00E35632" w:rsidRDefault="00E35632">
      <w:pPr>
        <w:pStyle w:val="ConsPlusNormal"/>
        <w:spacing w:before="220"/>
        <w:ind w:firstLine="540"/>
        <w:jc w:val="both"/>
      </w:pPr>
      <w:r>
        <w:rPr>
          <w:noProof/>
          <w:position w:val="-4"/>
        </w:rPr>
        <w:drawing>
          <wp:inline distT="0" distB="0" distL="0" distR="0">
            <wp:extent cx="142240" cy="192405"/>
            <wp:effectExtent l="0" t="0" r="0" b="0"/>
            <wp:docPr id="3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42240" cy="192405"/>
                    </a:xfrm>
                    <a:prstGeom prst="rect">
                      <a:avLst/>
                    </a:prstGeom>
                    <a:noFill/>
                    <a:ln>
                      <a:noFill/>
                    </a:ln>
                  </pic:spPr>
                </pic:pic>
              </a:graphicData>
            </a:graphic>
          </wp:inline>
        </w:drawing>
      </w:r>
      <w:r>
        <w:t xml:space="preserve"> - удельный вес грунта, кН/м</w:t>
      </w:r>
      <w:r>
        <w:rPr>
          <w:vertAlign w:val="superscript"/>
        </w:rPr>
        <w:t>3</w:t>
      </w:r>
      <w:r>
        <w:t>;</w:t>
      </w:r>
    </w:p>
    <w:p w:rsidR="00E35632" w:rsidRDefault="00E35632">
      <w:pPr>
        <w:pStyle w:val="ConsPlusNormal"/>
        <w:spacing w:before="220"/>
        <w:ind w:firstLine="540"/>
        <w:jc w:val="both"/>
      </w:pPr>
      <w:r>
        <w:t>(</w:t>
      </w:r>
      <w:r>
        <w:rPr>
          <w:i/>
        </w:rPr>
        <w:t>d</w:t>
      </w:r>
      <w:r>
        <w:t xml:space="preserve"> + </w:t>
      </w:r>
      <w:r>
        <w:rPr>
          <w:i/>
        </w:rPr>
        <w:t>z</w:t>
      </w:r>
      <w:r>
        <w:t>) - см. рисунок 6.3.</w:t>
      </w:r>
    </w:p>
    <w:p w:rsidR="00E35632" w:rsidRDefault="00E35632">
      <w:pPr>
        <w:pStyle w:val="ConsPlusNormal"/>
        <w:jc w:val="both"/>
      </w:pPr>
    </w:p>
    <w:p w:rsidR="00E35632" w:rsidRDefault="00E35632">
      <w:pPr>
        <w:pStyle w:val="ConsPlusNormal"/>
        <w:jc w:val="center"/>
      </w:pPr>
      <w:r>
        <w:rPr>
          <w:noProof/>
          <w:position w:val="-251"/>
        </w:rPr>
        <w:drawing>
          <wp:inline distT="0" distB="0" distL="0" distR="0">
            <wp:extent cx="3192145" cy="3329305"/>
            <wp:effectExtent l="0" t="0" r="0" b="0"/>
            <wp:docPr id="3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3192145" cy="3329305"/>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bookmarkStart w:id="147" w:name="P2601"/>
      <w:bookmarkEnd w:id="147"/>
      <w:r>
        <w:rPr>
          <w:b/>
          <w:i/>
        </w:rPr>
        <w:t>Рисунок 6.3</w:t>
      </w:r>
      <w:r>
        <w:t xml:space="preserve"> </w:t>
      </w:r>
      <w:r>
        <w:rPr>
          <w:b/>
        </w:rPr>
        <w:t>- Схема к расчету подъема</w:t>
      </w:r>
    </w:p>
    <w:p w:rsidR="00E35632" w:rsidRDefault="00E35632">
      <w:pPr>
        <w:pStyle w:val="ConsPlusNormal"/>
        <w:jc w:val="center"/>
      </w:pPr>
      <w:r>
        <w:rPr>
          <w:b/>
        </w:rPr>
        <w:t>основания при набухании грунта</w:t>
      </w:r>
    </w:p>
    <w:p w:rsidR="00E35632" w:rsidRDefault="00E35632">
      <w:pPr>
        <w:pStyle w:val="ConsPlusNormal"/>
        <w:jc w:val="both"/>
      </w:pPr>
    </w:p>
    <w:p w:rsidR="00E35632" w:rsidRDefault="00E35632">
      <w:pPr>
        <w:pStyle w:val="ConsPlusNormal"/>
        <w:jc w:val="right"/>
      </w:pPr>
      <w:bookmarkStart w:id="148" w:name="P2604"/>
      <w:bookmarkEnd w:id="148"/>
      <w:r>
        <w:t>Таблица 6.2</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380"/>
        <w:gridCol w:w="1517"/>
        <w:gridCol w:w="1514"/>
        <w:gridCol w:w="1560"/>
        <w:gridCol w:w="1560"/>
        <w:gridCol w:w="1560"/>
      </w:tblGrid>
      <w:tr w:rsidR="00E35632">
        <w:tc>
          <w:tcPr>
            <w:tcW w:w="1380" w:type="dxa"/>
            <w:vMerge w:val="restart"/>
            <w:vAlign w:val="center"/>
          </w:tcPr>
          <w:p w:rsidR="00E35632" w:rsidRDefault="00E35632">
            <w:pPr>
              <w:pStyle w:val="ConsPlusNormal"/>
              <w:jc w:val="center"/>
            </w:pPr>
            <w:r>
              <w:t>(</w:t>
            </w:r>
            <w:r>
              <w:rPr>
                <w:i/>
              </w:rPr>
              <w:t>d</w:t>
            </w:r>
            <w:r>
              <w:t xml:space="preserve"> + </w:t>
            </w:r>
            <w:r>
              <w:rPr>
                <w:i/>
              </w:rPr>
              <w:t>z</w:t>
            </w:r>
            <w:r>
              <w:t>)/</w:t>
            </w:r>
            <w:r>
              <w:rPr>
                <w:i/>
              </w:rPr>
              <w:t>B</w:t>
            </w:r>
            <w:r>
              <w:rPr>
                <w:i/>
                <w:vertAlign w:val="subscript"/>
              </w:rPr>
              <w:t>w</w:t>
            </w:r>
          </w:p>
        </w:tc>
        <w:tc>
          <w:tcPr>
            <w:tcW w:w="7711" w:type="dxa"/>
            <w:gridSpan w:val="5"/>
            <w:vAlign w:val="center"/>
          </w:tcPr>
          <w:p w:rsidR="00E35632" w:rsidRDefault="00E35632">
            <w:pPr>
              <w:pStyle w:val="ConsPlusNormal"/>
              <w:jc w:val="center"/>
            </w:pPr>
            <w:r>
              <w:t xml:space="preserve">Коэффициент </w:t>
            </w:r>
            <w:r>
              <w:rPr>
                <w:i/>
              </w:rPr>
              <w:t>k</w:t>
            </w:r>
            <w:r>
              <w:rPr>
                <w:i/>
                <w:vertAlign w:val="subscript"/>
              </w:rPr>
              <w:t>g</w:t>
            </w:r>
            <w:r>
              <w:t xml:space="preserve"> при отношении длины к ширине замачиваемой</w:t>
            </w:r>
          </w:p>
          <w:p w:rsidR="00E35632" w:rsidRDefault="00E35632">
            <w:pPr>
              <w:pStyle w:val="ConsPlusNormal"/>
              <w:jc w:val="center"/>
            </w:pPr>
            <w:r>
              <w:t xml:space="preserve">площади </w:t>
            </w:r>
            <w:r>
              <w:rPr>
                <w:i/>
              </w:rPr>
              <w:t>L</w:t>
            </w:r>
            <w:r>
              <w:rPr>
                <w:i/>
                <w:vertAlign w:val="subscript"/>
              </w:rPr>
              <w:t>w</w:t>
            </w:r>
            <w:r>
              <w:t>/</w:t>
            </w:r>
            <w:r>
              <w:rPr>
                <w:i/>
              </w:rPr>
              <w:t>B</w:t>
            </w:r>
            <w:r>
              <w:rPr>
                <w:i/>
                <w:vertAlign w:val="subscript"/>
              </w:rPr>
              <w:t>w</w:t>
            </w:r>
            <w:r>
              <w:t>, равном</w:t>
            </w:r>
          </w:p>
        </w:tc>
      </w:tr>
      <w:tr w:rsidR="00E35632">
        <w:tc>
          <w:tcPr>
            <w:tcW w:w="1380" w:type="dxa"/>
            <w:vMerge/>
          </w:tcPr>
          <w:p w:rsidR="00E35632" w:rsidRDefault="00E35632">
            <w:pPr>
              <w:pStyle w:val="ConsPlusNormal"/>
            </w:pPr>
          </w:p>
        </w:tc>
        <w:tc>
          <w:tcPr>
            <w:tcW w:w="1517" w:type="dxa"/>
            <w:vAlign w:val="center"/>
          </w:tcPr>
          <w:p w:rsidR="00E35632" w:rsidRDefault="00E35632">
            <w:pPr>
              <w:pStyle w:val="ConsPlusNormal"/>
              <w:jc w:val="center"/>
            </w:pPr>
            <w:r>
              <w:t>1</w:t>
            </w:r>
          </w:p>
        </w:tc>
        <w:tc>
          <w:tcPr>
            <w:tcW w:w="1514" w:type="dxa"/>
            <w:vAlign w:val="center"/>
          </w:tcPr>
          <w:p w:rsidR="00E35632" w:rsidRDefault="00E35632">
            <w:pPr>
              <w:pStyle w:val="ConsPlusNormal"/>
              <w:jc w:val="center"/>
            </w:pPr>
            <w:r>
              <w:t>2</w:t>
            </w:r>
          </w:p>
        </w:tc>
        <w:tc>
          <w:tcPr>
            <w:tcW w:w="1560" w:type="dxa"/>
            <w:vAlign w:val="center"/>
          </w:tcPr>
          <w:p w:rsidR="00E35632" w:rsidRDefault="00E35632">
            <w:pPr>
              <w:pStyle w:val="ConsPlusNormal"/>
              <w:jc w:val="center"/>
            </w:pPr>
            <w:r>
              <w:t>3</w:t>
            </w:r>
          </w:p>
        </w:tc>
        <w:tc>
          <w:tcPr>
            <w:tcW w:w="1560" w:type="dxa"/>
            <w:vAlign w:val="center"/>
          </w:tcPr>
          <w:p w:rsidR="00E35632" w:rsidRDefault="00E35632">
            <w:pPr>
              <w:pStyle w:val="ConsPlusNormal"/>
              <w:jc w:val="center"/>
            </w:pPr>
            <w:r>
              <w:t>4</w:t>
            </w:r>
          </w:p>
        </w:tc>
        <w:tc>
          <w:tcPr>
            <w:tcW w:w="1560" w:type="dxa"/>
            <w:vAlign w:val="center"/>
          </w:tcPr>
          <w:p w:rsidR="00E35632" w:rsidRDefault="00E35632">
            <w:pPr>
              <w:pStyle w:val="ConsPlusNormal"/>
              <w:jc w:val="center"/>
            </w:pPr>
            <w:r>
              <w:t>5</w:t>
            </w:r>
          </w:p>
        </w:tc>
      </w:tr>
      <w:tr w:rsidR="00E35632">
        <w:tc>
          <w:tcPr>
            <w:tcW w:w="1380" w:type="dxa"/>
          </w:tcPr>
          <w:p w:rsidR="00E35632" w:rsidRDefault="00E35632">
            <w:pPr>
              <w:pStyle w:val="ConsPlusNormal"/>
              <w:jc w:val="center"/>
            </w:pPr>
            <w:r>
              <w:t>0,5</w:t>
            </w:r>
          </w:p>
        </w:tc>
        <w:tc>
          <w:tcPr>
            <w:tcW w:w="1517" w:type="dxa"/>
          </w:tcPr>
          <w:p w:rsidR="00E35632" w:rsidRDefault="00E35632">
            <w:pPr>
              <w:pStyle w:val="ConsPlusNormal"/>
              <w:jc w:val="center"/>
            </w:pPr>
            <w:r>
              <w:t>0</w:t>
            </w:r>
          </w:p>
        </w:tc>
        <w:tc>
          <w:tcPr>
            <w:tcW w:w="1514" w:type="dxa"/>
          </w:tcPr>
          <w:p w:rsidR="00E35632" w:rsidRDefault="00E35632">
            <w:pPr>
              <w:pStyle w:val="ConsPlusNormal"/>
              <w:jc w:val="center"/>
            </w:pPr>
            <w:r>
              <w:t>0</w:t>
            </w:r>
          </w:p>
        </w:tc>
        <w:tc>
          <w:tcPr>
            <w:tcW w:w="1560" w:type="dxa"/>
          </w:tcPr>
          <w:p w:rsidR="00E35632" w:rsidRDefault="00E35632">
            <w:pPr>
              <w:pStyle w:val="ConsPlusNormal"/>
              <w:jc w:val="center"/>
            </w:pPr>
            <w:r>
              <w:t>0</w:t>
            </w:r>
          </w:p>
        </w:tc>
        <w:tc>
          <w:tcPr>
            <w:tcW w:w="1560" w:type="dxa"/>
          </w:tcPr>
          <w:p w:rsidR="00E35632" w:rsidRDefault="00E35632">
            <w:pPr>
              <w:pStyle w:val="ConsPlusNormal"/>
              <w:jc w:val="center"/>
            </w:pPr>
            <w:r>
              <w:t>0</w:t>
            </w:r>
          </w:p>
        </w:tc>
        <w:tc>
          <w:tcPr>
            <w:tcW w:w="1560" w:type="dxa"/>
          </w:tcPr>
          <w:p w:rsidR="00E35632" w:rsidRDefault="00E35632">
            <w:pPr>
              <w:pStyle w:val="ConsPlusNormal"/>
              <w:jc w:val="center"/>
            </w:pPr>
            <w:r>
              <w:t>0</w:t>
            </w:r>
          </w:p>
        </w:tc>
      </w:tr>
      <w:tr w:rsidR="00E35632">
        <w:tc>
          <w:tcPr>
            <w:tcW w:w="1380" w:type="dxa"/>
          </w:tcPr>
          <w:p w:rsidR="00E35632" w:rsidRDefault="00E35632">
            <w:pPr>
              <w:pStyle w:val="ConsPlusNormal"/>
              <w:jc w:val="center"/>
            </w:pPr>
            <w:r>
              <w:t>1</w:t>
            </w:r>
          </w:p>
        </w:tc>
        <w:tc>
          <w:tcPr>
            <w:tcW w:w="1517" w:type="dxa"/>
          </w:tcPr>
          <w:p w:rsidR="00E35632" w:rsidRDefault="00E35632">
            <w:pPr>
              <w:pStyle w:val="ConsPlusNormal"/>
              <w:jc w:val="center"/>
            </w:pPr>
            <w:r>
              <w:t>0,58</w:t>
            </w:r>
          </w:p>
        </w:tc>
        <w:tc>
          <w:tcPr>
            <w:tcW w:w="1514" w:type="dxa"/>
          </w:tcPr>
          <w:p w:rsidR="00E35632" w:rsidRDefault="00E35632">
            <w:pPr>
              <w:pStyle w:val="ConsPlusNormal"/>
              <w:jc w:val="center"/>
            </w:pPr>
            <w:r>
              <w:t>0,50</w:t>
            </w:r>
          </w:p>
        </w:tc>
        <w:tc>
          <w:tcPr>
            <w:tcW w:w="1560" w:type="dxa"/>
          </w:tcPr>
          <w:p w:rsidR="00E35632" w:rsidRDefault="00E35632">
            <w:pPr>
              <w:pStyle w:val="ConsPlusNormal"/>
              <w:jc w:val="center"/>
            </w:pPr>
            <w:r>
              <w:t>0,43</w:t>
            </w:r>
          </w:p>
        </w:tc>
        <w:tc>
          <w:tcPr>
            <w:tcW w:w="1560" w:type="dxa"/>
          </w:tcPr>
          <w:p w:rsidR="00E35632" w:rsidRDefault="00E35632">
            <w:pPr>
              <w:pStyle w:val="ConsPlusNormal"/>
              <w:jc w:val="center"/>
            </w:pPr>
            <w:r>
              <w:t>0,36</w:t>
            </w:r>
          </w:p>
        </w:tc>
        <w:tc>
          <w:tcPr>
            <w:tcW w:w="1560" w:type="dxa"/>
          </w:tcPr>
          <w:p w:rsidR="00E35632" w:rsidRDefault="00E35632">
            <w:pPr>
              <w:pStyle w:val="ConsPlusNormal"/>
              <w:jc w:val="center"/>
            </w:pPr>
            <w:r>
              <w:t>0,29</w:t>
            </w:r>
          </w:p>
        </w:tc>
      </w:tr>
      <w:tr w:rsidR="00E35632">
        <w:tc>
          <w:tcPr>
            <w:tcW w:w="1380" w:type="dxa"/>
          </w:tcPr>
          <w:p w:rsidR="00E35632" w:rsidRDefault="00E35632">
            <w:pPr>
              <w:pStyle w:val="ConsPlusNormal"/>
              <w:jc w:val="center"/>
            </w:pPr>
            <w:r>
              <w:t>2</w:t>
            </w:r>
          </w:p>
        </w:tc>
        <w:tc>
          <w:tcPr>
            <w:tcW w:w="1517" w:type="dxa"/>
          </w:tcPr>
          <w:p w:rsidR="00E35632" w:rsidRDefault="00E35632">
            <w:pPr>
              <w:pStyle w:val="ConsPlusNormal"/>
              <w:jc w:val="center"/>
            </w:pPr>
            <w:r>
              <w:t>0,81</w:t>
            </w:r>
          </w:p>
        </w:tc>
        <w:tc>
          <w:tcPr>
            <w:tcW w:w="1514" w:type="dxa"/>
          </w:tcPr>
          <w:p w:rsidR="00E35632" w:rsidRDefault="00E35632">
            <w:pPr>
              <w:pStyle w:val="ConsPlusNormal"/>
              <w:jc w:val="center"/>
            </w:pPr>
            <w:r>
              <w:t>0,70</w:t>
            </w:r>
          </w:p>
        </w:tc>
        <w:tc>
          <w:tcPr>
            <w:tcW w:w="1560" w:type="dxa"/>
          </w:tcPr>
          <w:p w:rsidR="00E35632" w:rsidRDefault="00E35632">
            <w:pPr>
              <w:pStyle w:val="ConsPlusNormal"/>
              <w:jc w:val="center"/>
            </w:pPr>
            <w:r>
              <w:t>0,61</w:t>
            </w:r>
          </w:p>
        </w:tc>
        <w:tc>
          <w:tcPr>
            <w:tcW w:w="1560" w:type="dxa"/>
          </w:tcPr>
          <w:p w:rsidR="00E35632" w:rsidRDefault="00E35632">
            <w:pPr>
              <w:pStyle w:val="ConsPlusNormal"/>
              <w:jc w:val="center"/>
            </w:pPr>
            <w:r>
              <w:t>0,50</w:t>
            </w:r>
          </w:p>
        </w:tc>
        <w:tc>
          <w:tcPr>
            <w:tcW w:w="1560" w:type="dxa"/>
          </w:tcPr>
          <w:p w:rsidR="00E35632" w:rsidRDefault="00E35632">
            <w:pPr>
              <w:pStyle w:val="ConsPlusNormal"/>
              <w:jc w:val="center"/>
            </w:pPr>
            <w:r>
              <w:t>0,40</w:t>
            </w:r>
          </w:p>
        </w:tc>
      </w:tr>
      <w:tr w:rsidR="00E35632">
        <w:tc>
          <w:tcPr>
            <w:tcW w:w="1380" w:type="dxa"/>
          </w:tcPr>
          <w:p w:rsidR="00E35632" w:rsidRDefault="00E35632">
            <w:pPr>
              <w:pStyle w:val="ConsPlusNormal"/>
              <w:jc w:val="center"/>
            </w:pPr>
            <w:r>
              <w:t>3</w:t>
            </w:r>
          </w:p>
        </w:tc>
        <w:tc>
          <w:tcPr>
            <w:tcW w:w="1517" w:type="dxa"/>
          </w:tcPr>
          <w:p w:rsidR="00E35632" w:rsidRDefault="00E35632">
            <w:pPr>
              <w:pStyle w:val="ConsPlusNormal"/>
              <w:jc w:val="center"/>
            </w:pPr>
            <w:r>
              <w:t>0,94</w:t>
            </w:r>
          </w:p>
        </w:tc>
        <w:tc>
          <w:tcPr>
            <w:tcW w:w="1514" w:type="dxa"/>
          </w:tcPr>
          <w:p w:rsidR="00E35632" w:rsidRDefault="00E35632">
            <w:pPr>
              <w:pStyle w:val="ConsPlusNormal"/>
              <w:jc w:val="center"/>
            </w:pPr>
            <w:r>
              <w:t>0,82</w:t>
            </w:r>
          </w:p>
        </w:tc>
        <w:tc>
          <w:tcPr>
            <w:tcW w:w="1560" w:type="dxa"/>
          </w:tcPr>
          <w:p w:rsidR="00E35632" w:rsidRDefault="00E35632">
            <w:pPr>
              <w:pStyle w:val="ConsPlusNormal"/>
              <w:jc w:val="center"/>
            </w:pPr>
            <w:r>
              <w:t>0,71</w:t>
            </w:r>
          </w:p>
        </w:tc>
        <w:tc>
          <w:tcPr>
            <w:tcW w:w="1560" w:type="dxa"/>
          </w:tcPr>
          <w:p w:rsidR="00E35632" w:rsidRDefault="00E35632">
            <w:pPr>
              <w:pStyle w:val="ConsPlusNormal"/>
              <w:jc w:val="center"/>
            </w:pPr>
            <w:r>
              <w:t>0,59</w:t>
            </w:r>
          </w:p>
        </w:tc>
        <w:tc>
          <w:tcPr>
            <w:tcW w:w="1560" w:type="dxa"/>
          </w:tcPr>
          <w:p w:rsidR="00E35632" w:rsidRDefault="00E35632">
            <w:pPr>
              <w:pStyle w:val="ConsPlusNormal"/>
              <w:jc w:val="center"/>
            </w:pPr>
            <w:r>
              <w:t>0,47</w:t>
            </w:r>
          </w:p>
        </w:tc>
      </w:tr>
      <w:tr w:rsidR="00E35632">
        <w:tc>
          <w:tcPr>
            <w:tcW w:w="1380" w:type="dxa"/>
          </w:tcPr>
          <w:p w:rsidR="00E35632" w:rsidRDefault="00E35632">
            <w:pPr>
              <w:pStyle w:val="ConsPlusNormal"/>
              <w:jc w:val="center"/>
            </w:pPr>
            <w:r>
              <w:t>4</w:t>
            </w:r>
          </w:p>
        </w:tc>
        <w:tc>
          <w:tcPr>
            <w:tcW w:w="1517" w:type="dxa"/>
          </w:tcPr>
          <w:p w:rsidR="00E35632" w:rsidRDefault="00E35632">
            <w:pPr>
              <w:pStyle w:val="ConsPlusNormal"/>
              <w:jc w:val="center"/>
            </w:pPr>
            <w:r>
              <w:t>1,02</w:t>
            </w:r>
          </w:p>
        </w:tc>
        <w:tc>
          <w:tcPr>
            <w:tcW w:w="1514" w:type="dxa"/>
          </w:tcPr>
          <w:p w:rsidR="00E35632" w:rsidRDefault="00E35632">
            <w:pPr>
              <w:pStyle w:val="ConsPlusNormal"/>
              <w:jc w:val="center"/>
            </w:pPr>
            <w:r>
              <w:t>0,89</w:t>
            </w:r>
          </w:p>
        </w:tc>
        <w:tc>
          <w:tcPr>
            <w:tcW w:w="1560" w:type="dxa"/>
          </w:tcPr>
          <w:p w:rsidR="00E35632" w:rsidRDefault="00E35632">
            <w:pPr>
              <w:pStyle w:val="ConsPlusNormal"/>
              <w:jc w:val="center"/>
            </w:pPr>
            <w:r>
              <w:t>0,77</w:t>
            </w:r>
          </w:p>
        </w:tc>
        <w:tc>
          <w:tcPr>
            <w:tcW w:w="1560" w:type="dxa"/>
          </w:tcPr>
          <w:p w:rsidR="00E35632" w:rsidRDefault="00E35632">
            <w:pPr>
              <w:pStyle w:val="ConsPlusNormal"/>
              <w:jc w:val="center"/>
            </w:pPr>
            <w:r>
              <w:t>0,64</w:t>
            </w:r>
          </w:p>
        </w:tc>
        <w:tc>
          <w:tcPr>
            <w:tcW w:w="1560" w:type="dxa"/>
          </w:tcPr>
          <w:p w:rsidR="00E35632" w:rsidRDefault="00E35632">
            <w:pPr>
              <w:pStyle w:val="ConsPlusNormal"/>
              <w:jc w:val="center"/>
            </w:pPr>
            <w:r>
              <w:t>0,53</w:t>
            </w:r>
          </w:p>
        </w:tc>
      </w:tr>
      <w:tr w:rsidR="00E35632">
        <w:tc>
          <w:tcPr>
            <w:tcW w:w="1380" w:type="dxa"/>
          </w:tcPr>
          <w:p w:rsidR="00E35632" w:rsidRDefault="00E35632">
            <w:pPr>
              <w:pStyle w:val="ConsPlusNormal"/>
              <w:jc w:val="center"/>
            </w:pPr>
            <w:r>
              <w:t>5</w:t>
            </w:r>
          </w:p>
        </w:tc>
        <w:tc>
          <w:tcPr>
            <w:tcW w:w="1517" w:type="dxa"/>
          </w:tcPr>
          <w:p w:rsidR="00E35632" w:rsidRDefault="00E35632">
            <w:pPr>
              <w:pStyle w:val="ConsPlusNormal"/>
              <w:jc w:val="center"/>
            </w:pPr>
            <w:r>
              <w:t>1,07</w:t>
            </w:r>
          </w:p>
        </w:tc>
        <w:tc>
          <w:tcPr>
            <w:tcW w:w="1514" w:type="dxa"/>
          </w:tcPr>
          <w:p w:rsidR="00E35632" w:rsidRDefault="00E35632">
            <w:pPr>
              <w:pStyle w:val="ConsPlusNormal"/>
              <w:jc w:val="center"/>
            </w:pPr>
            <w:r>
              <w:t>0,94</w:t>
            </w:r>
          </w:p>
        </w:tc>
        <w:tc>
          <w:tcPr>
            <w:tcW w:w="1560" w:type="dxa"/>
          </w:tcPr>
          <w:p w:rsidR="00E35632" w:rsidRDefault="00E35632">
            <w:pPr>
              <w:pStyle w:val="ConsPlusNormal"/>
              <w:jc w:val="center"/>
            </w:pPr>
            <w:r>
              <w:t>0,82</w:t>
            </w:r>
          </w:p>
        </w:tc>
        <w:tc>
          <w:tcPr>
            <w:tcW w:w="1560" w:type="dxa"/>
          </w:tcPr>
          <w:p w:rsidR="00E35632" w:rsidRDefault="00E35632">
            <w:pPr>
              <w:pStyle w:val="ConsPlusNormal"/>
              <w:jc w:val="center"/>
            </w:pPr>
            <w:r>
              <w:t>0,69</w:t>
            </w:r>
          </w:p>
        </w:tc>
        <w:tc>
          <w:tcPr>
            <w:tcW w:w="1560" w:type="dxa"/>
          </w:tcPr>
          <w:p w:rsidR="00E35632" w:rsidRDefault="00E35632">
            <w:pPr>
              <w:pStyle w:val="ConsPlusNormal"/>
              <w:jc w:val="center"/>
            </w:pPr>
            <w:r>
              <w:t>0,77</w:t>
            </w:r>
          </w:p>
        </w:tc>
      </w:tr>
    </w:tbl>
    <w:p w:rsidR="00E35632" w:rsidRDefault="00E35632">
      <w:pPr>
        <w:pStyle w:val="ConsPlusNormal"/>
        <w:jc w:val="both"/>
      </w:pPr>
    </w:p>
    <w:p w:rsidR="00E35632" w:rsidRDefault="00E35632">
      <w:pPr>
        <w:pStyle w:val="ConsPlusNormal"/>
        <w:ind w:firstLine="540"/>
        <w:jc w:val="both"/>
      </w:pPr>
      <w:r>
        <w:t xml:space="preserve">6.2.14 Нижнюю границу зоны набухания </w:t>
      </w:r>
      <w:r>
        <w:rPr>
          <w:i/>
        </w:rPr>
        <w:t>H</w:t>
      </w:r>
      <w:r>
        <w:rPr>
          <w:i/>
          <w:vertAlign w:val="subscript"/>
        </w:rPr>
        <w:t>sw</w:t>
      </w:r>
      <w:r>
        <w:t xml:space="preserve">, см </w:t>
      </w:r>
      <w:hyperlink w:anchor="P2601">
        <w:r>
          <w:rPr>
            <w:color w:val="0000FF"/>
          </w:rPr>
          <w:t>(рисунок 6.3)</w:t>
        </w:r>
      </w:hyperlink>
      <w:r>
        <w:t>:</w:t>
      </w:r>
    </w:p>
    <w:p w:rsidR="00E35632" w:rsidRDefault="00E35632">
      <w:pPr>
        <w:pStyle w:val="ConsPlusNormal"/>
        <w:spacing w:before="220"/>
        <w:ind w:firstLine="540"/>
        <w:jc w:val="both"/>
      </w:pPr>
      <w:bookmarkStart w:id="149" w:name="P2652"/>
      <w:bookmarkEnd w:id="149"/>
      <w:r>
        <w:t xml:space="preserve">а) при инфильтрации влаги принимают на глубине, где суммарное вертикальное напряжение </w:t>
      </w:r>
      <w:r>
        <w:rPr>
          <w:noProof/>
          <w:position w:val="-10"/>
        </w:rPr>
        <w:drawing>
          <wp:inline distT="0" distB="0" distL="0" distR="0">
            <wp:extent cx="351790" cy="267970"/>
            <wp:effectExtent l="0" t="0" r="0" b="0"/>
            <wp:docPr id="3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351790" cy="267970"/>
                    </a:xfrm>
                    <a:prstGeom prst="rect">
                      <a:avLst/>
                    </a:prstGeom>
                    <a:noFill/>
                    <a:ln>
                      <a:noFill/>
                    </a:ln>
                  </pic:spPr>
                </pic:pic>
              </a:graphicData>
            </a:graphic>
          </wp:inline>
        </w:drawing>
      </w:r>
      <w:r>
        <w:t xml:space="preserve"> </w:t>
      </w:r>
      <w:hyperlink w:anchor="P2586">
        <w:r>
          <w:rPr>
            <w:color w:val="0000FF"/>
          </w:rPr>
          <w:t>(6.2.13)</w:t>
        </w:r>
      </w:hyperlink>
      <w:r>
        <w:t xml:space="preserve"> равно давлению набухания </w:t>
      </w:r>
      <w:r>
        <w:rPr>
          <w:i/>
        </w:rPr>
        <w:t>p</w:t>
      </w:r>
      <w:r>
        <w:rPr>
          <w:i/>
          <w:vertAlign w:val="subscript"/>
        </w:rPr>
        <w:t>sw</w:t>
      </w:r>
      <w:r>
        <w:t>;</w:t>
      </w:r>
    </w:p>
    <w:p w:rsidR="00E35632" w:rsidRDefault="00E35632">
      <w:pPr>
        <w:pStyle w:val="ConsPlusNormal"/>
        <w:spacing w:before="220"/>
        <w:ind w:firstLine="540"/>
        <w:jc w:val="both"/>
      </w:pPr>
      <w:r>
        <w:t>б) при экранировании поверхности и изменении водно-теплового режима определяют опытным путем (при отсутствии опытных данных принимают равной 5 м).</w:t>
      </w:r>
    </w:p>
    <w:p w:rsidR="00E35632" w:rsidRDefault="00E35632">
      <w:pPr>
        <w:pStyle w:val="ConsPlusNormal"/>
        <w:spacing w:before="220"/>
        <w:ind w:firstLine="540"/>
        <w:jc w:val="both"/>
      </w:pPr>
      <w:r>
        <w:t xml:space="preserve">При наличии подземных вод нижнюю границу зоны набухания принимают на 3 м выше начального уровня подземных вод, но не ниже установленного в </w:t>
      </w:r>
      <w:hyperlink w:anchor="P2652">
        <w:r>
          <w:rPr>
            <w:color w:val="0000FF"/>
          </w:rPr>
          <w:t>перечислении а)</w:t>
        </w:r>
      </w:hyperlink>
      <w:r>
        <w:t>.</w:t>
      </w:r>
    </w:p>
    <w:p w:rsidR="00E35632" w:rsidRDefault="00E35632">
      <w:pPr>
        <w:pStyle w:val="ConsPlusNormal"/>
        <w:spacing w:before="220"/>
        <w:ind w:firstLine="540"/>
        <w:jc w:val="both"/>
      </w:pPr>
      <w:bookmarkStart w:id="150" w:name="P2655"/>
      <w:bookmarkEnd w:id="150"/>
      <w:r>
        <w:t xml:space="preserve">6.2.15 Осадку основания в результате высыхания, набухшего грунта </w:t>
      </w:r>
      <w:r>
        <w:rPr>
          <w:i/>
        </w:rPr>
        <w:t>s</w:t>
      </w:r>
      <w:r>
        <w:rPr>
          <w:i/>
          <w:vertAlign w:val="subscript"/>
        </w:rPr>
        <w:t>sh</w:t>
      </w:r>
      <w:r>
        <w:t>, см, вычисляют по формуле</w:t>
      </w:r>
    </w:p>
    <w:p w:rsidR="00E35632" w:rsidRDefault="00E35632">
      <w:pPr>
        <w:pStyle w:val="ConsPlusNormal"/>
        <w:jc w:val="both"/>
      </w:pPr>
    </w:p>
    <w:p w:rsidR="00E35632" w:rsidRDefault="00E35632">
      <w:pPr>
        <w:pStyle w:val="ConsPlusNormal"/>
        <w:jc w:val="center"/>
      </w:pPr>
      <w:r>
        <w:rPr>
          <w:noProof/>
          <w:position w:val="-26"/>
        </w:rPr>
        <w:drawing>
          <wp:inline distT="0" distB="0" distL="0" distR="0">
            <wp:extent cx="1173480" cy="479425"/>
            <wp:effectExtent l="0" t="0" r="0" b="0"/>
            <wp:docPr id="3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1173480" cy="479425"/>
                    </a:xfrm>
                    <a:prstGeom prst="rect">
                      <a:avLst/>
                    </a:prstGeom>
                    <a:noFill/>
                    <a:ln>
                      <a:noFill/>
                    </a:ln>
                  </pic:spPr>
                </pic:pic>
              </a:graphicData>
            </a:graphic>
          </wp:inline>
        </w:drawing>
      </w:r>
      <w:r>
        <w:t xml:space="preserve"> (6.15)</w:t>
      </w:r>
    </w:p>
    <w:p w:rsidR="00E35632" w:rsidRDefault="00E35632">
      <w:pPr>
        <w:pStyle w:val="ConsPlusNormal"/>
        <w:jc w:val="both"/>
      </w:pPr>
    </w:p>
    <w:p w:rsidR="00E35632" w:rsidRDefault="00E35632">
      <w:pPr>
        <w:pStyle w:val="ConsPlusNormal"/>
        <w:ind w:firstLine="540"/>
        <w:jc w:val="both"/>
      </w:pPr>
      <w:r>
        <w:t xml:space="preserve">где </w:t>
      </w:r>
      <w:r>
        <w:rPr>
          <w:noProof/>
          <w:position w:val="-10"/>
        </w:rPr>
        <w:drawing>
          <wp:inline distT="0" distB="0" distL="0" distR="0">
            <wp:extent cx="276860" cy="267970"/>
            <wp:effectExtent l="0" t="0" r="0" b="0"/>
            <wp:docPr id="3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276860" cy="267970"/>
                    </a:xfrm>
                    <a:prstGeom prst="rect">
                      <a:avLst/>
                    </a:prstGeom>
                    <a:noFill/>
                    <a:ln>
                      <a:noFill/>
                    </a:ln>
                  </pic:spPr>
                </pic:pic>
              </a:graphicData>
            </a:graphic>
          </wp:inline>
        </w:drawing>
      </w:r>
      <w:r>
        <w:t xml:space="preserve"> - относительная линейная усадка грунта </w:t>
      </w:r>
      <w:r>
        <w:rPr>
          <w:i/>
        </w:rPr>
        <w:t>i</w:t>
      </w:r>
      <w:r>
        <w:t xml:space="preserve">-го слоя, определяемая в соответствии с </w:t>
      </w:r>
      <w:hyperlink w:anchor="P2664">
        <w:r>
          <w:rPr>
            <w:color w:val="0000FF"/>
          </w:rPr>
          <w:t>6.2.16</w:t>
        </w:r>
      </w:hyperlink>
      <w:r>
        <w:t>;</w:t>
      </w:r>
    </w:p>
    <w:p w:rsidR="00E35632" w:rsidRDefault="00E35632">
      <w:pPr>
        <w:pStyle w:val="ConsPlusNormal"/>
        <w:spacing w:before="220"/>
        <w:ind w:firstLine="540"/>
        <w:jc w:val="both"/>
      </w:pPr>
      <w:r>
        <w:rPr>
          <w:i/>
        </w:rPr>
        <w:t>h</w:t>
      </w:r>
      <w:r>
        <w:rPr>
          <w:i/>
          <w:vertAlign w:val="subscript"/>
        </w:rPr>
        <w:t>i</w:t>
      </w:r>
      <w:r>
        <w:t xml:space="preserve"> - толщина </w:t>
      </w:r>
      <w:r>
        <w:rPr>
          <w:i/>
        </w:rPr>
        <w:t>i</w:t>
      </w:r>
      <w:r>
        <w:t>-го слоя грунта, см;</w:t>
      </w:r>
    </w:p>
    <w:p w:rsidR="00E35632" w:rsidRDefault="00E35632">
      <w:pPr>
        <w:pStyle w:val="ConsPlusNormal"/>
        <w:spacing w:before="220"/>
        <w:ind w:firstLine="540"/>
        <w:jc w:val="both"/>
      </w:pPr>
      <w:r>
        <w:rPr>
          <w:i/>
        </w:rPr>
        <w:t>k</w:t>
      </w:r>
      <w:r>
        <w:rPr>
          <w:i/>
          <w:vertAlign w:val="subscript"/>
        </w:rPr>
        <w:t>sh</w:t>
      </w:r>
      <w:r>
        <w:t xml:space="preserve"> - коэффициент, принимаемый равным 1,3;</w:t>
      </w:r>
    </w:p>
    <w:p w:rsidR="00E35632" w:rsidRDefault="00E35632">
      <w:pPr>
        <w:pStyle w:val="ConsPlusNormal"/>
        <w:spacing w:before="220"/>
        <w:ind w:firstLine="540"/>
        <w:jc w:val="both"/>
      </w:pPr>
      <w:r>
        <w:rPr>
          <w:i/>
        </w:rPr>
        <w:t>n</w:t>
      </w:r>
      <w:r>
        <w:t xml:space="preserve"> - число слоев, на которое разбита зона усадки грунта, принимаемая в соответствии с </w:t>
      </w:r>
      <w:hyperlink w:anchor="P2670">
        <w:r>
          <w:rPr>
            <w:color w:val="0000FF"/>
          </w:rPr>
          <w:t>6.2.17</w:t>
        </w:r>
      </w:hyperlink>
      <w:r>
        <w:t>.</w:t>
      </w:r>
    </w:p>
    <w:p w:rsidR="00E35632" w:rsidRDefault="00E35632">
      <w:pPr>
        <w:pStyle w:val="ConsPlusNormal"/>
        <w:spacing w:before="220"/>
        <w:ind w:firstLine="540"/>
        <w:jc w:val="both"/>
      </w:pPr>
      <w:r>
        <w:t xml:space="preserve">Допускается принимать </w:t>
      </w:r>
      <w:r>
        <w:rPr>
          <w:noProof/>
          <w:position w:val="-10"/>
        </w:rPr>
        <w:drawing>
          <wp:inline distT="0" distB="0" distL="0" distR="0">
            <wp:extent cx="276860" cy="267970"/>
            <wp:effectExtent l="0" t="0" r="0" b="0"/>
            <wp:docPr id="3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276860" cy="267970"/>
                    </a:xfrm>
                    <a:prstGeom prst="rect">
                      <a:avLst/>
                    </a:prstGeom>
                    <a:noFill/>
                    <a:ln>
                      <a:noFill/>
                    </a:ln>
                  </pic:spPr>
                </pic:pic>
              </a:graphicData>
            </a:graphic>
          </wp:inline>
        </w:drawing>
      </w:r>
      <w:r>
        <w:t xml:space="preserve">, определяемую без нагрузки, при этом </w:t>
      </w:r>
      <w:r>
        <w:rPr>
          <w:i/>
        </w:rPr>
        <w:t>k</w:t>
      </w:r>
      <w:r>
        <w:rPr>
          <w:i/>
          <w:vertAlign w:val="subscript"/>
        </w:rPr>
        <w:t>sh</w:t>
      </w:r>
      <w:r>
        <w:t xml:space="preserve"> = 1,2.</w:t>
      </w:r>
    </w:p>
    <w:p w:rsidR="00E35632" w:rsidRDefault="00E35632">
      <w:pPr>
        <w:pStyle w:val="ConsPlusNormal"/>
        <w:spacing w:before="220"/>
        <w:ind w:firstLine="540"/>
        <w:jc w:val="both"/>
      </w:pPr>
      <w:bookmarkStart w:id="151" w:name="P2664"/>
      <w:bookmarkEnd w:id="151"/>
      <w:r>
        <w:t xml:space="preserve">6.2.16 Относительную линейную усадку грунта при его высыхании </w:t>
      </w:r>
      <w:r>
        <w:rPr>
          <w:noProof/>
          <w:position w:val="-8"/>
        </w:rPr>
        <w:drawing>
          <wp:inline distT="0" distB="0" distL="0" distR="0">
            <wp:extent cx="226060" cy="251460"/>
            <wp:effectExtent l="0" t="0" r="0" b="0"/>
            <wp:docPr id="3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226060" cy="251460"/>
                    </a:xfrm>
                    <a:prstGeom prst="rect">
                      <a:avLst/>
                    </a:prstGeom>
                    <a:noFill/>
                    <a:ln>
                      <a:noFill/>
                    </a:ln>
                  </pic:spPr>
                </pic:pic>
              </a:graphicData>
            </a:graphic>
          </wp:inline>
        </w:drawing>
      </w:r>
      <w:r>
        <w:t xml:space="preserve"> вычисляют по формуле</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1257300" cy="251460"/>
            <wp:effectExtent l="0" t="0" r="0" b="0"/>
            <wp:docPr id="3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1257300" cy="251460"/>
                    </a:xfrm>
                    <a:prstGeom prst="rect">
                      <a:avLst/>
                    </a:prstGeom>
                    <a:noFill/>
                    <a:ln>
                      <a:noFill/>
                    </a:ln>
                  </pic:spPr>
                </pic:pic>
              </a:graphicData>
            </a:graphic>
          </wp:inline>
        </w:drawing>
      </w:r>
      <w:r>
        <w:t xml:space="preserve"> (6.16)</w:t>
      </w:r>
    </w:p>
    <w:p w:rsidR="00E35632" w:rsidRDefault="00E35632">
      <w:pPr>
        <w:pStyle w:val="ConsPlusNormal"/>
        <w:jc w:val="both"/>
      </w:pPr>
    </w:p>
    <w:p w:rsidR="00E35632" w:rsidRDefault="00E35632">
      <w:pPr>
        <w:pStyle w:val="ConsPlusNormal"/>
        <w:ind w:firstLine="540"/>
        <w:jc w:val="both"/>
      </w:pPr>
      <w:r>
        <w:lastRenderedPageBreak/>
        <w:t xml:space="preserve">где </w:t>
      </w:r>
      <w:r>
        <w:rPr>
          <w:i/>
        </w:rPr>
        <w:t>h</w:t>
      </w:r>
      <w:r>
        <w:rPr>
          <w:i/>
          <w:vertAlign w:val="subscript"/>
        </w:rPr>
        <w:t>n</w:t>
      </w:r>
      <w:r>
        <w:t xml:space="preserve"> - высота образца грунта, см, после его максимального набухания при обжатии его суммарным вертикальным напряжением без возможности бокового расширения;</w:t>
      </w:r>
    </w:p>
    <w:p w:rsidR="00E35632" w:rsidRDefault="00E35632">
      <w:pPr>
        <w:pStyle w:val="ConsPlusNormal"/>
        <w:spacing w:before="220"/>
        <w:ind w:firstLine="540"/>
        <w:jc w:val="both"/>
      </w:pPr>
      <w:r>
        <w:rPr>
          <w:i/>
        </w:rPr>
        <w:t>h</w:t>
      </w:r>
      <w:r>
        <w:rPr>
          <w:i/>
          <w:vertAlign w:val="subscript"/>
        </w:rPr>
        <w:t>d</w:t>
      </w:r>
      <w:r>
        <w:t xml:space="preserve"> - высота образца, см, в тех же условиях после уменьшения влажности в результате высыхания.</w:t>
      </w:r>
    </w:p>
    <w:p w:rsidR="00E35632" w:rsidRDefault="00E35632">
      <w:pPr>
        <w:pStyle w:val="ConsPlusNormal"/>
        <w:spacing w:before="220"/>
        <w:ind w:firstLine="540"/>
        <w:jc w:val="both"/>
      </w:pPr>
      <w:bookmarkStart w:id="152" w:name="P2670"/>
      <w:bookmarkEnd w:id="152"/>
      <w:r>
        <w:t xml:space="preserve">6.2.17 Нижнюю границу зоны усадки </w:t>
      </w:r>
      <w:r>
        <w:rPr>
          <w:i/>
        </w:rPr>
        <w:t>H</w:t>
      </w:r>
      <w:r>
        <w:rPr>
          <w:i/>
          <w:vertAlign w:val="subscript"/>
        </w:rPr>
        <w:t>sh</w:t>
      </w:r>
      <w:r>
        <w:t xml:space="preserve"> определяют экспериментальным путем, а при отсутствии опытных данных принимают равной 5 м.</w:t>
      </w:r>
    </w:p>
    <w:p w:rsidR="00E35632" w:rsidRDefault="00E35632">
      <w:pPr>
        <w:pStyle w:val="ConsPlusNormal"/>
        <w:spacing w:before="220"/>
        <w:ind w:firstLine="540"/>
        <w:jc w:val="both"/>
      </w:pPr>
      <w:r>
        <w:t xml:space="preserve">При высыхании грунта в результате теплового воздействия технологических установок нижнюю границу зоны усадки </w:t>
      </w:r>
      <w:r>
        <w:rPr>
          <w:i/>
        </w:rPr>
        <w:t>H</w:t>
      </w:r>
      <w:r>
        <w:rPr>
          <w:i/>
          <w:vertAlign w:val="subscript"/>
        </w:rPr>
        <w:t>sh</w:t>
      </w:r>
      <w:r>
        <w:t xml:space="preserve"> определяют опытным путем или соответствующим расчетом.</w:t>
      </w:r>
    </w:p>
    <w:p w:rsidR="00E35632" w:rsidRDefault="00E35632">
      <w:pPr>
        <w:pStyle w:val="ConsPlusNormal"/>
        <w:spacing w:before="220"/>
        <w:ind w:firstLine="540"/>
        <w:jc w:val="both"/>
      </w:pPr>
      <w:r>
        <w:t xml:space="preserve">6.2.18 При расчетных деформациях основания, сложенного набухающими грунтами, больше предельных или недостаточной несущей способности основания следует предусматривать следующие мероприятия в соответствии с </w:t>
      </w:r>
      <w:hyperlink w:anchor="P2257">
        <w:r>
          <w:rPr>
            <w:color w:val="0000FF"/>
          </w:rPr>
          <w:t>5.9</w:t>
        </w:r>
      </w:hyperlink>
      <w:r>
        <w:t>:</w:t>
      </w:r>
    </w:p>
    <w:p w:rsidR="00E35632" w:rsidRDefault="00E35632">
      <w:pPr>
        <w:pStyle w:val="ConsPlusNormal"/>
        <w:spacing w:before="220"/>
        <w:ind w:firstLine="540"/>
        <w:jc w:val="both"/>
      </w:pPr>
      <w:r>
        <w:t>- водозащитные мероприятия;</w:t>
      </w:r>
    </w:p>
    <w:p w:rsidR="00E35632" w:rsidRDefault="00E35632">
      <w:pPr>
        <w:pStyle w:val="ConsPlusNormal"/>
        <w:spacing w:before="220"/>
        <w:ind w:firstLine="540"/>
        <w:jc w:val="both"/>
      </w:pPr>
      <w:r>
        <w:t>- предварительное замачивание основания в пределах всей или части толщи набухающих грунтов;</w:t>
      </w:r>
    </w:p>
    <w:p w:rsidR="00E35632" w:rsidRDefault="00E35632">
      <w:pPr>
        <w:pStyle w:val="ConsPlusNormal"/>
        <w:spacing w:before="220"/>
        <w:ind w:firstLine="540"/>
        <w:jc w:val="both"/>
      </w:pPr>
      <w:r>
        <w:t>- применение компенсирующих песчаных подушек;</w:t>
      </w:r>
    </w:p>
    <w:p w:rsidR="00E35632" w:rsidRDefault="00E35632">
      <w:pPr>
        <w:pStyle w:val="ConsPlusNormal"/>
        <w:spacing w:before="220"/>
        <w:ind w:firstLine="540"/>
        <w:jc w:val="both"/>
      </w:pPr>
      <w:r>
        <w:t>- полная или частичная замена слоя набухающего грунта ненабухающим;</w:t>
      </w:r>
    </w:p>
    <w:p w:rsidR="00E35632" w:rsidRDefault="00E35632">
      <w:pPr>
        <w:pStyle w:val="ConsPlusNormal"/>
        <w:spacing w:before="220"/>
        <w:ind w:firstLine="540"/>
        <w:jc w:val="both"/>
      </w:pPr>
      <w:r>
        <w:t>- полная или частичная прорезка фундаментами слоя набухающего грунта.</w:t>
      </w:r>
    </w:p>
    <w:p w:rsidR="00E35632" w:rsidRDefault="00E35632">
      <w:pPr>
        <w:pStyle w:val="ConsPlusNormal"/>
        <w:spacing w:before="220"/>
        <w:ind w:firstLine="540"/>
        <w:jc w:val="both"/>
      </w:pPr>
      <w:r>
        <w:t>6.2.19 Глубину предварительного замачивания, толщину частично заменяемого слоя набухающего грунта или частичной его прорезки назначают в зависимости от требуемого снижения деформаций от набухания.</w:t>
      </w:r>
    </w:p>
    <w:p w:rsidR="00E35632" w:rsidRDefault="00E35632">
      <w:pPr>
        <w:pStyle w:val="ConsPlusNormal"/>
        <w:spacing w:before="220"/>
        <w:ind w:firstLine="540"/>
        <w:jc w:val="both"/>
      </w:pPr>
      <w:r>
        <w:t>6.2.20 При возведении фундаментов на предварительно замоченном основании из набухающих грунтов следует предусматривать устройство подушек из песка, щебня или гравия либо упрочнение верхнего слоя грунта связующими материалами.</w:t>
      </w:r>
    </w:p>
    <w:p w:rsidR="00E35632" w:rsidRDefault="00E35632">
      <w:pPr>
        <w:pStyle w:val="ConsPlusNormal"/>
        <w:spacing w:before="220"/>
        <w:ind w:firstLine="540"/>
        <w:jc w:val="both"/>
      </w:pPr>
      <w:r>
        <w:t>6.2.21 Компенсирующие песчаные подушки устраивают на кровле или в пределах слоя набухающих грунтов при давлении, передаваемом на основание, не менее 0,1 МПа.</w:t>
      </w:r>
    </w:p>
    <w:p w:rsidR="00E35632" w:rsidRDefault="00E35632">
      <w:pPr>
        <w:pStyle w:val="ConsPlusNormal"/>
        <w:spacing w:before="220"/>
        <w:ind w:firstLine="540"/>
        <w:jc w:val="both"/>
      </w:pPr>
      <w:r>
        <w:t>Для устройства подушек применяют пески любой крупности, за исключением пылеватых, уплотняемые до плотности в сухом состоянии не менее 1,6 т/м</w:t>
      </w:r>
      <w:r>
        <w:rPr>
          <w:vertAlign w:val="superscript"/>
        </w:rPr>
        <w:t>3</w:t>
      </w:r>
      <w:r>
        <w:t>.</w:t>
      </w:r>
    </w:p>
    <w:p w:rsidR="00E35632" w:rsidRDefault="00E35632">
      <w:pPr>
        <w:pStyle w:val="ConsPlusNormal"/>
        <w:spacing w:before="220"/>
        <w:ind w:firstLine="540"/>
        <w:jc w:val="both"/>
      </w:pPr>
      <w:r>
        <w:t>Компенсирующие песчаные подушки устраивают только под ленточные фундаменты, когда их ширина не превышает 1,2 м. Размеры подушки назначают по таблице 6.3.</w:t>
      </w:r>
    </w:p>
    <w:p w:rsidR="00E35632" w:rsidRDefault="00E35632">
      <w:pPr>
        <w:pStyle w:val="ConsPlusNormal"/>
        <w:jc w:val="both"/>
      </w:pPr>
    </w:p>
    <w:p w:rsidR="00E35632" w:rsidRDefault="00E35632">
      <w:pPr>
        <w:pStyle w:val="ConsPlusNormal"/>
        <w:jc w:val="right"/>
      </w:pPr>
      <w:r>
        <w:t>Таблица 6.3</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80"/>
        <w:gridCol w:w="2880"/>
        <w:gridCol w:w="3000"/>
      </w:tblGrid>
      <w:tr w:rsidR="00E35632">
        <w:tc>
          <w:tcPr>
            <w:tcW w:w="3180" w:type="dxa"/>
            <w:vAlign w:val="center"/>
          </w:tcPr>
          <w:p w:rsidR="00E35632" w:rsidRDefault="00E35632">
            <w:pPr>
              <w:pStyle w:val="ConsPlusNormal"/>
              <w:jc w:val="center"/>
            </w:pPr>
            <w:r>
              <w:t xml:space="preserve">Ширина фундамента </w:t>
            </w:r>
            <w:r>
              <w:rPr>
                <w:i/>
              </w:rPr>
              <w:t>b</w:t>
            </w:r>
            <w:r>
              <w:t>, м</w:t>
            </w:r>
          </w:p>
        </w:tc>
        <w:tc>
          <w:tcPr>
            <w:tcW w:w="2880" w:type="dxa"/>
            <w:vAlign w:val="center"/>
          </w:tcPr>
          <w:p w:rsidR="00E35632" w:rsidRDefault="00E35632">
            <w:pPr>
              <w:pStyle w:val="ConsPlusNormal"/>
              <w:jc w:val="center"/>
            </w:pPr>
            <w:r>
              <w:t xml:space="preserve">Ширина подушки </w:t>
            </w:r>
            <w:r>
              <w:rPr>
                <w:i/>
              </w:rPr>
              <w:t>B</w:t>
            </w:r>
            <w:r>
              <w:t>, м</w:t>
            </w:r>
          </w:p>
        </w:tc>
        <w:tc>
          <w:tcPr>
            <w:tcW w:w="3000" w:type="dxa"/>
            <w:vAlign w:val="center"/>
          </w:tcPr>
          <w:p w:rsidR="00E35632" w:rsidRDefault="00E35632">
            <w:pPr>
              <w:pStyle w:val="ConsPlusNormal"/>
              <w:jc w:val="center"/>
            </w:pPr>
            <w:r>
              <w:t xml:space="preserve">Высота подушки </w:t>
            </w:r>
            <w:r>
              <w:rPr>
                <w:i/>
              </w:rPr>
              <w:t>h</w:t>
            </w:r>
            <w:r>
              <w:t>, м</w:t>
            </w:r>
          </w:p>
        </w:tc>
      </w:tr>
      <w:tr w:rsidR="00E35632">
        <w:tc>
          <w:tcPr>
            <w:tcW w:w="3180" w:type="dxa"/>
          </w:tcPr>
          <w:p w:rsidR="00E35632" w:rsidRDefault="00E35632">
            <w:pPr>
              <w:pStyle w:val="ConsPlusNormal"/>
              <w:jc w:val="center"/>
            </w:pPr>
            <w:r>
              <w:t xml:space="preserve">0,5 &lt; </w:t>
            </w:r>
            <w:r>
              <w:rPr>
                <w:i/>
              </w:rPr>
              <w:t>b</w:t>
            </w:r>
            <w:r>
              <w:t xml:space="preserve"> &lt;= 0,7</w:t>
            </w:r>
          </w:p>
        </w:tc>
        <w:tc>
          <w:tcPr>
            <w:tcW w:w="2880" w:type="dxa"/>
          </w:tcPr>
          <w:p w:rsidR="00E35632" w:rsidRDefault="00E35632">
            <w:pPr>
              <w:pStyle w:val="ConsPlusNormal"/>
              <w:jc w:val="center"/>
            </w:pPr>
            <w:r>
              <w:t>2,4</w:t>
            </w:r>
            <w:r>
              <w:rPr>
                <w:i/>
              </w:rPr>
              <w:t>b</w:t>
            </w:r>
          </w:p>
        </w:tc>
        <w:tc>
          <w:tcPr>
            <w:tcW w:w="3000" w:type="dxa"/>
          </w:tcPr>
          <w:p w:rsidR="00E35632" w:rsidRDefault="00E35632">
            <w:pPr>
              <w:pStyle w:val="ConsPlusNormal"/>
              <w:jc w:val="center"/>
            </w:pPr>
            <w:r>
              <w:t>1,2</w:t>
            </w:r>
            <w:r>
              <w:rPr>
                <w:i/>
              </w:rPr>
              <w:t>b</w:t>
            </w:r>
          </w:p>
        </w:tc>
      </w:tr>
      <w:tr w:rsidR="00E35632">
        <w:tc>
          <w:tcPr>
            <w:tcW w:w="3180" w:type="dxa"/>
          </w:tcPr>
          <w:p w:rsidR="00E35632" w:rsidRDefault="00E35632">
            <w:pPr>
              <w:pStyle w:val="ConsPlusNormal"/>
              <w:jc w:val="center"/>
            </w:pPr>
            <w:r>
              <w:t xml:space="preserve">0,7 &lt; </w:t>
            </w:r>
            <w:r>
              <w:rPr>
                <w:i/>
              </w:rPr>
              <w:t>b</w:t>
            </w:r>
            <w:r>
              <w:t xml:space="preserve"> &lt;= 1,0</w:t>
            </w:r>
          </w:p>
        </w:tc>
        <w:tc>
          <w:tcPr>
            <w:tcW w:w="2880" w:type="dxa"/>
          </w:tcPr>
          <w:p w:rsidR="00E35632" w:rsidRDefault="00E35632">
            <w:pPr>
              <w:pStyle w:val="ConsPlusNormal"/>
              <w:jc w:val="center"/>
            </w:pPr>
            <w:r>
              <w:t>2</w:t>
            </w:r>
            <w:r>
              <w:rPr>
                <w:i/>
              </w:rPr>
              <w:t>b</w:t>
            </w:r>
          </w:p>
        </w:tc>
        <w:tc>
          <w:tcPr>
            <w:tcW w:w="3000" w:type="dxa"/>
          </w:tcPr>
          <w:p w:rsidR="00E35632" w:rsidRDefault="00E35632">
            <w:pPr>
              <w:pStyle w:val="ConsPlusNormal"/>
              <w:jc w:val="center"/>
            </w:pPr>
            <w:r>
              <w:t>1,15</w:t>
            </w:r>
            <w:r>
              <w:rPr>
                <w:i/>
              </w:rPr>
              <w:t>b</w:t>
            </w:r>
          </w:p>
        </w:tc>
      </w:tr>
      <w:tr w:rsidR="00E35632">
        <w:tc>
          <w:tcPr>
            <w:tcW w:w="3180" w:type="dxa"/>
          </w:tcPr>
          <w:p w:rsidR="00E35632" w:rsidRDefault="00E35632">
            <w:pPr>
              <w:pStyle w:val="ConsPlusNormal"/>
              <w:jc w:val="center"/>
            </w:pPr>
            <w:r>
              <w:t xml:space="preserve">1,0 &lt; </w:t>
            </w:r>
            <w:r>
              <w:rPr>
                <w:i/>
              </w:rPr>
              <w:t>b</w:t>
            </w:r>
            <w:r>
              <w:t xml:space="preserve"> &lt;= 1,2</w:t>
            </w:r>
          </w:p>
        </w:tc>
        <w:tc>
          <w:tcPr>
            <w:tcW w:w="2880" w:type="dxa"/>
            <w:vAlign w:val="center"/>
          </w:tcPr>
          <w:p w:rsidR="00E35632" w:rsidRDefault="00E35632">
            <w:pPr>
              <w:pStyle w:val="ConsPlusNormal"/>
              <w:jc w:val="center"/>
            </w:pPr>
            <w:r>
              <w:t>1,8</w:t>
            </w:r>
            <w:r>
              <w:rPr>
                <w:i/>
              </w:rPr>
              <w:t>b</w:t>
            </w:r>
          </w:p>
        </w:tc>
        <w:tc>
          <w:tcPr>
            <w:tcW w:w="3000" w:type="dxa"/>
          </w:tcPr>
          <w:p w:rsidR="00E35632" w:rsidRDefault="00E35632">
            <w:pPr>
              <w:pStyle w:val="ConsPlusNormal"/>
              <w:jc w:val="center"/>
            </w:pPr>
            <w:r>
              <w:t>1,1</w:t>
            </w:r>
            <w:r>
              <w:rPr>
                <w:i/>
              </w:rPr>
              <w:t>b</w:t>
            </w:r>
          </w:p>
        </w:tc>
      </w:tr>
    </w:tbl>
    <w:p w:rsidR="00E35632" w:rsidRDefault="00E35632">
      <w:pPr>
        <w:pStyle w:val="ConsPlusNormal"/>
        <w:jc w:val="both"/>
      </w:pPr>
    </w:p>
    <w:p w:rsidR="00E35632" w:rsidRDefault="00E35632">
      <w:pPr>
        <w:pStyle w:val="ConsPlusNormal"/>
        <w:ind w:firstLine="540"/>
        <w:jc w:val="both"/>
      </w:pPr>
      <w:r>
        <w:t xml:space="preserve">6.2.22 Уменьшение подъема фундамента на естественном основании из набухающих грунтов может обеспечиваться путем анкеровки фундамента с помощью свай, частично или полностью </w:t>
      </w:r>
      <w:r>
        <w:lastRenderedPageBreak/>
        <w:t>прорезающих набухающий слой. При этом нагрузка, передаваемая сооружением, воспринимается совместно фундаментом и сваями, а предельные деформации (осадки, подъемы) этой конструкции не должны превышать предельных значений.</w:t>
      </w:r>
    </w:p>
    <w:p w:rsidR="00E35632" w:rsidRDefault="00E35632">
      <w:pPr>
        <w:pStyle w:val="ConsPlusNormal"/>
        <w:spacing w:before="220"/>
        <w:ind w:firstLine="540"/>
        <w:jc w:val="both"/>
      </w:pPr>
      <w:r>
        <w:t>6.2.23 К числу конструктивных мероприятий относят увеличение жесткости и прочности сооружения путем разбивки его на отдельные отсеки осадочными швами. Отсек должен иметь правильную геометрическую форму в плане и одинаковую высоту. Увеличение жесткости и прочности достигается также введением железобетонных непрерывных поясов толщиной не менее 15 см, устраиваемых по высоте в нескольких уровнях. Пояса следует армировать каркасами, располагаемыми на уровне перекрытий или верха проема и полностью перекрывающими наружные стены. Пояса предусматривают при частичной прорезке набухающих грунтов; частичной замене набухающего грунта ненабухающим; устройстве компенсирующих подушек; предварительном замачивании набухающих грунтов.</w:t>
      </w:r>
    </w:p>
    <w:p w:rsidR="00E35632" w:rsidRDefault="00E35632">
      <w:pPr>
        <w:pStyle w:val="ConsPlusNormal"/>
        <w:spacing w:before="220"/>
        <w:ind w:firstLine="540"/>
        <w:jc w:val="both"/>
      </w:pPr>
      <w:r>
        <w:t>6.2.24 Замену набухающего грунта производят местным ненабухающим грунтом, уплотняемым до заданной плотности. Проектирование оснований сооружений в этом случае следует выполнять как на обычных ненабухающих грунтах.</w:t>
      </w:r>
    </w:p>
    <w:p w:rsidR="00E35632" w:rsidRDefault="00E35632">
      <w:pPr>
        <w:pStyle w:val="ConsPlusNormal"/>
        <w:spacing w:before="220"/>
        <w:ind w:firstLine="540"/>
        <w:jc w:val="both"/>
      </w:pPr>
      <w:r>
        <w:t>6.2.25 Допускается использовать набухающие грунты для обратной засыпки пазух и траншей при условии, что горизонтальное давление, вызванное их увлажнением, окажется допустимым для данного сооружения, а возможный подъем грунта засыпки не приведет к ухудшению условий эксплуатации. Уплотнение грунтов производят в соответствии с требованиями, принятыми для устройства грунтовых подушек и обратных засыпок из обычных грунтов.</w:t>
      </w:r>
    </w:p>
    <w:p w:rsidR="00E35632" w:rsidRDefault="00E35632">
      <w:pPr>
        <w:pStyle w:val="ConsPlusTitle"/>
        <w:spacing w:before="220"/>
        <w:ind w:firstLine="540"/>
        <w:jc w:val="both"/>
        <w:outlineLvl w:val="2"/>
      </w:pPr>
      <w:r>
        <w:t>6.3 Засоленные грунты</w:t>
      </w:r>
    </w:p>
    <w:p w:rsidR="00E35632" w:rsidRDefault="00E35632">
      <w:pPr>
        <w:pStyle w:val="ConsPlusNormal"/>
        <w:spacing w:before="220"/>
        <w:ind w:firstLine="540"/>
        <w:jc w:val="both"/>
      </w:pPr>
      <w:r>
        <w:t>6.3.1 Основания, сложенные засоленными грунтами, следует проектировать с учетом их особенностей, связанных:</w:t>
      </w:r>
    </w:p>
    <w:p w:rsidR="00E35632" w:rsidRDefault="00E35632">
      <w:pPr>
        <w:pStyle w:val="ConsPlusNormal"/>
        <w:spacing w:before="220"/>
        <w:ind w:firstLine="540"/>
        <w:jc w:val="both"/>
      </w:pPr>
      <w:r>
        <w:t xml:space="preserve">- с образованием при длительной фильтрации воды и выщелачивании солей суффозионной осадки </w:t>
      </w:r>
      <w:r>
        <w:rPr>
          <w:i/>
        </w:rPr>
        <w:t>s</w:t>
      </w:r>
      <w:r>
        <w:rPr>
          <w:vertAlign w:val="subscript"/>
        </w:rPr>
        <w:t>sf</w:t>
      </w:r>
      <w:r>
        <w:t>;</w:t>
      </w:r>
    </w:p>
    <w:p w:rsidR="00E35632" w:rsidRDefault="00E35632">
      <w:pPr>
        <w:pStyle w:val="ConsPlusNormal"/>
        <w:spacing w:before="220"/>
        <w:ind w:firstLine="540"/>
        <w:jc w:val="both"/>
      </w:pPr>
      <w:r>
        <w:t>- изменением в процессе выщелачивания солей физико-механических свойств грунта, сопровождающееся снижением его прочностных характеристик;</w:t>
      </w:r>
    </w:p>
    <w:p w:rsidR="00E35632" w:rsidRDefault="00E35632">
      <w:pPr>
        <w:pStyle w:val="ConsPlusNormal"/>
        <w:spacing w:before="220"/>
        <w:ind w:firstLine="540"/>
        <w:jc w:val="both"/>
      </w:pPr>
      <w:r>
        <w:t>- повышенной агрессивностью подземных вод к материалам подземных конструкций за счет растворения солей, содержащихся в грунте.</w:t>
      </w:r>
    </w:p>
    <w:p w:rsidR="00E35632" w:rsidRDefault="00E35632">
      <w:pPr>
        <w:pStyle w:val="ConsPlusNormal"/>
        <w:spacing w:before="220"/>
        <w:ind w:firstLine="540"/>
        <w:jc w:val="both"/>
      </w:pPr>
      <w:r>
        <w:t>Следует также иметь в виду, что в засоленных грунтах при их замачивании может проявляться просадка или набухание.</w:t>
      </w:r>
    </w:p>
    <w:p w:rsidR="00E35632" w:rsidRDefault="00E35632">
      <w:pPr>
        <w:pStyle w:val="ConsPlusNormal"/>
        <w:spacing w:before="220"/>
        <w:ind w:firstLine="540"/>
        <w:jc w:val="both"/>
      </w:pPr>
      <w:r>
        <w:t xml:space="preserve">6.3.2 Засоленные грунты характеризуют относительным суффозионным сжатием </w:t>
      </w:r>
      <w:r>
        <w:rPr>
          <w:noProof/>
          <w:position w:val="-10"/>
        </w:rPr>
        <w:drawing>
          <wp:inline distT="0" distB="0" distL="0" distR="0">
            <wp:extent cx="226060" cy="267970"/>
            <wp:effectExtent l="0" t="0" r="0" b="0"/>
            <wp:docPr id="3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226060" cy="267970"/>
                    </a:xfrm>
                    <a:prstGeom prst="rect">
                      <a:avLst/>
                    </a:prstGeom>
                    <a:noFill/>
                    <a:ln>
                      <a:noFill/>
                    </a:ln>
                  </pic:spPr>
                </pic:pic>
              </a:graphicData>
            </a:graphic>
          </wp:inline>
        </w:drawing>
      </w:r>
      <w:r>
        <w:t xml:space="preserve"> и начальным давлением суффозионного сжатия </w:t>
      </w:r>
      <w:r>
        <w:rPr>
          <w:i/>
        </w:rPr>
        <w:t>p</w:t>
      </w:r>
      <w:r>
        <w:rPr>
          <w:i/>
          <w:vertAlign w:val="subscript"/>
        </w:rPr>
        <w:t>sf</w:t>
      </w:r>
      <w:r>
        <w:t>.</w:t>
      </w:r>
    </w:p>
    <w:p w:rsidR="00E35632" w:rsidRDefault="00E35632">
      <w:pPr>
        <w:pStyle w:val="ConsPlusNormal"/>
        <w:spacing w:before="220"/>
        <w:ind w:firstLine="540"/>
        <w:jc w:val="both"/>
      </w:pPr>
      <w:r>
        <w:t xml:space="preserve">Значения </w:t>
      </w:r>
      <w:r>
        <w:rPr>
          <w:noProof/>
          <w:position w:val="-10"/>
        </w:rPr>
        <w:drawing>
          <wp:inline distT="0" distB="0" distL="0" distR="0">
            <wp:extent cx="226060" cy="267970"/>
            <wp:effectExtent l="0" t="0" r="0" b="0"/>
            <wp:docPr id="3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226060" cy="267970"/>
                    </a:xfrm>
                    <a:prstGeom prst="rect">
                      <a:avLst/>
                    </a:prstGeom>
                    <a:noFill/>
                    <a:ln>
                      <a:noFill/>
                    </a:ln>
                  </pic:spPr>
                </pic:pic>
              </a:graphicData>
            </a:graphic>
          </wp:inline>
        </w:drawing>
      </w:r>
      <w:r>
        <w:t xml:space="preserve"> и </w:t>
      </w:r>
      <w:r>
        <w:rPr>
          <w:i/>
        </w:rPr>
        <w:t>p</w:t>
      </w:r>
      <w:r>
        <w:rPr>
          <w:i/>
          <w:vertAlign w:val="subscript"/>
        </w:rPr>
        <w:t>sf</w:t>
      </w:r>
      <w:r>
        <w:t xml:space="preserve"> определяют лабораторными методами (компрессионно-фильтрационные испытания), а для детального изучения отдельных участков строительной площадки - полевыми испытаниями статической нагрузкой с длительным замачиванием основания. При наличии результатов полевых испытаний и опыта строительства в аналогичных инженерно-геологических условиях указанные характеристики допускается определять только лабораторными методами.</w:t>
      </w:r>
    </w:p>
    <w:p w:rsidR="00E35632" w:rsidRDefault="00E35632">
      <w:pPr>
        <w:pStyle w:val="ConsPlusNormal"/>
        <w:spacing w:before="220"/>
        <w:ind w:firstLine="540"/>
        <w:jc w:val="both"/>
      </w:pPr>
      <w:r>
        <w:t xml:space="preserve">Значения </w:t>
      </w:r>
      <w:r>
        <w:rPr>
          <w:noProof/>
          <w:position w:val="-10"/>
        </w:rPr>
        <w:drawing>
          <wp:inline distT="0" distB="0" distL="0" distR="0">
            <wp:extent cx="226060" cy="267970"/>
            <wp:effectExtent l="0" t="0" r="0" b="0"/>
            <wp:docPr id="3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226060" cy="267970"/>
                    </a:xfrm>
                    <a:prstGeom prst="rect">
                      <a:avLst/>
                    </a:prstGeom>
                    <a:noFill/>
                    <a:ln>
                      <a:noFill/>
                    </a:ln>
                  </pic:spPr>
                </pic:pic>
              </a:graphicData>
            </a:graphic>
          </wp:inline>
        </w:drawing>
      </w:r>
      <w:r>
        <w:t xml:space="preserve"> и </w:t>
      </w:r>
      <w:r>
        <w:rPr>
          <w:i/>
        </w:rPr>
        <w:t>p</w:t>
      </w:r>
      <w:r>
        <w:rPr>
          <w:i/>
          <w:vertAlign w:val="subscript"/>
        </w:rPr>
        <w:t>sf</w:t>
      </w:r>
      <w:r>
        <w:t xml:space="preserve"> определяют в соответствии с </w:t>
      </w:r>
      <w:hyperlink w:anchor="P2832">
        <w:r>
          <w:rPr>
            <w:color w:val="0000FF"/>
          </w:rPr>
          <w:t>6.3.14</w:t>
        </w:r>
      </w:hyperlink>
      <w:r>
        <w:t>.</w:t>
      </w:r>
    </w:p>
    <w:p w:rsidR="00E35632" w:rsidRDefault="00E35632">
      <w:pPr>
        <w:pStyle w:val="ConsPlusNormal"/>
        <w:spacing w:before="220"/>
        <w:ind w:firstLine="540"/>
        <w:jc w:val="both"/>
      </w:pPr>
      <w:r>
        <w:t xml:space="preserve">6.3.3 Для предварительных расчетов суффозионной осадки основания сооружений 2-й и 3-й геотехнических категорий и для окончательных расчетов сооружений 1-й геотехнической категории </w:t>
      </w:r>
      <w:r>
        <w:lastRenderedPageBreak/>
        <w:t xml:space="preserve">следует определять значение относительного суффозионного сжатия </w:t>
      </w:r>
      <w:r>
        <w:rPr>
          <w:noProof/>
          <w:position w:val="-10"/>
        </w:rPr>
        <w:drawing>
          <wp:inline distT="0" distB="0" distL="0" distR="0">
            <wp:extent cx="226060" cy="267970"/>
            <wp:effectExtent l="0" t="0" r="0" b="0"/>
            <wp:docPr id="3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226060" cy="267970"/>
                    </a:xfrm>
                    <a:prstGeom prst="rect">
                      <a:avLst/>
                    </a:prstGeom>
                    <a:noFill/>
                    <a:ln>
                      <a:noFill/>
                    </a:ln>
                  </pic:spPr>
                </pic:pic>
              </a:graphicData>
            </a:graphic>
          </wp:inline>
        </w:drawing>
      </w:r>
      <w:r>
        <w:t xml:space="preserve"> глинистых загипсованных грунтов по </w:t>
      </w:r>
      <w:hyperlink w:anchor="P2716">
        <w:r>
          <w:rPr>
            <w:color w:val="0000FF"/>
          </w:rPr>
          <w:t>формуле (6.17)</w:t>
        </w:r>
      </w:hyperlink>
      <w:r>
        <w:t>, если они представлены:</w:t>
      </w:r>
    </w:p>
    <w:p w:rsidR="00E35632" w:rsidRDefault="00E35632">
      <w:pPr>
        <w:pStyle w:val="ConsPlusNormal"/>
        <w:spacing w:before="220"/>
        <w:ind w:firstLine="540"/>
        <w:jc w:val="both"/>
      </w:pPr>
      <w:r>
        <w:t xml:space="preserve">суглинками с </w:t>
      </w:r>
      <w:r>
        <w:rPr>
          <w:i/>
        </w:rPr>
        <w:t>w</w:t>
      </w:r>
      <w:r>
        <w:t xml:space="preserve"> = 0,02 - 0,04; </w:t>
      </w:r>
      <w:r>
        <w:rPr>
          <w:i/>
        </w:rPr>
        <w:t>I</w:t>
      </w:r>
      <w:r>
        <w:rPr>
          <w:i/>
          <w:vertAlign w:val="subscript"/>
        </w:rPr>
        <w:t>L</w:t>
      </w:r>
      <w:r>
        <w:t xml:space="preserve"> = 0,08 - 0,12; </w:t>
      </w:r>
      <w:r>
        <w:rPr>
          <w:noProof/>
          <w:position w:val="-10"/>
        </w:rPr>
        <w:drawing>
          <wp:inline distT="0" distB="0" distL="0" distR="0">
            <wp:extent cx="1340485" cy="267970"/>
            <wp:effectExtent l="0" t="0" r="0" b="0"/>
            <wp:docPr id="3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1340485" cy="267970"/>
                    </a:xfrm>
                    <a:prstGeom prst="rect">
                      <a:avLst/>
                    </a:prstGeom>
                    <a:noFill/>
                    <a:ln>
                      <a:noFill/>
                    </a:ln>
                  </pic:spPr>
                </pic:pic>
              </a:graphicData>
            </a:graphic>
          </wp:inline>
        </w:drawing>
      </w:r>
      <w:r>
        <w:t xml:space="preserve">; </w:t>
      </w:r>
      <w:r>
        <w:rPr>
          <w:i/>
        </w:rPr>
        <w:t>e</w:t>
      </w:r>
      <w:r>
        <w:t xml:space="preserve"> = 0,75 - 1,1;</w:t>
      </w:r>
    </w:p>
    <w:p w:rsidR="00E35632" w:rsidRDefault="00E35632">
      <w:pPr>
        <w:pStyle w:val="ConsPlusNormal"/>
        <w:spacing w:before="220"/>
        <w:ind w:firstLine="540"/>
        <w:jc w:val="both"/>
      </w:pPr>
      <w:r>
        <w:t xml:space="preserve">супесями с </w:t>
      </w:r>
      <w:r>
        <w:rPr>
          <w:i/>
        </w:rPr>
        <w:t>w</w:t>
      </w:r>
      <w:r>
        <w:t xml:space="preserve"> = 0,01 - 0,03; </w:t>
      </w:r>
      <w:r>
        <w:rPr>
          <w:i/>
        </w:rPr>
        <w:t>I</w:t>
      </w:r>
      <w:r>
        <w:rPr>
          <w:i/>
          <w:vertAlign w:val="subscript"/>
        </w:rPr>
        <w:t>L</w:t>
      </w:r>
      <w:r>
        <w:t xml:space="preserve"> = 0,03 - 0,07; </w:t>
      </w:r>
      <w:r>
        <w:rPr>
          <w:noProof/>
          <w:position w:val="-10"/>
        </w:rPr>
        <w:drawing>
          <wp:inline distT="0" distB="0" distL="0" distR="0">
            <wp:extent cx="1424940" cy="267970"/>
            <wp:effectExtent l="0" t="0" r="0" b="0"/>
            <wp:docPr id="3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1424940" cy="267970"/>
                    </a:xfrm>
                    <a:prstGeom prst="rect">
                      <a:avLst/>
                    </a:prstGeom>
                    <a:noFill/>
                    <a:ln>
                      <a:noFill/>
                    </a:ln>
                  </pic:spPr>
                </pic:pic>
              </a:graphicData>
            </a:graphic>
          </wp:inline>
        </w:drawing>
      </w:r>
      <w:r>
        <w:t xml:space="preserve">; </w:t>
      </w:r>
      <w:r>
        <w:rPr>
          <w:i/>
        </w:rPr>
        <w:t>e</w:t>
      </w:r>
      <w:r>
        <w:t xml:space="preserve"> = 0,9 - 1,0.</w:t>
      </w:r>
    </w:p>
    <w:p w:rsidR="00E35632" w:rsidRDefault="00E35632">
      <w:pPr>
        <w:pStyle w:val="ConsPlusNormal"/>
        <w:jc w:val="both"/>
      </w:pPr>
    </w:p>
    <w:p w:rsidR="00E35632" w:rsidRDefault="00E35632">
      <w:pPr>
        <w:pStyle w:val="ConsPlusNormal"/>
        <w:jc w:val="center"/>
      </w:pPr>
      <w:bookmarkStart w:id="153" w:name="P2716"/>
      <w:bookmarkEnd w:id="153"/>
      <w:r>
        <w:rPr>
          <w:noProof/>
          <w:position w:val="-10"/>
        </w:rPr>
        <w:drawing>
          <wp:inline distT="0" distB="0" distL="0" distR="0">
            <wp:extent cx="1354455" cy="276860"/>
            <wp:effectExtent l="0" t="0" r="0" b="0"/>
            <wp:docPr id="3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1354455" cy="276860"/>
                    </a:xfrm>
                    <a:prstGeom prst="rect">
                      <a:avLst/>
                    </a:prstGeom>
                    <a:noFill/>
                    <a:ln>
                      <a:noFill/>
                    </a:ln>
                  </pic:spPr>
                </pic:pic>
              </a:graphicData>
            </a:graphic>
          </wp:inline>
        </w:drawing>
      </w:r>
      <w:r>
        <w:t xml:space="preserve"> </w:t>
      </w:r>
      <w:hyperlink r:id="rId582">
        <w:r>
          <w:rPr>
            <w:color w:val="0000FF"/>
          </w:rPr>
          <w:t>(6.17)</w:t>
        </w:r>
      </w:hyperlink>
    </w:p>
    <w:p w:rsidR="00E35632" w:rsidRDefault="00E35632">
      <w:pPr>
        <w:pStyle w:val="ConsPlusNormal"/>
        <w:jc w:val="both"/>
      </w:pPr>
    </w:p>
    <w:p w:rsidR="00E35632" w:rsidRDefault="00E35632">
      <w:pPr>
        <w:pStyle w:val="ConsPlusNormal"/>
        <w:ind w:firstLine="540"/>
        <w:jc w:val="both"/>
      </w:pPr>
      <w:r>
        <w:t xml:space="preserve">где </w:t>
      </w:r>
      <w:r>
        <w:rPr>
          <w:i/>
        </w:rPr>
        <w:t>k</w:t>
      </w:r>
      <w:r>
        <w:rPr>
          <w:i/>
          <w:vertAlign w:val="subscript"/>
        </w:rPr>
        <w:t>i</w:t>
      </w:r>
      <w:r>
        <w:t xml:space="preserve"> - коэффициент, зависящий от вида грунта, содержания гипса и давления и принимаемый по </w:t>
      </w:r>
      <w:hyperlink w:anchor="P2725">
        <w:r>
          <w:rPr>
            <w:color w:val="0000FF"/>
          </w:rPr>
          <w:t>таблице 6.4</w:t>
        </w:r>
      </w:hyperlink>
      <w:r>
        <w:t>;</w:t>
      </w:r>
    </w:p>
    <w:p w:rsidR="00E35632" w:rsidRDefault="00E35632">
      <w:pPr>
        <w:pStyle w:val="ConsPlusNormal"/>
        <w:spacing w:before="220"/>
        <w:ind w:firstLine="540"/>
        <w:jc w:val="both"/>
      </w:pPr>
      <w:r>
        <w:rPr>
          <w:i/>
        </w:rPr>
        <w:t>d</w:t>
      </w:r>
      <w:r>
        <w:rPr>
          <w:vertAlign w:val="subscript"/>
        </w:rPr>
        <w:t>0</w:t>
      </w:r>
      <w:r>
        <w:t xml:space="preserve"> - начальное содержание гипса в грунте, доли единицы;</w:t>
      </w:r>
    </w:p>
    <w:p w:rsidR="00E35632" w:rsidRDefault="00E35632">
      <w:pPr>
        <w:pStyle w:val="ConsPlusNormal"/>
        <w:spacing w:before="220"/>
        <w:ind w:firstLine="540"/>
        <w:jc w:val="both"/>
      </w:pPr>
      <w:r>
        <w:rPr>
          <w:noProof/>
          <w:position w:val="-8"/>
        </w:rPr>
        <w:drawing>
          <wp:inline distT="0" distB="0" distL="0" distR="0">
            <wp:extent cx="226060" cy="251460"/>
            <wp:effectExtent l="0" t="0" r="0" b="0"/>
            <wp:docPr id="3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226060" cy="251460"/>
                    </a:xfrm>
                    <a:prstGeom prst="rect">
                      <a:avLst/>
                    </a:prstGeom>
                    <a:noFill/>
                    <a:ln>
                      <a:noFill/>
                    </a:ln>
                  </pic:spPr>
                </pic:pic>
              </a:graphicData>
            </a:graphic>
          </wp:inline>
        </w:drawing>
      </w:r>
      <w:r>
        <w:t xml:space="preserve"> - начальная плотность сухого грунта, г/см</w:t>
      </w:r>
      <w:r>
        <w:rPr>
          <w:vertAlign w:val="superscript"/>
        </w:rPr>
        <w:t>3</w:t>
      </w:r>
      <w:r>
        <w:t>;</w:t>
      </w:r>
    </w:p>
    <w:p w:rsidR="00E35632" w:rsidRDefault="00E35632">
      <w:pPr>
        <w:pStyle w:val="ConsPlusNormal"/>
        <w:spacing w:before="220"/>
        <w:ind w:firstLine="540"/>
        <w:jc w:val="both"/>
      </w:pPr>
      <w:r>
        <w:rPr>
          <w:noProof/>
          <w:position w:val="-10"/>
        </w:rPr>
        <w:drawing>
          <wp:inline distT="0" distB="0" distL="0" distR="0">
            <wp:extent cx="226060" cy="267970"/>
            <wp:effectExtent l="0" t="0" r="0" b="0"/>
            <wp:docPr id="3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26060" cy="267970"/>
                    </a:xfrm>
                    <a:prstGeom prst="rect">
                      <a:avLst/>
                    </a:prstGeom>
                    <a:noFill/>
                    <a:ln>
                      <a:noFill/>
                    </a:ln>
                  </pic:spPr>
                </pic:pic>
              </a:graphicData>
            </a:graphic>
          </wp:inline>
        </w:drawing>
      </w:r>
      <w:r>
        <w:t xml:space="preserve"> - плотность частиц гипса, г/см</w:t>
      </w:r>
      <w:r>
        <w:rPr>
          <w:vertAlign w:val="superscript"/>
        </w:rPr>
        <w:t>3</w:t>
      </w:r>
      <w:r>
        <w:t>;</w:t>
      </w:r>
    </w:p>
    <w:p w:rsidR="00E35632" w:rsidRDefault="00E35632">
      <w:pPr>
        <w:pStyle w:val="ConsPlusNormal"/>
        <w:spacing w:before="220"/>
        <w:ind w:firstLine="540"/>
        <w:jc w:val="both"/>
      </w:pPr>
      <w:r>
        <w:rPr>
          <w:noProof/>
          <w:position w:val="-6"/>
        </w:rPr>
        <w:drawing>
          <wp:inline distT="0" distB="0" distL="0" distR="0">
            <wp:extent cx="167640" cy="226060"/>
            <wp:effectExtent l="0" t="0" r="0" b="0"/>
            <wp:docPr id="3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167640" cy="226060"/>
                    </a:xfrm>
                    <a:prstGeom prst="rect">
                      <a:avLst/>
                    </a:prstGeom>
                    <a:noFill/>
                    <a:ln>
                      <a:noFill/>
                    </a:ln>
                  </pic:spPr>
                </pic:pic>
              </a:graphicData>
            </a:graphic>
          </wp:inline>
        </w:drawing>
      </w:r>
      <w:r>
        <w:t xml:space="preserve"> - степень выщелачивания, доли единицы;</w:t>
      </w:r>
    </w:p>
    <w:p w:rsidR="00E35632" w:rsidRDefault="00E35632">
      <w:pPr>
        <w:pStyle w:val="ConsPlusNormal"/>
        <w:spacing w:before="220"/>
        <w:ind w:firstLine="540"/>
        <w:jc w:val="both"/>
      </w:pPr>
      <w:r>
        <w:rPr>
          <w:i/>
        </w:rPr>
        <w:t>n</w:t>
      </w:r>
      <w:r>
        <w:t xml:space="preserve"> - коэффициент, принимаемый для суглинков равным 1, для супесей - 1/3.</w:t>
      </w:r>
    </w:p>
    <w:p w:rsidR="00E35632" w:rsidRDefault="00E35632">
      <w:pPr>
        <w:pStyle w:val="ConsPlusNormal"/>
        <w:jc w:val="both"/>
      </w:pPr>
    </w:p>
    <w:p w:rsidR="00E35632" w:rsidRDefault="00E35632">
      <w:pPr>
        <w:pStyle w:val="ConsPlusNormal"/>
        <w:jc w:val="right"/>
      </w:pPr>
      <w:bookmarkStart w:id="154" w:name="P2725"/>
      <w:bookmarkEnd w:id="154"/>
      <w:r>
        <w:t>Таблица 6.4</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20"/>
        <w:gridCol w:w="2297"/>
        <w:gridCol w:w="1306"/>
        <w:gridCol w:w="1260"/>
        <w:gridCol w:w="1246"/>
        <w:gridCol w:w="1320"/>
      </w:tblGrid>
      <w:tr w:rsidR="00E35632">
        <w:tc>
          <w:tcPr>
            <w:tcW w:w="1620" w:type="dxa"/>
            <w:vMerge w:val="restart"/>
            <w:tcBorders>
              <w:top w:val="single" w:sz="4" w:space="0" w:color="auto"/>
              <w:bottom w:val="single" w:sz="4" w:space="0" w:color="auto"/>
            </w:tcBorders>
            <w:vAlign w:val="center"/>
          </w:tcPr>
          <w:p w:rsidR="00E35632" w:rsidRDefault="00E35632">
            <w:pPr>
              <w:pStyle w:val="ConsPlusNormal"/>
              <w:jc w:val="center"/>
            </w:pPr>
            <w:r>
              <w:t>Грунты</w:t>
            </w:r>
          </w:p>
        </w:tc>
        <w:tc>
          <w:tcPr>
            <w:tcW w:w="2297" w:type="dxa"/>
            <w:vMerge w:val="restart"/>
            <w:tcBorders>
              <w:top w:val="single" w:sz="4" w:space="0" w:color="auto"/>
              <w:bottom w:val="single" w:sz="4" w:space="0" w:color="auto"/>
            </w:tcBorders>
            <w:vAlign w:val="center"/>
          </w:tcPr>
          <w:p w:rsidR="00E35632" w:rsidRDefault="00E35632">
            <w:pPr>
              <w:pStyle w:val="ConsPlusNormal"/>
              <w:jc w:val="center"/>
            </w:pPr>
            <w:r>
              <w:t>Содержание гипса, доли единицы</w:t>
            </w:r>
          </w:p>
        </w:tc>
        <w:tc>
          <w:tcPr>
            <w:tcW w:w="5132" w:type="dxa"/>
            <w:gridSpan w:val="4"/>
            <w:tcBorders>
              <w:top w:val="single" w:sz="4" w:space="0" w:color="auto"/>
              <w:bottom w:val="single" w:sz="4" w:space="0" w:color="auto"/>
            </w:tcBorders>
            <w:vAlign w:val="center"/>
          </w:tcPr>
          <w:p w:rsidR="00E35632" w:rsidRDefault="00E35632">
            <w:pPr>
              <w:pStyle w:val="ConsPlusNormal"/>
              <w:jc w:val="center"/>
            </w:pPr>
            <w:r>
              <w:t xml:space="preserve">Коэффициент </w:t>
            </w:r>
            <w:r>
              <w:rPr>
                <w:i/>
              </w:rPr>
              <w:t>k</w:t>
            </w:r>
            <w:r>
              <w:rPr>
                <w:i/>
                <w:vertAlign w:val="subscript"/>
              </w:rPr>
              <w:t>i</w:t>
            </w:r>
            <w:r>
              <w:t xml:space="preserve"> при давлении, МПа</w:t>
            </w:r>
          </w:p>
        </w:tc>
      </w:tr>
      <w:tr w:rsidR="00E35632">
        <w:tc>
          <w:tcPr>
            <w:tcW w:w="1620" w:type="dxa"/>
            <w:vMerge/>
            <w:tcBorders>
              <w:top w:val="single" w:sz="4" w:space="0" w:color="auto"/>
              <w:bottom w:val="single" w:sz="4" w:space="0" w:color="auto"/>
            </w:tcBorders>
          </w:tcPr>
          <w:p w:rsidR="00E35632" w:rsidRDefault="00E35632">
            <w:pPr>
              <w:pStyle w:val="ConsPlusNormal"/>
            </w:pPr>
          </w:p>
        </w:tc>
        <w:tc>
          <w:tcPr>
            <w:tcW w:w="2297" w:type="dxa"/>
            <w:vMerge/>
            <w:tcBorders>
              <w:top w:val="single" w:sz="4" w:space="0" w:color="auto"/>
              <w:bottom w:val="single" w:sz="4" w:space="0" w:color="auto"/>
            </w:tcBorders>
          </w:tcPr>
          <w:p w:rsidR="00E35632" w:rsidRDefault="00E35632">
            <w:pPr>
              <w:pStyle w:val="ConsPlusNormal"/>
            </w:pPr>
          </w:p>
        </w:tc>
        <w:tc>
          <w:tcPr>
            <w:tcW w:w="1306" w:type="dxa"/>
            <w:tcBorders>
              <w:top w:val="single" w:sz="4" w:space="0" w:color="auto"/>
              <w:bottom w:val="single" w:sz="4" w:space="0" w:color="auto"/>
            </w:tcBorders>
            <w:vAlign w:val="center"/>
          </w:tcPr>
          <w:p w:rsidR="00E35632" w:rsidRDefault="00E35632">
            <w:pPr>
              <w:pStyle w:val="ConsPlusNormal"/>
              <w:jc w:val="center"/>
            </w:pPr>
            <w:r>
              <w:t>0,1</w:t>
            </w:r>
          </w:p>
        </w:tc>
        <w:tc>
          <w:tcPr>
            <w:tcW w:w="1260" w:type="dxa"/>
            <w:tcBorders>
              <w:top w:val="single" w:sz="4" w:space="0" w:color="auto"/>
              <w:bottom w:val="single" w:sz="4" w:space="0" w:color="auto"/>
            </w:tcBorders>
            <w:vAlign w:val="center"/>
          </w:tcPr>
          <w:p w:rsidR="00E35632" w:rsidRDefault="00E35632">
            <w:pPr>
              <w:pStyle w:val="ConsPlusNormal"/>
              <w:jc w:val="center"/>
            </w:pPr>
            <w:r>
              <w:t>0,2</w:t>
            </w:r>
          </w:p>
        </w:tc>
        <w:tc>
          <w:tcPr>
            <w:tcW w:w="1246" w:type="dxa"/>
            <w:tcBorders>
              <w:top w:val="single" w:sz="4" w:space="0" w:color="auto"/>
              <w:bottom w:val="single" w:sz="4" w:space="0" w:color="auto"/>
            </w:tcBorders>
            <w:vAlign w:val="center"/>
          </w:tcPr>
          <w:p w:rsidR="00E35632" w:rsidRDefault="00E35632">
            <w:pPr>
              <w:pStyle w:val="ConsPlusNormal"/>
              <w:jc w:val="center"/>
            </w:pPr>
            <w:r>
              <w:t>0,3</w:t>
            </w:r>
          </w:p>
        </w:tc>
        <w:tc>
          <w:tcPr>
            <w:tcW w:w="1320" w:type="dxa"/>
            <w:tcBorders>
              <w:top w:val="single" w:sz="4" w:space="0" w:color="auto"/>
              <w:bottom w:val="single" w:sz="4" w:space="0" w:color="auto"/>
            </w:tcBorders>
            <w:vAlign w:val="center"/>
          </w:tcPr>
          <w:p w:rsidR="00E35632" w:rsidRDefault="00E35632">
            <w:pPr>
              <w:pStyle w:val="ConsPlusNormal"/>
              <w:jc w:val="center"/>
            </w:pPr>
            <w:r>
              <w:t>0,4</w:t>
            </w:r>
          </w:p>
        </w:tc>
      </w:tr>
      <w:tr w:rsidR="00E35632">
        <w:tc>
          <w:tcPr>
            <w:tcW w:w="1620" w:type="dxa"/>
            <w:vMerge w:val="restart"/>
            <w:tcBorders>
              <w:top w:val="single" w:sz="4" w:space="0" w:color="auto"/>
              <w:bottom w:val="single" w:sz="4" w:space="0" w:color="auto"/>
            </w:tcBorders>
          </w:tcPr>
          <w:p w:rsidR="00E35632" w:rsidRDefault="00E35632">
            <w:pPr>
              <w:pStyle w:val="ConsPlusNormal"/>
              <w:jc w:val="center"/>
            </w:pPr>
            <w:r>
              <w:t>Супесь</w:t>
            </w:r>
          </w:p>
        </w:tc>
        <w:tc>
          <w:tcPr>
            <w:tcW w:w="2297" w:type="dxa"/>
            <w:tcBorders>
              <w:top w:val="single" w:sz="4" w:space="0" w:color="auto"/>
              <w:bottom w:val="nil"/>
            </w:tcBorders>
          </w:tcPr>
          <w:p w:rsidR="00E35632" w:rsidRDefault="00E35632">
            <w:pPr>
              <w:pStyle w:val="ConsPlusNormal"/>
              <w:jc w:val="center"/>
            </w:pPr>
            <w:r>
              <w:t>0,1</w:t>
            </w:r>
          </w:p>
        </w:tc>
        <w:tc>
          <w:tcPr>
            <w:tcW w:w="1306" w:type="dxa"/>
            <w:tcBorders>
              <w:top w:val="single" w:sz="4" w:space="0" w:color="auto"/>
              <w:bottom w:val="nil"/>
            </w:tcBorders>
          </w:tcPr>
          <w:p w:rsidR="00E35632" w:rsidRDefault="00E35632">
            <w:pPr>
              <w:pStyle w:val="ConsPlusNormal"/>
              <w:jc w:val="center"/>
            </w:pPr>
            <w:r>
              <w:t>0,86</w:t>
            </w:r>
          </w:p>
        </w:tc>
        <w:tc>
          <w:tcPr>
            <w:tcW w:w="1260" w:type="dxa"/>
            <w:tcBorders>
              <w:top w:val="single" w:sz="4" w:space="0" w:color="auto"/>
              <w:bottom w:val="nil"/>
            </w:tcBorders>
          </w:tcPr>
          <w:p w:rsidR="00E35632" w:rsidRDefault="00E35632">
            <w:pPr>
              <w:pStyle w:val="ConsPlusNormal"/>
              <w:jc w:val="center"/>
            </w:pPr>
            <w:r>
              <w:t>0,70</w:t>
            </w:r>
          </w:p>
        </w:tc>
        <w:tc>
          <w:tcPr>
            <w:tcW w:w="1246" w:type="dxa"/>
            <w:tcBorders>
              <w:top w:val="single" w:sz="4" w:space="0" w:color="auto"/>
              <w:bottom w:val="nil"/>
            </w:tcBorders>
          </w:tcPr>
          <w:p w:rsidR="00E35632" w:rsidRDefault="00E35632">
            <w:pPr>
              <w:pStyle w:val="ConsPlusNormal"/>
              <w:jc w:val="center"/>
            </w:pPr>
            <w:r>
              <w:t>0,52</w:t>
            </w:r>
          </w:p>
        </w:tc>
        <w:tc>
          <w:tcPr>
            <w:tcW w:w="1320" w:type="dxa"/>
            <w:tcBorders>
              <w:top w:val="single" w:sz="4" w:space="0" w:color="auto"/>
              <w:bottom w:val="nil"/>
            </w:tcBorders>
          </w:tcPr>
          <w:p w:rsidR="00E35632" w:rsidRDefault="00E35632">
            <w:pPr>
              <w:pStyle w:val="ConsPlusNormal"/>
              <w:jc w:val="center"/>
            </w:pPr>
            <w:r>
              <w:t>0,43</w:t>
            </w:r>
          </w:p>
        </w:tc>
      </w:tr>
      <w:tr w:rsidR="00E35632">
        <w:tblPrEx>
          <w:tblBorders>
            <w:insideH w:val="none" w:sz="0" w:space="0" w:color="auto"/>
          </w:tblBorders>
        </w:tblPrEx>
        <w:tc>
          <w:tcPr>
            <w:tcW w:w="1620" w:type="dxa"/>
            <w:vMerge/>
            <w:tcBorders>
              <w:top w:val="single" w:sz="4" w:space="0" w:color="auto"/>
              <w:bottom w:val="single" w:sz="4" w:space="0" w:color="auto"/>
            </w:tcBorders>
          </w:tcPr>
          <w:p w:rsidR="00E35632" w:rsidRDefault="00E35632">
            <w:pPr>
              <w:pStyle w:val="ConsPlusNormal"/>
            </w:pPr>
          </w:p>
        </w:tc>
        <w:tc>
          <w:tcPr>
            <w:tcW w:w="2297" w:type="dxa"/>
            <w:tcBorders>
              <w:top w:val="nil"/>
              <w:bottom w:val="nil"/>
            </w:tcBorders>
          </w:tcPr>
          <w:p w:rsidR="00E35632" w:rsidRDefault="00E35632">
            <w:pPr>
              <w:pStyle w:val="ConsPlusNormal"/>
              <w:jc w:val="center"/>
            </w:pPr>
            <w:r>
              <w:t>0,2</w:t>
            </w:r>
          </w:p>
        </w:tc>
        <w:tc>
          <w:tcPr>
            <w:tcW w:w="1306" w:type="dxa"/>
            <w:tcBorders>
              <w:top w:val="nil"/>
              <w:bottom w:val="nil"/>
            </w:tcBorders>
          </w:tcPr>
          <w:p w:rsidR="00E35632" w:rsidRDefault="00E35632">
            <w:pPr>
              <w:pStyle w:val="ConsPlusNormal"/>
              <w:jc w:val="center"/>
            </w:pPr>
            <w:r>
              <w:t>0,95</w:t>
            </w:r>
          </w:p>
        </w:tc>
        <w:tc>
          <w:tcPr>
            <w:tcW w:w="1260" w:type="dxa"/>
            <w:tcBorders>
              <w:top w:val="nil"/>
              <w:bottom w:val="nil"/>
            </w:tcBorders>
          </w:tcPr>
          <w:p w:rsidR="00E35632" w:rsidRDefault="00E35632">
            <w:pPr>
              <w:pStyle w:val="ConsPlusNormal"/>
              <w:jc w:val="center"/>
            </w:pPr>
            <w:r>
              <w:t>0,90</w:t>
            </w:r>
          </w:p>
        </w:tc>
        <w:tc>
          <w:tcPr>
            <w:tcW w:w="1246" w:type="dxa"/>
            <w:tcBorders>
              <w:top w:val="nil"/>
              <w:bottom w:val="nil"/>
            </w:tcBorders>
          </w:tcPr>
          <w:p w:rsidR="00E35632" w:rsidRDefault="00E35632">
            <w:pPr>
              <w:pStyle w:val="ConsPlusNormal"/>
              <w:jc w:val="center"/>
            </w:pPr>
            <w:r>
              <w:t>0,83</w:t>
            </w:r>
          </w:p>
        </w:tc>
        <w:tc>
          <w:tcPr>
            <w:tcW w:w="1320" w:type="dxa"/>
            <w:tcBorders>
              <w:top w:val="nil"/>
              <w:bottom w:val="nil"/>
            </w:tcBorders>
          </w:tcPr>
          <w:p w:rsidR="00E35632" w:rsidRDefault="00E35632">
            <w:pPr>
              <w:pStyle w:val="ConsPlusNormal"/>
              <w:jc w:val="center"/>
            </w:pPr>
            <w:r>
              <w:t>0,76</w:t>
            </w:r>
          </w:p>
        </w:tc>
      </w:tr>
      <w:tr w:rsidR="00E35632">
        <w:tc>
          <w:tcPr>
            <w:tcW w:w="1620" w:type="dxa"/>
            <w:vMerge/>
            <w:tcBorders>
              <w:top w:val="single" w:sz="4" w:space="0" w:color="auto"/>
              <w:bottom w:val="single" w:sz="4" w:space="0" w:color="auto"/>
            </w:tcBorders>
          </w:tcPr>
          <w:p w:rsidR="00E35632" w:rsidRDefault="00E35632">
            <w:pPr>
              <w:pStyle w:val="ConsPlusNormal"/>
            </w:pPr>
          </w:p>
        </w:tc>
        <w:tc>
          <w:tcPr>
            <w:tcW w:w="2297" w:type="dxa"/>
            <w:tcBorders>
              <w:top w:val="nil"/>
              <w:bottom w:val="single" w:sz="4" w:space="0" w:color="auto"/>
            </w:tcBorders>
          </w:tcPr>
          <w:p w:rsidR="00E35632" w:rsidRDefault="00E35632">
            <w:pPr>
              <w:pStyle w:val="ConsPlusNormal"/>
              <w:jc w:val="center"/>
            </w:pPr>
            <w:r>
              <w:t>0,3</w:t>
            </w:r>
          </w:p>
        </w:tc>
        <w:tc>
          <w:tcPr>
            <w:tcW w:w="1306" w:type="dxa"/>
            <w:tcBorders>
              <w:top w:val="nil"/>
              <w:bottom w:val="single" w:sz="4" w:space="0" w:color="auto"/>
            </w:tcBorders>
          </w:tcPr>
          <w:p w:rsidR="00E35632" w:rsidRDefault="00E35632">
            <w:pPr>
              <w:pStyle w:val="ConsPlusNormal"/>
              <w:jc w:val="center"/>
            </w:pPr>
            <w:r>
              <w:t>0,97</w:t>
            </w:r>
          </w:p>
        </w:tc>
        <w:tc>
          <w:tcPr>
            <w:tcW w:w="1260" w:type="dxa"/>
            <w:tcBorders>
              <w:top w:val="nil"/>
              <w:bottom w:val="single" w:sz="4" w:space="0" w:color="auto"/>
            </w:tcBorders>
          </w:tcPr>
          <w:p w:rsidR="00E35632" w:rsidRDefault="00E35632">
            <w:pPr>
              <w:pStyle w:val="ConsPlusNormal"/>
              <w:jc w:val="center"/>
            </w:pPr>
            <w:r>
              <w:t>0,95</w:t>
            </w:r>
          </w:p>
        </w:tc>
        <w:tc>
          <w:tcPr>
            <w:tcW w:w="1246" w:type="dxa"/>
            <w:tcBorders>
              <w:top w:val="nil"/>
              <w:bottom w:val="single" w:sz="4" w:space="0" w:color="auto"/>
            </w:tcBorders>
          </w:tcPr>
          <w:p w:rsidR="00E35632" w:rsidRDefault="00E35632">
            <w:pPr>
              <w:pStyle w:val="ConsPlusNormal"/>
              <w:jc w:val="center"/>
            </w:pPr>
            <w:r>
              <w:t>0,90</w:t>
            </w:r>
          </w:p>
        </w:tc>
        <w:tc>
          <w:tcPr>
            <w:tcW w:w="1320" w:type="dxa"/>
            <w:tcBorders>
              <w:top w:val="nil"/>
              <w:bottom w:val="single" w:sz="4" w:space="0" w:color="auto"/>
            </w:tcBorders>
          </w:tcPr>
          <w:p w:rsidR="00E35632" w:rsidRDefault="00E35632">
            <w:pPr>
              <w:pStyle w:val="ConsPlusNormal"/>
              <w:jc w:val="center"/>
            </w:pPr>
            <w:r>
              <w:t>0,85</w:t>
            </w:r>
          </w:p>
        </w:tc>
      </w:tr>
      <w:tr w:rsidR="00E35632">
        <w:tc>
          <w:tcPr>
            <w:tcW w:w="1620" w:type="dxa"/>
            <w:vMerge w:val="restart"/>
            <w:tcBorders>
              <w:top w:val="single" w:sz="4" w:space="0" w:color="auto"/>
              <w:bottom w:val="single" w:sz="4" w:space="0" w:color="auto"/>
            </w:tcBorders>
          </w:tcPr>
          <w:p w:rsidR="00E35632" w:rsidRDefault="00E35632">
            <w:pPr>
              <w:pStyle w:val="ConsPlusNormal"/>
              <w:jc w:val="center"/>
            </w:pPr>
            <w:r>
              <w:t>Суглинок</w:t>
            </w:r>
          </w:p>
        </w:tc>
        <w:tc>
          <w:tcPr>
            <w:tcW w:w="2297" w:type="dxa"/>
            <w:tcBorders>
              <w:top w:val="single" w:sz="4" w:space="0" w:color="auto"/>
              <w:bottom w:val="nil"/>
            </w:tcBorders>
          </w:tcPr>
          <w:p w:rsidR="00E35632" w:rsidRDefault="00E35632">
            <w:pPr>
              <w:pStyle w:val="ConsPlusNormal"/>
              <w:jc w:val="center"/>
            </w:pPr>
            <w:r>
              <w:t>0,1</w:t>
            </w:r>
          </w:p>
        </w:tc>
        <w:tc>
          <w:tcPr>
            <w:tcW w:w="1306" w:type="dxa"/>
            <w:tcBorders>
              <w:top w:val="single" w:sz="4" w:space="0" w:color="auto"/>
              <w:bottom w:val="nil"/>
            </w:tcBorders>
          </w:tcPr>
          <w:p w:rsidR="00E35632" w:rsidRDefault="00E35632">
            <w:pPr>
              <w:pStyle w:val="ConsPlusNormal"/>
              <w:jc w:val="center"/>
            </w:pPr>
            <w:r>
              <w:t>0,08</w:t>
            </w:r>
          </w:p>
        </w:tc>
        <w:tc>
          <w:tcPr>
            <w:tcW w:w="1260" w:type="dxa"/>
            <w:tcBorders>
              <w:top w:val="single" w:sz="4" w:space="0" w:color="auto"/>
              <w:bottom w:val="nil"/>
            </w:tcBorders>
          </w:tcPr>
          <w:p w:rsidR="00E35632" w:rsidRDefault="00E35632">
            <w:pPr>
              <w:pStyle w:val="ConsPlusNormal"/>
              <w:jc w:val="center"/>
            </w:pPr>
            <w:r>
              <w:t>0,15</w:t>
            </w:r>
          </w:p>
        </w:tc>
        <w:tc>
          <w:tcPr>
            <w:tcW w:w="1246" w:type="dxa"/>
            <w:tcBorders>
              <w:top w:val="single" w:sz="4" w:space="0" w:color="auto"/>
              <w:bottom w:val="nil"/>
            </w:tcBorders>
          </w:tcPr>
          <w:p w:rsidR="00E35632" w:rsidRDefault="00E35632">
            <w:pPr>
              <w:pStyle w:val="ConsPlusNormal"/>
              <w:jc w:val="center"/>
            </w:pPr>
            <w:r>
              <w:t>0,30</w:t>
            </w:r>
          </w:p>
        </w:tc>
        <w:tc>
          <w:tcPr>
            <w:tcW w:w="1320" w:type="dxa"/>
            <w:tcBorders>
              <w:top w:val="single" w:sz="4" w:space="0" w:color="auto"/>
              <w:bottom w:val="nil"/>
            </w:tcBorders>
          </w:tcPr>
          <w:p w:rsidR="00E35632" w:rsidRDefault="00E35632">
            <w:pPr>
              <w:pStyle w:val="ConsPlusNormal"/>
              <w:jc w:val="center"/>
            </w:pPr>
            <w:r>
              <w:t>0,46</w:t>
            </w:r>
          </w:p>
        </w:tc>
      </w:tr>
      <w:tr w:rsidR="00E35632">
        <w:tblPrEx>
          <w:tblBorders>
            <w:insideH w:val="none" w:sz="0" w:space="0" w:color="auto"/>
          </w:tblBorders>
        </w:tblPrEx>
        <w:tc>
          <w:tcPr>
            <w:tcW w:w="1620" w:type="dxa"/>
            <w:vMerge/>
            <w:tcBorders>
              <w:top w:val="single" w:sz="4" w:space="0" w:color="auto"/>
              <w:bottom w:val="single" w:sz="4" w:space="0" w:color="auto"/>
            </w:tcBorders>
          </w:tcPr>
          <w:p w:rsidR="00E35632" w:rsidRDefault="00E35632">
            <w:pPr>
              <w:pStyle w:val="ConsPlusNormal"/>
            </w:pPr>
          </w:p>
        </w:tc>
        <w:tc>
          <w:tcPr>
            <w:tcW w:w="2297" w:type="dxa"/>
            <w:tcBorders>
              <w:top w:val="nil"/>
              <w:bottom w:val="nil"/>
            </w:tcBorders>
          </w:tcPr>
          <w:p w:rsidR="00E35632" w:rsidRDefault="00E35632">
            <w:pPr>
              <w:pStyle w:val="ConsPlusNormal"/>
              <w:jc w:val="center"/>
            </w:pPr>
            <w:r>
              <w:t>0,2</w:t>
            </w:r>
          </w:p>
        </w:tc>
        <w:tc>
          <w:tcPr>
            <w:tcW w:w="1306" w:type="dxa"/>
            <w:tcBorders>
              <w:top w:val="nil"/>
              <w:bottom w:val="nil"/>
            </w:tcBorders>
          </w:tcPr>
          <w:p w:rsidR="00E35632" w:rsidRDefault="00E35632">
            <w:pPr>
              <w:pStyle w:val="ConsPlusNormal"/>
              <w:jc w:val="center"/>
            </w:pPr>
            <w:r>
              <w:t>0,15</w:t>
            </w:r>
          </w:p>
        </w:tc>
        <w:tc>
          <w:tcPr>
            <w:tcW w:w="1260" w:type="dxa"/>
            <w:tcBorders>
              <w:top w:val="nil"/>
              <w:bottom w:val="nil"/>
            </w:tcBorders>
          </w:tcPr>
          <w:p w:rsidR="00E35632" w:rsidRDefault="00E35632">
            <w:pPr>
              <w:pStyle w:val="ConsPlusNormal"/>
              <w:jc w:val="center"/>
            </w:pPr>
            <w:r>
              <w:t>0,27</w:t>
            </w:r>
          </w:p>
        </w:tc>
        <w:tc>
          <w:tcPr>
            <w:tcW w:w="1246" w:type="dxa"/>
            <w:tcBorders>
              <w:top w:val="nil"/>
              <w:bottom w:val="nil"/>
            </w:tcBorders>
          </w:tcPr>
          <w:p w:rsidR="00E35632" w:rsidRDefault="00E35632">
            <w:pPr>
              <w:pStyle w:val="ConsPlusNormal"/>
              <w:jc w:val="center"/>
            </w:pPr>
            <w:r>
              <w:t>0,50</w:t>
            </w:r>
          </w:p>
        </w:tc>
        <w:tc>
          <w:tcPr>
            <w:tcW w:w="1320" w:type="dxa"/>
            <w:tcBorders>
              <w:top w:val="nil"/>
              <w:bottom w:val="nil"/>
            </w:tcBorders>
          </w:tcPr>
          <w:p w:rsidR="00E35632" w:rsidRDefault="00E35632">
            <w:pPr>
              <w:pStyle w:val="ConsPlusNormal"/>
              <w:jc w:val="center"/>
            </w:pPr>
            <w:r>
              <w:t>0,84</w:t>
            </w:r>
          </w:p>
        </w:tc>
      </w:tr>
      <w:tr w:rsidR="00E35632">
        <w:tblPrEx>
          <w:tblBorders>
            <w:insideH w:val="none" w:sz="0" w:space="0" w:color="auto"/>
          </w:tblBorders>
        </w:tblPrEx>
        <w:tc>
          <w:tcPr>
            <w:tcW w:w="1620" w:type="dxa"/>
            <w:vMerge/>
            <w:tcBorders>
              <w:top w:val="single" w:sz="4" w:space="0" w:color="auto"/>
              <w:bottom w:val="single" w:sz="4" w:space="0" w:color="auto"/>
            </w:tcBorders>
          </w:tcPr>
          <w:p w:rsidR="00E35632" w:rsidRDefault="00E35632">
            <w:pPr>
              <w:pStyle w:val="ConsPlusNormal"/>
            </w:pPr>
          </w:p>
        </w:tc>
        <w:tc>
          <w:tcPr>
            <w:tcW w:w="2297" w:type="dxa"/>
            <w:tcBorders>
              <w:top w:val="nil"/>
              <w:bottom w:val="nil"/>
            </w:tcBorders>
          </w:tcPr>
          <w:p w:rsidR="00E35632" w:rsidRDefault="00E35632">
            <w:pPr>
              <w:pStyle w:val="ConsPlusNormal"/>
              <w:jc w:val="center"/>
            </w:pPr>
            <w:r>
              <w:t>0,3</w:t>
            </w:r>
          </w:p>
        </w:tc>
        <w:tc>
          <w:tcPr>
            <w:tcW w:w="1306" w:type="dxa"/>
            <w:tcBorders>
              <w:top w:val="nil"/>
              <w:bottom w:val="nil"/>
            </w:tcBorders>
          </w:tcPr>
          <w:p w:rsidR="00E35632" w:rsidRDefault="00E35632">
            <w:pPr>
              <w:pStyle w:val="ConsPlusNormal"/>
              <w:jc w:val="center"/>
            </w:pPr>
            <w:r>
              <w:t>0,45</w:t>
            </w:r>
          </w:p>
        </w:tc>
        <w:tc>
          <w:tcPr>
            <w:tcW w:w="1260" w:type="dxa"/>
            <w:tcBorders>
              <w:top w:val="nil"/>
              <w:bottom w:val="nil"/>
            </w:tcBorders>
          </w:tcPr>
          <w:p w:rsidR="00E35632" w:rsidRDefault="00E35632">
            <w:pPr>
              <w:pStyle w:val="ConsPlusNormal"/>
              <w:jc w:val="center"/>
            </w:pPr>
            <w:r>
              <w:t>0,60</w:t>
            </w:r>
          </w:p>
        </w:tc>
        <w:tc>
          <w:tcPr>
            <w:tcW w:w="1246" w:type="dxa"/>
            <w:tcBorders>
              <w:top w:val="nil"/>
              <w:bottom w:val="nil"/>
            </w:tcBorders>
          </w:tcPr>
          <w:p w:rsidR="00E35632" w:rsidRDefault="00E35632">
            <w:pPr>
              <w:pStyle w:val="ConsPlusNormal"/>
              <w:jc w:val="center"/>
            </w:pPr>
            <w:r>
              <w:t>0,80</w:t>
            </w:r>
          </w:p>
        </w:tc>
        <w:tc>
          <w:tcPr>
            <w:tcW w:w="1320" w:type="dxa"/>
            <w:tcBorders>
              <w:top w:val="nil"/>
              <w:bottom w:val="nil"/>
            </w:tcBorders>
          </w:tcPr>
          <w:p w:rsidR="00E35632" w:rsidRDefault="00E35632">
            <w:pPr>
              <w:pStyle w:val="ConsPlusNormal"/>
              <w:jc w:val="center"/>
            </w:pPr>
            <w:r>
              <w:t>1,10</w:t>
            </w:r>
          </w:p>
        </w:tc>
      </w:tr>
      <w:tr w:rsidR="00E35632">
        <w:tblPrEx>
          <w:tblBorders>
            <w:insideH w:val="none" w:sz="0" w:space="0" w:color="auto"/>
          </w:tblBorders>
        </w:tblPrEx>
        <w:tc>
          <w:tcPr>
            <w:tcW w:w="1620" w:type="dxa"/>
            <w:vMerge/>
            <w:tcBorders>
              <w:top w:val="single" w:sz="4" w:space="0" w:color="auto"/>
              <w:bottom w:val="single" w:sz="4" w:space="0" w:color="auto"/>
            </w:tcBorders>
          </w:tcPr>
          <w:p w:rsidR="00E35632" w:rsidRDefault="00E35632">
            <w:pPr>
              <w:pStyle w:val="ConsPlusNormal"/>
            </w:pPr>
          </w:p>
        </w:tc>
        <w:tc>
          <w:tcPr>
            <w:tcW w:w="2297" w:type="dxa"/>
            <w:tcBorders>
              <w:top w:val="nil"/>
              <w:bottom w:val="nil"/>
            </w:tcBorders>
          </w:tcPr>
          <w:p w:rsidR="00E35632" w:rsidRDefault="00E35632">
            <w:pPr>
              <w:pStyle w:val="ConsPlusNormal"/>
              <w:jc w:val="center"/>
            </w:pPr>
            <w:r>
              <w:t>0,4</w:t>
            </w:r>
          </w:p>
        </w:tc>
        <w:tc>
          <w:tcPr>
            <w:tcW w:w="1306" w:type="dxa"/>
            <w:tcBorders>
              <w:top w:val="nil"/>
              <w:bottom w:val="nil"/>
            </w:tcBorders>
          </w:tcPr>
          <w:p w:rsidR="00E35632" w:rsidRDefault="00E35632">
            <w:pPr>
              <w:pStyle w:val="ConsPlusNormal"/>
              <w:jc w:val="center"/>
            </w:pPr>
            <w:r>
              <w:t>0,85</w:t>
            </w:r>
          </w:p>
        </w:tc>
        <w:tc>
          <w:tcPr>
            <w:tcW w:w="1260" w:type="dxa"/>
            <w:tcBorders>
              <w:top w:val="nil"/>
              <w:bottom w:val="nil"/>
            </w:tcBorders>
          </w:tcPr>
          <w:p w:rsidR="00E35632" w:rsidRDefault="00E35632">
            <w:pPr>
              <w:pStyle w:val="ConsPlusNormal"/>
              <w:jc w:val="center"/>
            </w:pPr>
            <w:r>
              <w:t>0,96</w:t>
            </w:r>
          </w:p>
        </w:tc>
        <w:tc>
          <w:tcPr>
            <w:tcW w:w="1246" w:type="dxa"/>
            <w:tcBorders>
              <w:top w:val="nil"/>
              <w:bottom w:val="nil"/>
            </w:tcBorders>
          </w:tcPr>
          <w:p w:rsidR="00E35632" w:rsidRDefault="00E35632">
            <w:pPr>
              <w:pStyle w:val="ConsPlusNormal"/>
              <w:jc w:val="center"/>
            </w:pPr>
            <w:r>
              <w:t>1,07</w:t>
            </w:r>
          </w:p>
        </w:tc>
        <w:tc>
          <w:tcPr>
            <w:tcW w:w="1320" w:type="dxa"/>
            <w:tcBorders>
              <w:top w:val="nil"/>
              <w:bottom w:val="nil"/>
            </w:tcBorders>
          </w:tcPr>
          <w:p w:rsidR="00E35632" w:rsidRDefault="00E35632">
            <w:pPr>
              <w:pStyle w:val="ConsPlusNormal"/>
              <w:jc w:val="center"/>
            </w:pPr>
            <w:r>
              <w:t>1,30</w:t>
            </w:r>
          </w:p>
        </w:tc>
      </w:tr>
      <w:tr w:rsidR="00E35632">
        <w:tblPrEx>
          <w:tblBorders>
            <w:insideH w:val="none" w:sz="0" w:space="0" w:color="auto"/>
          </w:tblBorders>
        </w:tblPrEx>
        <w:tc>
          <w:tcPr>
            <w:tcW w:w="1620" w:type="dxa"/>
            <w:vMerge/>
            <w:tcBorders>
              <w:top w:val="single" w:sz="4" w:space="0" w:color="auto"/>
              <w:bottom w:val="single" w:sz="4" w:space="0" w:color="auto"/>
            </w:tcBorders>
          </w:tcPr>
          <w:p w:rsidR="00E35632" w:rsidRDefault="00E35632">
            <w:pPr>
              <w:pStyle w:val="ConsPlusNormal"/>
            </w:pPr>
          </w:p>
        </w:tc>
        <w:tc>
          <w:tcPr>
            <w:tcW w:w="2297" w:type="dxa"/>
            <w:tcBorders>
              <w:top w:val="nil"/>
              <w:bottom w:val="single" w:sz="4" w:space="0" w:color="auto"/>
            </w:tcBorders>
          </w:tcPr>
          <w:p w:rsidR="00E35632" w:rsidRDefault="00E35632">
            <w:pPr>
              <w:pStyle w:val="ConsPlusNormal"/>
              <w:jc w:val="center"/>
            </w:pPr>
            <w:r>
              <w:t>0,5</w:t>
            </w:r>
          </w:p>
        </w:tc>
        <w:tc>
          <w:tcPr>
            <w:tcW w:w="1306" w:type="dxa"/>
            <w:tcBorders>
              <w:top w:val="nil"/>
              <w:bottom w:val="single" w:sz="4" w:space="0" w:color="auto"/>
            </w:tcBorders>
          </w:tcPr>
          <w:p w:rsidR="00E35632" w:rsidRDefault="00E35632">
            <w:pPr>
              <w:pStyle w:val="ConsPlusNormal"/>
              <w:jc w:val="center"/>
            </w:pPr>
            <w:r>
              <w:t>1,08</w:t>
            </w:r>
          </w:p>
        </w:tc>
        <w:tc>
          <w:tcPr>
            <w:tcW w:w="1260" w:type="dxa"/>
            <w:tcBorders>
              <w:top w:val="nil"/>
              <w:bottom w:val="single" w:sz="4" w:space="0" w:color="auto"/>
            </w:tcBorders>
          </w:tcPr>
          <w:p w:rsidR="00E35632" w:rsidRDefault="00E35632">
            <w:pPr>
              <w:pStyle w:val="ConsPlusNormal"/>
              <w:jc w:val="center"/>
            </w:pPr>
            <w:r>
              <w:t>1,15</w:t>
            </w:r>
          </w:p>
        </w:tc>
        <w:tc>
          <w:tcPr>
            <w:tcW w:w="1246" w:type="dxa"/>
            <w:tcBorders>
              <w:top w:val="nil"/>
              <w:bottom w:val="single" w:sz="4" w:space="0" w:color="auto"/>
            </w:tcBorders>
          </w:tcPr>
          <w:p w:rsidR="00E35632" w:rsidRDefault="00E35632">
            <w:pPr>
              <w:pStyle w:val="ConsPlusNormal"/>
              <w:jc w:val="center"/>
            </w:pPr>
            <w:r>
              <w:t>1,22</w:t>
            </w:r>
          </w:p>
        </w:tc>
        <w:tc>
          <w:tcPr>
            <w:tcW w:w="1320" w:type="dxa"/>
            <w:tcBorders>
              <w:top w:val="nil"/>
              <w:bottom w:val="single" w:sz="4" w:space="0" w:color="auto"/>
            </w:tcBorders>
          </w:tcPr>
          <w:p w:rsidR="00E35632" w:rsidRDefault="00E35632">
            <w:pPr>
              <w:pStyle w:val="ConsPlusNormal"/>
              <w:jc w:val="center"/>
            </w:pPr>
            <w:r>
              <w:t>1,38</w:t>
            </w:r>
          </w:p>
        </w:tc>
      </w:tr>
    </w:tbl>
    <w:p w:rsidR="00E35632" w:rsidRDefault="00E35632">
      <w:pPr>
        <w:pStyle w:val="ConsPlusNormal"/>
        <w:jc w:val="both"/>
      </w:pPr>
    </w:p>
    <w:p w:rsidR="00E35632" w:rsidRDefault="00E35632">
      <w:pPr>
        <w:pStyle w:val="ConsPlusNormal"/>
        <w:ind w:firstLine="540"/>
        <w:jc w:val="both"/>
      </w:pPr>
      <w:r>
        <w:t xml:space="preserve">6.3.4 Нормативные значения характеристик засоленных грунтов </w:t>
      </w:r>
      <w:r>
        <w:rPr>
          <w:noProof/>
          <w:position w:val="-10"/>
        </w:rPr>
        <w:drawing>
          <wp:inline distT="0" distB="0" distL="0" distR="0">
            <wp:extent cx="226060" cy="267970"/>
            <wp:effectExtent l="0" t="0" r="0" b="0"/>
            <wp:docPr id="3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226060" cy="267970"/>
                    </a:xfrm>
                    <a:prstGeom prst="rect">
                      <a:avLst/>
                    </a:prstGeom>
                    <a:noFill/>
                    <a:ln>
                      <a:noFill/>
                    </a:ln>
                  </pic:spPr>
                </pic:pic>
              </a:graphicData>
            </a:graphic>
          </wp:inline>
        </w:drawing>
      </w:r>
      <w:r>
        <w:t xml:space="preserve"> и </w:t>
      </w:r>
      <w:r>
        <w:rPr>
          <w:i/>
        </w:rPr>
        <w:t>p</w:t>
      </w:r>
      <w:r>
        <w:rPr>
          <w:i/>
          <w:vertAlign w:val="subscript"/>
        </w:rPr>
        <w:t>sf</w:t>
      </w:r>
      <w:r>
        <w:t xml:space="preserve"> вычисляют как средние значения результатов их определений. Расчетные значения допускается принимать равными нормативным </w:t>
      </w:r>
      <w:r>
        <w:rPr>
          <w:noProof/>
          <w:position w:val="-10"/>
        </w:rPr>
        <w:drawing>
          <wp:inline distT="0" distB="0" distL="0" distR="0">
            <wp:extent cx="544830" cy="267970"/>
            <wp:effectExtent l="0" t="0" r="0" b="0"/>
            <wp:docPr id="3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44830" cy="26797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6.3.5 Расчет оснований, сложенных засоленными грунтами, следует проводить в соответствии с требованиями </w:t>
      </w:r>
      <w:hyperlink w:anchor="P375">
        <w:r>
          <w:rPr>
            <w:color w:val="0000FF"/>
          </w:rPr>
          <w:t>раздела 5</w:t>
        </w:r>
      </w:hyperlink>
      <w:r>
        <w:t xml:space="preserve">. Если засоленные грунты являются просадочными или набухающими, следует учитывать соответственно требования </w:t>
      </w:r>
      <w:hyperlink w:anchor="P2323">
        <w:r>
          <w:rPr>
            <w:color w:val="0000FF"/>
          </w:rPr>
          <w:t>6.1</w:t>
        </w:r>
      </w:hyperlink>
      <w:r>
        <w:t xml:space="preserve"> и </w:t>
      </w:r>
      <w:hyperlink w:anchor="P2504">
        <w:r>
          <w:rPr>
            <w:color w:val="0000FF"/>
          </w:rPr>
          <w:t>6.2</w:t>
        </w:r>
      </w:hyperlink>
      <w:r>
        <w:t>.</w:t>
      </w:r>
    </w:p>
    <w:p w:rsidR="00E35632" w:rsidRDefault="00E35632">
      <w:pPr>
        <w:pStyle w:val="ConsPlusNormal"/>
        <w:spacing w:before="220"/>
        <w:ind w:firstLine="540"/>
        <w:jc w:val="both"/>
      </w:pPr>
      <w:r>
        <w:lastRenderedPageBreak/>
        <w:t xml:space="preserve">6.3.6 Расчетное сопротивление </w:t>
      </w:r>
      <w:r>
        <w:rPr>
          <w:i/>
        </w:rPr>
        <w:t>R</w:t>
      </w:r>
      <w:r>
        <w:t xml:space="preserve"> основания, сложенного засоленными грунтами, при возможности длительного замачивания грунтов и выщелачивания солей вычисляют по </w:t>
      </w:r>
      <w:hyperlink w:anchor="P851">
        <w:r>
          <w:rPr>
            <w:color w:val="0000FF"/>
          </w:rPr>
          <w:t>формуле (5.7)</w:t>
        </w:r>
      </w:hyperlink>
      <w:r>
        <w:t xml:space="preserve"> с использованием расчетных значений прочностных характеристик (</w:t>
      </w:r>
      <w:r>
        <w:rPr>
          <w:noProof/>
          <w:position w:val="-8"/>
        </w:rPr>
        <w:drawing>
          <wp:inline distT="0" distB="0" distL="0" distR="0">
            <wp:extent cx="209550" cy="251460"/>
            <wp:effectExtent l="0" t="0" r="0" b="0"/>
            <wp:docPr id="3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и </w:t>
      </w:r>
      <w:r>
        <w:rPr>
          <w:i/>
        </w:rPr>
        <w:t>c</w:t>
      </w:r>
      <w:r>
        <w:rPr>
          <w:vertAlign w:val="subscript"/>
        </w:rPr>
        <w:t>II</w:t>
      </w:r>
      <w:r>
        <w:t>), полученных для грунтов в водонасыщенном состоянии после выщелачивания солей.</w:t>
      </w:r>
    </w:p>
    <w:p w:rsidR="00E35632" w:rsidRDefault="00E35632">
      <w:pPr>
        <w:pStyle w:val="ConsPlusNormal"/>
        <w:spacing w:before="220"/>
        <w:ind w:firstLine="540"/>
        <w:jc w:val="both"/>
      </w:pPr>
      <w:r>
        <w:t xml:space="preserve">При невозможности длительного замачивания грунтов и выщелачивания солей значение </w:t>
      </w:r>
      <w:r>
        <w:rPr>
          <w:i/>
        </w:rPr>
        <w:t>R</w:t>
      </w:r>
      <w:r>
        <w:t xml:space="preserve"> следует вычислять по </w:t>
      </w:r>
      <w:hyperlink w:anchor="P851">
        <w:r>
          <w:rPr>
            <w:color w:val="0000FF"/>
          </w:rPr>
          <w:t>формуле (5.7)</w:t>
        </w:r>
      </w:hyperlink>
      <w:r>
        <w:t xml:space="preserve"> с использованием прочностных характеристик, полученных для засоленных грунтов в водонасыщенном состоянии.</w:t>
      </w:r>
    </w:p>
    <w:p w:rsidR="00E35632" w:rsidRDefault="00E35632">
      <w:pPr>
        <w:pStyle w:val="ConsPlusNormal"/>
        <w:spacing w:before="220"/>
        <w:ind w:firstLine="540"/>
        <w:jc w:val="both"/>
      </w:pPr>
      <w:r>
        <w:t xml:space="preserve">При вычислении </w:t>
      </w:r>
      <w:r>
        <w:rPr>
          <w:i/>
        </w:rPr>
        <w:t>R</w:t>
      </w:r>
      <w:r>
        <w:t xml:space="preserve"> для частично или полностью выщелоченных грунтов коэффициент условий работы грунтового основания </w:t>
      </w:r>
      <w:r>
        <w:rPr>
          <w:noProof/>
          <w:position w:val="-8"/>
        </w:rPr>
        <w:drawing>
          <wp:inline distT="0" distB="0" distL="0" distR="0">
            <wp:extent cx="226060" cy="251460"/>
            <wp:effectExtent l="0" t="0" r="0" b="0"/>
            <wp:docPr id="3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226060" cy="251460"/>
                    </a:xfrm>
                    <a:prstGeom prst="rect">
                      <a:avLst/>
                    </a:prstGeom>
                    <a:noFill/>
                    <a:ln>
                      <a:noFill/>
                    </a:ln>
                  </pic:spPr>
                </pic:pic>
              </a:graphicData>
            </a:graphic>
          </wp:inline>
        </w:drawing>
      </w:r>
      <w:r>
        <w:t xml:space="preserve"> в </w:t>
      </w:r>
      <w:hyperlink w:anchor="P851">
        <w:r>
          <w:rPr>
            <w:color w:val="0000FF"/>
          </w:rPr>
          <w:t>формуле (5.7)</w:t>
        </w:r>
      </w:hyperlink>
      <w:r>
        <w:t xml:space="preserve"> для загипсованных суглинков с начальным содержанием гипса </w:t>
      </w:r>
      <w:r>
        <w:rPr>
          <w:i/>
        </w:rPr>
        <w:t>d</w:t>
      </w:r>
      <w:r>
        <w:rPr>
          <w:vertAlign w:val="subscript"/>
        </w:rPr>
        <w:t>0</w:t>
      </w:r>
      <w:r>
        <w:t xml:space="preserve"> &lt;= 20% принимают равным 1,1, а для суглинков с </w:t>
      </w:r>
      <w:r>
        <w:rPr>
          <w:i/>
        </w:rPr>
        <w:t>d</w:t>
      </w:r>
      <w:r>
        <w:rPr>
          <w:vertAlign w:val="subscript"/>
        </w:rPr>
        <w:t>0</w:t>
      </w:r>
      <w:r>
        <w:t xml:space="preserve"> &gt; 20% и для всех загипсованных супесей </w:t>
      </w:r>
      <w:r>
        <w:rPr>
          <w:noProof/>
          <w:position w:val="-8"/>
        </w:rPr>
        <w:drawing>
          <wp:inline distT="0" distB="0" distL="0" distR="0">
            <wp:extent cx="461010" cy="251460"/>
            <wp:effectExtent l="0" t="0" r="0" b="0"/>
            <wp:docPr id="3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61010" cy="25146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Коэффициент условий работы сооружения </w:t>
      </w:r>
      <w:r>
        <w:rPr>
          <w:noProof/>
          <w:position w:val="-8"/>
        </w:rPr>
        <w:drawing>
          <wp:inline distT="0" distB="0" distL="0" distR="0">
            <wp:extent cx="241935" cy="251460"/>
            <wp:effectExtent l="0" t="0" r="0" b="0"/>
            <wp:docPr id="3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во взаимодействии с основанием в </w:t>
      </w:r>
      <w:hyperlink w:anchor="P851">
        <w:r>
          <w:rPr>
            <w:color w:val="0000FF"/>
          </w:rPr>
          <w:t>формуле (5.7)</w:t>
        </w:r>
      </w:hyperlink>
      <w:r>
        <w:t xml:space="preserve"> для всех засоленных грунтов принимают равным единице.</w:t>
      </w:r>
    </w:p>
    <w:p w:rsidR="00E35632" w:rsidRDefault="00E35632">
      <w:pPr>
        <w:pStyle w:val="ConsPlusNormal"/>
        <w:spacing w:before="220"/>
        <w:ind w:firstLine="540"/>
        <w:jc w:val="both"/>
      </w:pPr>
      <w:r>
        <w:t xml:space="preserve">Коэффициент </w:t>
      </w:r>
      <w:r>
        <w:rPr>
          <w:i/>
        </w:rPr>
        <w:t>k</w:t>
      </w:r>
      <w:r>
        <w:t xml:space="preserve"> в </w:t>
      </w:r>
      <w:hyperlink w:anchor="P851">
        <w:r>
          <w:rPr>
            <w:color w:val="0000FF"/>
          </w:rPr>
          <w:t>формуле (5.7)</w:t>
        </w:r>
      </w:hyperlink>
      <w:r>
        <w:t xml:space="preserve"> принимают равным единице при определении прочностных характеристик засоленных грунтов в лабораторных условиях в приборах трехосного сжатия и в полевых условиях методом сдвига целика и </w:t>
      </w:r>
      <w:r>
        <w:rPr>
          <w:i/>
        </w:rPr>
        <w:t>k</w:t>
      </w:r>
      <w:r>
        <w:t xml:space="preserve"> = 1,1 при определении этих характеристик в лабораторных условиях в приборах одноплоскостного среза и по таблицам </w:t>
      </w:r>
      <w:hyperlink w:anchor="P6133">
        <w:r>
          <w:rPr>
            <w:color w:val="0000FF"/>
          </w:rPr>
          <w:t>приложения Б</w:t>
        </w:r>
      </w:hyperlink>
      <w:r>
        <w:t>.</w:t>
      </w:r>
    </w:p>
    <w:p w:rsidR="00E35632" w:rsidRDefault="00E35632">
      <w:pPr>
        <w:pStyle w:val="ConsPlusNormal"/>
        <w:spacing w:before="220"/>
        <w:ind w:firstLine="540"/>
        <w:jc w:val="both"/>
      </w:pPr>
      <w:r>
        <w:t xml:space="preserve">6.3.7 Деформации основания фундаментов определяют суммированием осадки основания при природной влажности от внешней нагрузки (см. </w:t>
      </w:r>
      <w:hyperlink w:anchor="P805">
        <w:r>
          <w:rPr>
            <w:color w:val="0000FF"/>
          </w:rPr>
          <w:t>5.6</w:t>
        </w:r>
      </w:hyperlink>
      <w:r>
        <w:t>) и суффозионной осадки, а также просадки, набухания или усадки, если засоленные грунты являются просадочными или набухающими.</w:t>
      </w:r>
    </w:p>
    <w:p w:rsidR="00E35632" w:rsidRDefault="00E35632">
      <w:pPr>
        <w:pStyle w:val="ConsPlusNormal"/>
        <w:spacing w:before="220"/>
        <w:ind w:firstLine="540"/>
        <w:jc w:val="both"/>
      </w:pPr>
      <w:r>
        <w:t xml:space="preserve">При невозможности длительного замачивания грунтов и выщелачивания солей деформации основания фундаментов определяют в соответствии с </w:t>
      </w:r>
      <w:hyperlink w:anchor="P805">
        <w:r>
          <w:rPr>
            <w:color w:val="0000FF"/>
          </w:rPr>
          <w:t>5.6</w:t>
        </w:r>
      </w:hyperlink>
      <w:r>
        <w:t xml:space="preserve"> исходя из деформационных характеристик засоленных грунтов при полном водонасыщении.</w:t>
      </w:r>
    </w:p>
    <w:p w:rsidR="00E35632" w:rsidRDefault="00E35632">
      <w:pPr>
        <w:pStyle w:val="ConsPlusNormal"/>
        <w:spacing w:before="220"/>
        <w:ind w:firstLine="540"/>
        <w:jc w:val="both"/>
      </w:pPr>
      <w:r>
        <w:t>6.3.8 Максимальные и средние суффозионные осадки, разность осадок и крены отдельных фундаментов и сооружения в целом необходимо рассчитывать с учетом неравномерности замачивания основания, схемы фильтрационного потока в пределах отдельного фундамента или контура сооружения, неоднородности распределения солей в грунте по площади и по глубине основания.</w:t>
      </w:r>
    </w:p>
    <w:p w:rsidR="00E35632" w:rsidRDefault="00E35632">
      <w:pPr>
        <w:pStyle w:val="ConsPlusNormal"/>
        <w:spacing w:before="220"/>
        <w:ind w:firstLine="540"/>
        <w:jc w:val="both"/>
      </w:pPr>
      <w:bookmarkStart w:id="155" w:name="P2787"/>
      <w:bookmarkEnd w:id="155"/>
      <w:r>
        <w:t xml:space="preserve">6.3.9 Расчет суффозионной осадки основания, сложенного глинистыми грунтами с легкорастворимыми солями и загипсованными песками, следует выполнять в пределах зоны, условно ограниченной глубиной сжимаемой толщи </w:t>
      </w:r>
      <w:r>
        <w:rPr>
          <w:i/>
        </w:rPr>
        <w:t>H</w:t>
      </w:r>
      <w:r>
        <w:rPr>
          <w:i/>
          <w:vertAlign w:val="subscript"/>
        </w:rPr>
        <w:t>c</w:t>
      </w:r>
      <w:r>
        <w:t xml:space="preserve">, определяемой согласно </w:t>
      </w:r>
      <w:hyperlink w:anchor="P1695">
        <w:r>
          <w:rPr>
            <w:color w:val="0000FF"/>
          </w:rPr>
          <w:t>5.6.41</w:t>
        </w:r>
      </w:hyperlink>
      <w:r>
        <w:t xml:space="preserve">. При этом принимают, что в пределах сжимаемой толщи грунты подвергаются полному рассолению, т.е. степень выщелачивания </w:t>
      </w:r>
      <w:r>
        <w:rPr>
          <w:noProof/>
          <w:position w:val="-6"/>
        </w:rPr>
        <w:drawing>
          <wp:inline distT="0" distB="0" distL="0" distR="0">
            <wp:extent cx="167640" cy="226060"/>
            <wp:effectExtent l="0" t="0" r="0" b="0"/>
            <wp:docPr id="3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167640" cy="226060"/>
                    </a:xfrm>
                    <a:prstGeom prst="rect">
                      <a:avLst/>
                    </a:prstGeom>
                    <a:noFill/>
                    <a:ln>
                      <a:noFill/>
                    </a:ln>
                  </pic:spPr>
                </pic:pic>
              </a:graphicData>
            </a:graphic>
          </wp:inline>
        </w:drawing>
      </w:r>
      <w:r>
        <w:t xml:space="preserve"> равна единице.</w:t>
      </w:r>
    </w:p>
    <w:p w:rsidR="00E35632" w:rsidRDefault="00E35632">
      <w:pPr>
        <w:pStyle w:val="ConsPlusNormal"/>
        <w:spacing w:before="220"/>
        <w:ind w:firstLine="540"/>
        <w:jc w:val="both"/>
      </w:pPr>
      <w:r>
        <w:t>6.3.10 При расчете суффозионных осадок оснований, сложенных загипсованными глинистыми грунтами, принимают, что:</w:t>
      </w:r>
    </w:p>
    <w:p w:rsidR="00E35632" w:rsidRDefault="00E35632">
      <w:pPr>
        <w:pStyle w:val="ConsPlusNormal"/>
        <w:spacing w:before="220"/>
        <w:ind w:firstLine="540"/>
        <w:jc w:val="both"/>
      </w:pPr>
      <w:r>
        <w:t xml:space="preserve">- длина зоны, в пределах которой возможно выщелачивание гипса (выщелачиваемая зона </w:t>
      </w:r>
      <w:r>
        <w:rPr>
          <w:i/>
        </w:rPr>
        <w:t>H</w:t>
      </w:r>
      <w:r>
        <w:rPr>
          <w:i/>
          <w:vertAlign w:val="subscript"/>
        </w:rPr>
        <w:t>l</w:t>
      </w:r>
      <w:r>
        <w:t xml:space="preserve"> ограничена условием предельного насыщения гипсом фильтрующей жидкости;</w:t>
      </w:r>
    </w:p>
    <w:p w:rsidR="00E35632" w:rsidRDefault="00E35632">
      <w:pPr>
        <w:pStyle w:val="ConsPlusNormal"/>
        <w:spacing w:before="220"/>
        <w:ind w:firstLine="540"/>
        <w:jc w:val="both"/>
      </w:pPr>
      <w:r>
        <w:t>- в процессе фильтрации происходит развитие выщелачиваемой зоны, т.е. увеличивается ее длина и уменьшается содержание гипса в грунте в направлении движения фильтрационного потока;</w:t>
      </w:r>
    </w:p>
    <w:p w:rsidR="00E35632" w:rsidRDefault="00E35632">
      <w:pPr>
        <w:pStyle w:val="ConsPlusNormal"/>
        <w:spacing w:before="220"/>
        <w:ind w:firstLine="540"/>
        <w:jc w:val="both"/>
      </w:pPr>
      <w:r>
        <w:t>- суффозионные осадки основания происходят только в пределах выщелачиваемой зоны.</w:t>
      </w:r>
    </w:p>
    <w:p w:rsidR="00E35632" w:rsidRDefault="00E35632">
      <w:pPr>
        <w:pStyle w:val="ConsPlusNormal"/>
        <w:spacing w:before="220"/>
        <w:ind w:firstLine="540"/>
        <w:jc w:val="both"/>
      </w:pPr>
      <w:r>
        <w:lastRenderedPageBreak/>
        <w:t xml:space="preserve">6.3.11 При расчете суффозионных осадок основания, сложенного загипсованными глинистыми грунтами, следует различать две схемы фильтрационного потока в основании фундамента </w:t>
      </w:r>
      <w:hyperlink w:anchor="P2800">
        <w:r>
          <w:rPr>
            <w:color w:val="0000FF"/>
          </w:rPr>
          <w:t>(рисунок 6.4)</w:t>
        </w:r>
      </w:hyperlink>
      <w:r>
        <w:t>.</w:t>
      </w:r>
    </w:p>
    <w:p w:rsidR="00E35632" w:rsidRDefault="00E35632">
      <w:pPr>
        <w:pStyle w:val="ConsPlusNormal"/>
        <w:spacing w:before="220"/>
        <w:ind w:firstLine="540"/>
        <w:jc w:val="both"/>
      </w:pPr>
      <w:r>
        <w:t xml:space="preserve">При расчете суффозионных осадок основания по схеме 1 сначала следует определить состояние выщелачиваемой зоны </w:t>
      </w:r>
      <w:r>
        <w:rPr>
          <w:i/>
        </w:rPr>
        <w:t>H</w:t>
      </w:r>
      <w:r>
        <w:rPr>
          <w:i/>
          <w:vertAlign w:val="subscript"/>
        </w:rPr>
        <w:t>l</w:t>
      </w:r>
      <w:r>
        <w:t xml:space="preserve">, т.е. ее длину и распределение в ней гипса в расчетный момент времени (например, через 5, 10 лет и так далее после начала эксплуатации сооружения). Для этого необходимо выделить слои с различным содержанием гипса </w:t>
      </w:r>
      <w:hyperlink w:anchor="P2811">
        <w:r>
          <w:rPr>
            <w:color w:val="0000FF"/>
          </w:rPr>
          <w:t>(рисунок 6.5)</w:t>
        </w:r>
      </w:hyperlink>
      <w:r>
        <w:t xml:space="preserve">. При этом начальное распределение гипса в грунте представляется в виде ступенчатой эпюры </w:t>
      </w:r>
      <w:r>
        <w:rPr>
          <w:i/>
        </w:rPr>
        <w:t>d</w:t>
      </w:r>
      <w:r>
        <w:rPr>
          <w:vertAlign w:val="subscript"/>
        </w:rPr>
        <w:t>0</w:t>
      </w:r>
      <w:r>
        <w:t>(</w:t>
      </w:r>
      <w:r>
        <w:rPr>
          <w:i/>
        </w:rPr>
        <w:t>z</w:t>
      </w:r>
      <w:r>
        <w:t>). Выделенные слои разбивают на более мелкие, толщиной 0,5 м, для которых проводят расчет процесса рассоления.</w:t>
      </w:r>
    </w:p>
    <w:p w:rsidR="00E35632" w:rsidRDefault="00E35632">
      <w:pPr>
        <w:pStyle w:val="ConsPlusNormal"/>
        <w:jc w:val="both"/>
      </w:pPr>
    </w:p>
    <w:p w:rsidR="00E35632" w:rsidRDefault="00E35632">
      <w:pPr>
        <w:pStyle w:val="ConsPlusNormal"/>
        <w:jc w:val="center"/>
      </w:pPr>
      <w:r>
        <w:rPr>
          <w:noProof/>
          <w:position w:val="-169"/>
        </w:rPr>
        <w:drawing>
          <wp:inline distT="0" distB="0" distL="0" distR="0">
            <wp:extent cx="4630420" cy="2289810"/>
            <wp:effectExtent l="0" t="0" r="0" b="0"/>
            <wp:docPr id="3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630420" cy="228981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r>
        <w:rPr>
          <w:i/>
        </w:rPr>
        <w:t>1</w:t>
      </w:r>
      <w:r>
        <w:t xml:space="preserve"> - вертикальная фильтрация; </w:t>
      </w:r>
      <w:r>
        <w:rPr>
          <w:i/>
        </w:rPr>
        <w:t>2</w:t>
      </w:r>
      <w:r>
        <w:t xml:space="preserve"> - горизонтальная</w:t>
      </w:r>
    </w:p>
    <w:p w:rsidR="00E35632" w:rsidRDefault="00E35632">
      <w:pPr>
        <w:pStyle w:val="ConsPlusNormal"/>
        <w:jc w:val="center"/>
      </w:pPr>
      <w:r>
        <w:t>фильтрация в слое ограниченной толщины</w:t>
      </w:r>
    </w:p>
    <w:p w:rsidR="00E35632" w:rsidRDefault="00E35632">
      <w:pPr>
        <w:pStyle w:val="ConsPlusNormal"/>
        <w:jc w:val="both"/>
      </w:pPr>
    </w:p>
    <w:p w:rsidR="00E35632" w:rsidRDefault="00E35632">
      <w:pPr>
        <w:pStyle w:val="ConsPlusNormal"/>
        <w:jc w:val="center"/>
      </w:pPr>
      <w:bookmarkStart w:id="156" w:name="P2800"/>
      <w:bookmarkEnd w:id="156"/>
      <w:r>
        <w:rPr>
          <w:b/>
          <w:i/>
        </w:rPr>
        <w:t>Рисунок 6.4</w:t>
      </w:r>
      <w:r>
        <w:t xml:space="preserve"> </w:t>
      </w:r>
      <w:r>
        <w:rPr>
          <w:b/>
        </w:rPr>
        <w:t>- Схемы замачивания фундаментов</w:t>
      </w: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center"/>
      </w:pPr>
      <w:r>
        <w:rPr>
          <w:noProof/>
          <w:position w:val="-256"/>
        </w:rPr>
        <w:drawing>
          <wp:inline distT="0" distB="0" distL="0" distR="0">
            <wp:extent cx="3641090" cy="3399790"/>
            <wp:effectExtent l="0" t="0" r="0" b="0"/>
            <wp:docPr id="3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3641090" cy="339979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r>
        <w:rPr>
          <w:i/>
        </w:rPr>
        <w:t>1</w:t>
      </w:r>
      <w:r>
        <w:t xml:space="preserve"> - границы слоев с различным содержанием гипса;</w:t>
      </w:r>
    </w:p>
    <w:p w:rsidR="00E35632" w:rsidRDefault="00E35632">
      <w:pPr>
        <w:pStyle w:val="ConsPlusNormal"/>
        <w:jc w:val="center"/>
      </w:pPr>
      <w:r>
        <w:rPr>
          <w:i/>
        </w:rPr>
        <w:lastRenderedPageBreak/>
        <w:t>2</w:t>
      </w:r>
      <w:r>
        <w:t xml:space="preserve"> - границы расчетных слоев; </w:t>
      </w:r>
      <w:r>
        <w:rPr>
          <w:i/>
        </w:rPr>
        <w:t>3</w:t>
      </w:r>
      <w:r>
        <w:t xml:space="preserve"> - расчетный слой;</w:t>
      </w:r>
    </w:p>
    <w:p w:rsidR="00E35632" w:rsidRDefault="00E35632">
      <w:pPr>
        <w:pStyle w:val="ConsPlusNormal"/>
        <w:jc w:val="center"/>
      </w:pPr>
      <w:r>
        <w:rPr>
          <w:i/>
        </w:rPr>
        <w:t>4</w:t>
      </w:r>
      <w:r>
        <w:t xml:space="preserve"> - направление фильтрации; </w:t>
      </w:r>
      <w:r>
        <w:rPr>
          <w:i/>
        </w:rPr>
        <w:t>5</w:t>
      </w:r>
      <w:r>
        <w:t xml:space="preserve"> - начальная эпюра</w:t>
      </w:r>
    </w:p>
    <w:p w:rsidR="00E35632" w:rsidRDefault="00E35632">
      <w:pPr>
        <w:pStyle w:val="ConsPlusNormal"/>
        <w:jc w:val="center"/>
      </w:pPr>
      <w:r>
        <w:t xml:space="preserve">относительного содержания гипса </w:t>
      </w:r>
      <w:r>
        <w:rPr>
          <w:i/>
        </w:rPr>
        <w:t>d</w:t>
      </w:r>
      <w:r>
        <w:rPr>
          <w:vertAlign w:val="subscript"/>
        </w:rPr>
        <w:t>0</w:t>
      </w:r>
      <w:r>
        <w:t>(</w:t>
      </w:r>
      <w:r>
        <w:rPr>
          <w:i/>
        </w:rPr>
        <w:t>z</w:t>
      </w:r>
      <w:r>
        <w:t>)</w:t>
      </w:r>
    </w:p>
    <w:p w:rsidR="00E35632" w:rsidRDefault="00E35632">
      <w:pPr>
        <w:pStyle w:val="ConsPlusNormal"/>
        <w:jc w:val="both"/>
      </w:pPr>
    </w:p>
    <w:p w:rsidR="00E35632" w:rsidRDefault="00E35632">
      <w:pPr>
        <w:pStyle w:val="ConsPlusNormal"/>
        <w:jc w:val="center"/>
      </w:pPr>
      <w:bookmarkStart w:id="157" w:name="P2811"/>
      <w:bookmarkEnd w:id="157"/>
      <w:r>
        <w:rPr>
          <w:b/>
          <w:i/>
        </w:rPr>
        <w:t>Рисунок 6.5</w:t>
      </w:r>
      <w:r>
        <w:t xml:space="preserve"> </w:t>
      </w:r>
      <w:r>
        <w:rPr>
          <w:b/>
        </w:rPr>
        <w:t>- Схема для расчета рассоления</w:t>
      </w:r>
    </w:p>
    <w:p w:rsidR="00E35632" w:rsidRDefault="00E35632">
      <w:pPr>
        <w:pStyle w:val="ConsPlusNormal"/>
        <w:jc w:val="center"/>
      </w:pPr>
      <w:r>
        <w:rPr>
          <w:b/>
        </w:rPr>
        <w:t>основания при вертикальной фильтрации</w:t>
      </w:r>
    </w:p>
    <w:p w:rsidR="00E35632" w:rsidRDefault="00E35632">
      <w:pPr>
        <w:pStyle w:val="ConsPlusNormal"/>
        <w:jc w:val="both"/>
      </w:pPr>
    </w:p>
    <w:p w:rsidR="00E35632" w:rsidRDefault="00E35632">
      <w:pPr>
        <w:pStyle w:val="ConsPlusNormal"/>
        <w:ind w:firstLine="540"/>
        <w:jc w:val="both"/>
      </w:pPr>
      <w:r>
        <w:t xml:space="preserve">Если основание сложено однородным грунтом, то начальное содержание гипса принимают постоянным в пределах выщелачиваемой зоны </w:t>
      </w:r>
      <w:r>
        <w:rPr>
          <w:i/>
        </w:rPr>
        <w:t>d</w:t>
      </w:r>
      <w:r>
        <w:rPr>
          <w:vertAlign w:val="subscript"/>
        </w:rPr>
        <w:t>0</w:t>
      </w:r>
      <w:r>
        <w:t>(</w:t>
      </w:r>
      <w:r>
        <w:rPr>
          <w:i/>
        </w:rPr>
        <w:t>z</w:t>
      </w:r>
      <w:r>
        <w:t>) = const, а вся зона разбивается на слои по 0,5 м.</w:t>
      </w:r>
    </w:p>
    <w:p w:rsidR="00E35632" w:rsidRDefault="00E35632">
      <w:pPr>
        <w:pStyle w:val="ConsPlusNormal"/>
        <w:spacing w:before="220"/>
        <w:ind w:firstLine="540"/>
        <w:jc w:val="both"/>
      </w:pPr>
      <w:r>
        <w:t xml:space="preserve">После разбивки основания на слои следует последовательно в каждом слое, начиная с верхнего, определить количество оставшегося в твердой фазе гипса в расчетный момент времени. При этом слой, в котором содержание гипса будет равно начальному, является нижней границей выщелачиваемой зоны </w:t>
      </w:r>
      <w:r>
        <w:rPr>
          <w:i/>
        </w:rPr>
        <w:t>H</w:t>
      </w:r>
      <w:r>
        <w:rPr>
          <w:i/>
          <w:vertAlign w:val="subscript"/>
        </w:rPr>
        <w:t>l</w:t>
      </w:r>
      <w:r>
        <w:t>. Для нижележащих слоев расчет растворения гипса проводить не следует.</w:t>
      </w:r>
    </w:p>
    <w:p w:rsidR="00E35632" w:rsidRDefault="00E35632">
      <w:pPr>
        <w:pStyle w:val="ConsPlusNormal"/>
        <w:spacing w:before="220"/>
        <w:ind w:firstLine="540"/>
        <w:jc w:val="both"/>
      </w:pPr>
      <w:bookmarkStart w:id="158" w:name="P2816"/>
      <w:bookmarkEnd w:id="158"/>
      <w:r>
        <w:t xml:space="preserve">6.3.12 При расчете суффозионных деформаций основания, сложенного загипсованными глинистыми грунтами, при фильтрации по схеме 1 (см. </w:t>
      </w:r>
      <w:hyperlink w:anchor="P2800">
        <w:r>
          <w:rPr>
            <w:color w:val="0000FF"/>
          </w:rPr>
          <w:t>рисунок 6.4</w:t>
        </w:r>
      </w:hyperlink>
      <w:r>
        <w:t xml:space="preserve">) зона суффозионной осадки в основании фундамента ограничивается глубиной </w:t>
      </w:r>
      <w:r>
        <w:rPr>
          <w:i/>
        </w:rPr>
        <w:t>H</w:t>
      </w:r>
      <w:r>
        <w:rPr>
          <w:i/>
          <w:vertAlign w:val="subscript"/>
        </w:rPr>
        <w:t>c</w:t>
      </w:r>
      <w:r>
        <w:t xml:space="preserve">, где суммарные вертикальные напряжения от нагрузки фундамента и собственного веса грунта равны начальному давлению суффозионного сжатия </w:t>
      </w:r>
      <w:r>
        <w:rPr>
          <w:i/>
        </w:rPr>
        <w:t>p</w:t>
      </w:r>
      <w:r>
        <w:rPr>
          <w:i/>
          <w:vertAlign w:val="subscript"/>
        </w:rPr>
        <w:t>sf</w:t>
      </w:r>
      <w:r>
        <w:t>.</w:t>
      </w:r>
    </w:p>
    <w:p w:rsidR="00E35632" w:rsidRDefault="00E35632">
      <w:pPr>
        <w:pStyle w:val="ConsPlusNormal"/>
        <w:spacing w:before="220"/>
        <w:ind w:firstLine="540"/>
        <w:jc w:val="both"/>
      </w:pPr>
      <w:r>
        <w:t xml:space="preserve">Если на расчетный момент времени </w:t>
      </w:r>
      <w:r>
        <w:rPr>
          <w:i/>
        </w:rPr>
        <w:t>H</w:t>
      </w:r>
      <w:r>
        <w:rPr>
          <w:i/>
          <w:vertAlign w:val="subscript"/>
        </w:rPr>
        <w:t>l</w:t>
      </w:r>
      <w:r>
        <w:t xml:space="preserve"> &lt;= </w:t>
      </w:r>
      <w:r>
        <w:rPr>
          <w:i/>
        </w:rPr>
        <w:t>H</w:t>
      </w:r>
      <w:r>
        <w:rPr>
          <w:i/>
          <w:vertAlign w:val="subscript"/>
        </w:rPr>
        <w:t>c</w:t>
      </w:r>
      <w:r>
        <w:t xml:space="preserve">, расчет суффозионной осадки следует проводить только в пределах выщелачиваемой зоны </w:t>
      </w:r>
      <w:r>
        <w:rPr>
          <w:i/>
        </w:rPr>
        <w:t>H</w:t>
      </w:r>
      <w:r>
        <w:rPr>
          <w:i/>
          <w:vertAlign w:val="subscript"/>
        </w:rPr>
        <w:t>l</w:t>
      </w:r>
      <w:r>
        <w:t xml:space="preserve">. При </w:t>
      </w:r>
      <w:r>
        <w:rPr>
          <w:i/>
        </w:rPr>
        <w:t>H</w:t>
      </w:r>
      <w:r>
        <w:rPr>
          <w:i/>
          <w:vertAlign w:val="subscript"/>
        </w:rPr>
        <w:t>l</w:t>
      </w:r>
      <w:r>
        <w:t xml:space="preserve"> &gt; </w:t>
      </w:r>
      <w:r>
        <w:rPr>
          <w:i/>
        </w:rPr>
        <w:t>H</w:t>
      </w:r>
      <w:r>
        <w:rPr>
          <w:i/>
          <w:vertAlign w:val="subscript"/>
        </w:rPr>
        <w:t>c</w:t>
      </w:r>
      <w:r>
        <w:t xml:space="preserve"> расчет осадки необходимо выполнять в пределах сжимаемой толщи </w:t>
      </w:r>
      <w:r>
        <w:rPr>
          <w:i/>
        </w:rPr>
        <w:t>H</w:t>
      </w:r>
      <w:r>
        <w:rPr>
          <w:i/>
          <w:vertAlign w:val="subscript"/>
        </w:rPr>
        <w:t>c</w:t>
      </w:r>
      <w:r>
        <w:t xml:space="preserve">. Глубину </w:t>
      </w:r>
      <w:r>
        <w:rPr>
          <w:i/>
        </w:rPr>
        <w:t>H</w:t>
      </w:r>
      <w:r>
        <w:rPr>
          <w:i/>
          <w:vertAlign w:val="subscript"/>
        </w:rPr>
        <w:t>c</w:t>
      </w:r>
      <w:r>
        <w:t xml:space="preserve"> принимают за границу сжимаемой толщи (рисунок 6.6).</w:t>
      </w:r>
    </w:p>
    <w:p w:rsidR="00E35632" w:rsidRDefault="00E35632">
      <w:pPr>
        <w:pStyle w:val="ConsPlusNormal"/>
        <w:jc w:val="both"/>
      </w:pPr>
    </w:p>
    <w:p w:rsidR="00E35632" w:rsidRDefault="00E35632">
      <w:pPr>
        <w:pStyle w:val="ConsPlusNormal"/>
        <w:jc w:val="center"/>
      </w:pPr>
      <w:r>
        <w:rPr>
          <w:noProof/>
          <w:position w:val="-264"/>
        </w:rPr>
        <w:drawing>
          <wp:inline distT="0" distB="0" distL="0" distR="0">
            <wp:extent cx="3336290" cy="3503930"/>
            <wp:effectExtent l="0" t="0" r="0" b="0"/>
            <wp:docPr id="3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3336290" cy="350393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bookmarkStart w:id="159" w:name="P2821"/>
      <w:bookmarkEnd w:id="159"/>
      <w:r>
        <w:rPr>
          <w:b/>
          <w:i/>
        </w:rPr>
        <w:t>Рисунок 6.6</w:t>
      </w:r>
      <w:r>
        <w:t xml:space="preserve"> </w:t>
      </w:r>
      <w:r>
        <w:rPr>
          <w:b/>
        </w:rPr>
        <w:t>- Схема для расчета суффозионной осадки</w:t>
      </w:r>
    </w:p>
    <w:p w:rsidR="00E35632" w:rsidRDefault="00E35632">
      <w:pPr>
        <w:pStyle w:val="ConsPlusNormal"/>
        <w:jc w:val="center"/>
      </w:pPr>
      <w:r>
        <w:rPr>
          <w:b/>
        </w:rPr>
        <w:t>засоленного грунта при вертикальной фильтрации</w:t>
      </w:r>
    </w:p>
    <w:p w:rsidR="00E35632" w:rsidRDefault="00E35632">
      <w:pPr>
        <w:pStyle w:val="ConsPlusNormal"/>
        <w:jc w:val="both"/>
      </w:pPr>
    </w:p>
    <w:p w:rsidR="00E35632" w:rsidRDefault="00E35632">
      <w:pPr>
        <w:pStyle w:val="ConsPlusNormal"/>
        <w:ind w:firstLine="540"/>
        <w:jc w:val="both"/>
      </w:pPr>
      <w:r>
        <w:t xml:space="preserve">6.3.13 Суффозионную осадку основания </w:t>
      </w:r>
      <w:r>
        <w:rPr>
          <w:i/>
        </w:rPr>
        <w:t>s</w:t>
      </w:r>
      <w:r>
        <w:rPr>
          <w:i/>
          <w:vertAlign w:val="subscript"/>
        </w:rPr>
        <w:t>sf</w:t>
      </w:r>
      <w:r>
        <w:t>, см, сложенного засоленными грунтами, при вертикальной фильтрации (см. рисунок 6.6) вычисляют по формуле</w:t>
      </w:r>
    </w:p>
    <w:p w:rsidR="00E35632" w:rsidRDefault="00E35632">
      <w:pPr>
        <w:pStyle w:val="ConsPlusNormal"/>
        <w:jc w:val="both"/>
      </w:pPr>
    </w:p>
    <w:p w:rsidR="00E35632" w:rsidRDefault="00E35632">
      <w:pPr>
        <w:pStyle w:val="ConsPlusNormal"/>
        <w:jc w:val="center"/>
      </w:pPr>
      <w:r>
        <w:rPr>
          <w:noProof/>
          <w:position w:val="-26"/>
        </w:rPr>
        <w:lastRenderedPageBreak/>
        <w:drawing>
          <wp:inline distT="0" distB="0" distL="0" distR="0">
            <wp:extent cx="991870" cy="479425"/>
            <wp:effectExtent l="0" t="0" r="0" b="0"/>
            <wp:docPr id="3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991870" cy="479425"/>
                    </a:xfrm>
                    <a:prstGeom prst="rect">
                      <a:avLst/>
                    </a:prstGeom>
                    <a:noFill/>
                    <a:ln>
                      <a:noFill/>
                    </a:ln>
                  </pic:spPr>
                </pic:pic>
              </a:graphicData>
            </a:graphic>
          </wp:inline>
        </w:drawing>
      </w:r>
      <w:r>
        <w:t xml:space="preserve"> (6.18)</w:t>
      </w:r>
    </w:p>
    <w:p w:rsidR="00E35632" w:rsidRDefault="00E35632">
      <w:pPr>
        <w:pStyle w:val="ConsPlusNormal"/>
        <w:jc w:val="both"/>
      </w:pPr>
    </w:p>
    <w:p w:rsidR="00E35632" w:rsidRDefault="00E35632">
      <w:pPr>
        <w:pStyle w:val="ConsPlusNormal"/>
        <w:ind w:firstLine="540"/>
        <w:jc w:val="both"/>
      </w:pPr>
      <w:r>
        <w:t xml:space="preserve">где </w:t>
      </w:r>
      <w:r>
        <w:rPr>
          <w:noProof/>
          <w:position w:val="-10"/>
        </w:rPr>
        <w:drawing>
          <wp:inline distT="0" distB="0" distL="0" distR="0">
            <wp:extent cx="276860" cy="267970"/>
            <wp:effectExtent l="0" t="0" r="0" b="0"/>
            <wp:docPr id="3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276860" cy="267970"/>
                    </a:xfrm>
                    <a:prstGeom prst="rect">
                      <a:avLst/>
                    </a:prstGeom>
                    <a:noFill/>
                    <a:ln>
                      <a:noFill/>
                    </a:ln>
                  </pic:spPr>
                </pic:pic>
              </a:graphicData>
            </a:graphic>
          </wp:inline>
        </w:drawing>
      </w:r>
      <w:r>
        <w:t xml:space="preserve"> - относительное суффозионное сжатие грунта </w:t>
      </w:r>
      <w:r>
        <w:rPr>
          <w:i/>
        </w:rPr>
        <w:t>i</w:t>
      </w:r>
      <w:r>
        <w:t xml:space="preserve">-го слоя при давлении </w:t>
      </w:r>
      <w:r>
        <w:rPr>
          <w:i/>
        </w:rPr>
        <w:t>p</w:t>
      </w:r>
      <w:r>
        <w:t xml:space="preserve">, равном суммарному вертикальному напряжению на рассматриваемой глубине от внешней нагрузки </w:t>
      </w:r>
      <w:r>
        <w:rPr>
          <w:noProof/>
          <w:position w:val="-10"/>
        </w:rPr>
        <w:drawing>
          <wp:inline distT="0" distB="0" distL="0" distR="0">
            <wp:extent cx="251460" cy="267970"/>
            <wp:effectExtent l="0" t="0" r="0" b="0"/>
            <wp:docPr id="3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r>
        <w:t xml:space="preserve"> и собственного веса грунта </w:t>
      </w:r>
      <w:r>
        <w:rPr>
          <w:noProof/>
          <w:position w:val="-10"/>
        </w:rPr>
        <w:drawing>
          <wp:inline distT="0" distB="0" distL="0" distR="0">
            <wp:extent cx="267970" cy="267970"/>
            <wp:effectExtent l="0" t="0" r="0" b="0"/>
            <wp:docPr id="3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xml:space="preserve">, определяемое по </w:t>
      </w:r>
      <w:hyperlink w:anchor="P2832">
        <w:r>
          <w:rPr>
            <w:color w:val="0000FF"/>
          </w:rPr>
          <w:t>6.3.14</w:t>
        </w:r>
      </w:hyperlink>
      <w:r>
        <w:t>;</w:t>
      </w:r>
    </w:p>
    <w:p w:rsidR="00E35632" w:rsidRDefault="00E35632">
      <w:pPr>
        <w:pStyle w:val="ConsPlusNormal"/>
        <w:spacing w:before="220"/>
        <w:ind w:firstLine="540"/>
        <w:jc w:val="both"/>
      </w:pPr>
      <w:r>
        <w:rPr>
          <w:i/>
        </w:rPr>
        <w:t>h</w:t>
      </w:r>
      <w:r>
        <w:rPr>
          <w:i/>
          <w:vertAlign w:val="subscript"/>
        </w:rPr>
        <w:t>i</w:t>
      </w:r>
      <w:r>
        <w:t xml:space="preserve"> - толщина </w:t>
      </w:r>
      <w:r>
        <w:rPr>
          <w:i/>
        </w:rPr>
        <w:t>i</w:t>
      </w:r>
      <w:r>
        <w:t>-го слоя засоленного грунта, см;</w:t>
      </w:r>
    </w:p>
    <w:p w:rsidR="00E35632" w:rsidRDefault="00E35632">
      <w:pPr>
        <w:pStyle w:val="ConsPlusNormal"/>
        <w:spacing w:before="220"/>
        <w:ind w:firstLine="540"/>
        <w:jc w:val="both"/>
      </w:pPr>
      <w:r>
        <w:rPr>
          <w:i/>
        </w:rPr>
        <w:t>n</w:t>
      </w:r>
      <w:r>
        <w:t xml:space="preserve"> - число слоев, на которое разбита зона суффозионной осадки засоленных грунтов.</w:t>
      </w:r>
    </w:p>
    <w:p w:rsidR="00E35632" w:rsidRDefault="00E35632">
      <w:pPr>
        <w:pStyle w:val="ConsPlusNormal"/>
        <w:spacing w:before="220"/>
        <w:ind w:firstLine="540"/>
        <w:jc w:val="both"/>
      </w:pPr>
      <w:r>
        <w:t xml:space="preserve">Значение </w:t>
      </w:r>
      <w:r>
        <w:rPr>
          <w:i/>
        </w:rPr>
        <w:t>s</w:t>
      </w:r>
      <w:r>
        <w:rPr>
          <w:i/>
          <w:vertAlign w:val="subscript"/>
        </w:rPr>
        <w:t>sf</w:t>
      </w:r>
      <w:r>
        <w:t xml:space="preserve"> определяют в пределах зон, устанавливаемых по </w:t>
      </w:r>
      <w:hyperlink w:anchor="P2787">
        <w:r>
          <w:rPr>
            <w:color w:val="0000FF"/>
          </w:rPr>
          <w:t>6.3.9</w:t>
        </w:r>
      </w:hyperlink>
      <w:r>
        <w:t xml:space="preserve"> и </w:t>
      </w:r>
      <w:hyperlink w:anchor="P2816">
        <w:r>
          <w:rPr>
            <w:color w:val="0000FF"/>
          </w:rPr>
          <w:t>6.3.12</w:t>
        </w:r>
      </w:hyperlink>
      <w:r>
        <w:t>.</w:t>
      </w:r>
    </w:p>
    <w:p w:rsidR="00E35632" w:rsidRDefault="00E35632">
      <w:pPr>
        <w:pStyle w:val="ConsPlusNormal"/>
        <w:spacing w:before="220"/>
        <w:ind w:firstLine="540"/>
        <w:jc w:val="both"/>
      </w:pPr>
      <w:bookmarkStart w:id="160" w:name="P2832"/>
      <w:bookmarkEnd w:id="160"/>
      <w:r>
        <w:t xml:space="preserve">6.3.14 Относительное суффозионное сжатие </w:t>
      </w:r>
      <w:r>
        <w:rPr>
          <w:noProof/>
          <w:position w:val="-10"/>
        </w:rPr>
        <w:drawing>
          <wp:inline distT="0" distB="0" distL="0" distR="0">
            <wp:extent cx="226060" cy="267970"/>
            <wp:effectExtent l="0" t="0" r="0" b="0"/>
            <wp:docPr id="3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226060" cy="267970"/>
                    </a:xfrm>
                    <a:prstGeom prst="rect">
                      <a:avLst/>
                    </a:prstGeom>
                    <a:noFill/>
                    <a:ln>
                      <a:noFill/>
                    </a:ln>
                  </pic:spPr>
                </pic:pic>
              </a:graphicData>
            </a:graphic>
          </wp:inline>
        </w:drawing>
      </w:r>
      <w:r>
        <w:t xml:space="preserve"> при компрессионно-фильтрационных испытаниях вычисляют по формуле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1592580" cy="267970"/>
            <wp:effectExtent l="0" t="0" r="0" b="0"/>
            <wp:docPr id="3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1592580" cy="267970"/>
                    </a:xfrm>
                    <a:prstGeom prst="rect">
                      <a:avLst/>
                    </a:prstGeom>
                    <a:noFill/>
                    <a:ln>
                      <a:noFill/>
                    </a:ln>
                  </pic:spPr>
                </pic:pic>
              </a:graphicData>
            </a:graphic>
          </wp:inline>
        </w:drawing>
      </w:r>
      <w:r>
        <w:t xml:space="preserve"> (6.19)</w:t>
      </w:r>
    </w:p>
    <w:p w:rsidR="00E35632" w:rsidRDefault="00E35632">
      <w:pPr>
        <w:pStyle w:val="ConsPlusNormal"/>
        <w:jc w:val="both"/>
      </w:pPr>
    </w:p>
    <w:p w:rsidR="00E35632" w:rsidRDefault="00E35632">
      <w:pPr>
        <w:pStyle w:val="ConsPlusNormal"/>
        <w:ind w:firstLine="540"/>
        <w:jc w:val="both"/>
      </w:pPr>
      <w:r>
        <w:t xml:space="preserve">где </w:t>
      </w:r>
      <w:r>
        <w:rPr>
          <w:i/>
        </w:rPr>
        <w:t>h</w:t>
      </w:r>
      <w:r>
        <w:rPr>
          <w:i/>
          <w:vertAlign w:val="subscript"/>
        </w:rPr>
        <w:t>sat,p</w:t>
      </w:r>
      <w:r>
        <w:t xml:space="preserve"> - высота образца грунта после замачивания (полного водонасыщения) при давлении </w:t>
      </w:r>
      <w:r>
        <w:rPr>
          <w:noProof/>
          <w:position w:val="-10"/>
        </w:rPr>
        <w:drawing>
          <wp:inline distT="0" distB="0" distL="0" distR="0">
            <wp:extent cx="908050" cy="267970"/>
            <wp:effectExtent l="0" t="0" r="0" b="0"/>
            <wp:docPr id="3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908050" cy="267970"/>
                    </a:xfrm>
                    <a:prstGeom prst="rect">
                      <a:avLst/>
                    </a:prstGeom>
                    <a:noFill/>
                    <a:ln>
                      <a:noFill/>
                    </a:ln>
                  </pic:spPr>
                </pic:pic>
              </a:graphicData>
            </a:graphic>
          </wp:inline>
        </w:drawing>
      </w:r>
      <w:r>
        <w:t>;</w:t>
      </w:r>
    </w:p>
    <w:p w:rsidR="00E35632" w:rsidRDefault="00E35632">
      <w:pPr>
        <w:pStyle w:val="ConsPlusNormal"/>
        <w:spacing w:before="220"/>
        <w:ind w:firstLine="540"/>
        <w:jc w:val="both"/>
      </w:pPr>
      <w:r>
        <w:rPr>
          <w:i/>
        </w:rPr>
        <w:t>h</w:t>
      </w:r>
      <w:r>
        <w:rPr>
          <w:i/>
          <w:vertAlign w:val="subscript"/>
        </w:rPr>
        <w:t>sf,p</w:t>
      </w:r>
      <w:r>
        <w:t xml:space="preserve"> - высота того же образца после длительной фильтрации воды и выщелачивания солей при давлении </w:t>
      </w:r>
      <w:r>
        <w:rPr>
          <w:i/>
        </w:rPr>
        <w:t>p</w:t>
      </w:r>
      <w:r>
        <w:t>;</w:t>
      </w:r>
    </w:p>
    <w:p w:rsidR="00E35632" w:rsidRDefault="00E35632">
      <w:pPr>
        <w:pStyle w:val="ConsPlusNormal"/>
        <w:spacing w:before="220"/>
        <w:ind w:firstLine="540"/>
        <w:jc w:val="both"/>
      </w:pPr>
      <w:r>
        <w:rPr>
          <w:i/>
        </w:rPr>
        <w:t>h</w:t>
      </w:r>
      <w:r>
        <w:rPr>
          <w:i/>
          <w:vertAlign w:val="subscript"/>
        </w:rPr>
        <w:t>ng</w:t>
      </w:r>
      <w:r>
        <w:t xml:space="preserve"> - высота того же образца природной влажности при давлении </w:t>
      </w:r>
      <w:r>
        <w:rPr>
          <w:noProof/>
          <w:position w:val="-10"/>
        </w:rPr>
        <w:drawing>
          <wp:inline distT="0" distB="0" distL="0" distR="0">
            <wp:extent cx="586740" cy="267970"/>
            <wp:effectExtent l="0" t="0" r="0" b="0"/>
            <wp:docPr id="3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586740" cy="26797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Начальное давление суффозионного сжатия </w:t>
      </w:r>
      <w:r>
        <w:rPr>
          <w:i/>
        </w:rPr>
        <w:t>p</w:t>
      </w:r>
      <w:r>
        <w:rPr>
          <w:i/>
          <w:vertAlign w:val="subscript"/>
        </w:rPr>
        <w:t>sf</w:t>
      </w:r>
      <w:r>
        <w:t xml:space="preserve"> соответствует давлению, при котором </w:t>
      </w:r>
      <w:r>
        <w:rPr>
          <w:noProof/>
          <w:position w:val="-10"/>
        </w:rPr>
        <w:drawing>
          <wp:inline distT="0" distB="0" distL="0" distR="0">
            <wp:extent cx="697865" cy="267970"/>
            <wp:effectExtent l="0" t="0" r="0" b="0"/>
            <wp:docPr id="3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697865" cy="26797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Значения </w:t>
      </w:r>
      <w:r>
        <w:rPr>
          <w:noProof/>
          <w:position w:val="-10"/>
        </w:rPr>
        <w:drawing>
          <wp:inline distT="0" distB="0" distL="0" distR="0">
            <wp:extent cx="226060" cy="267970"/>
            <wp:effectExtent l="0" t="0" r="0" b="0"/>
            <wp:docPr id="3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226060" cy="267970"/>
                    </a:xfrm>
                    <a:prstGeom prst="rect">
                      <a:avLst/>
                    </a:prstGeom>
                    <a:noFill/>
                    <a:ln>
                      <a:noFill/>
                    </a:ln>
                  </pic:spPr>
                </pic:pic>
              </a:graphicData>
            </a:graphic>
          </wp:inline>
        </w:drawing>
      </w:r>
      <w:r>
        <w:t xml:space="preserve"> и </w:t>
      </w:r>
      <w:r>
        <w:rPr>
          <w:i/>
        </w:rPr>
        <w:t>p</w:t>
      </w:r>
      <w:r>
        <w:rPr>
          <w:i/>
          <w:vertAlign w:val="subscript"/>
        </w:rPr>
        <w:t>sf</w:t>
      </w:r>
      <w:r>
        <w:t xml:space="preserve"> могут быть определены также при полевых испытаниях грунтов штампом с длительным замачиванием грунтов.</w:t>
      </w:r>
    </w:p>
    <w:p w:rsidR="00E35632" w:rsidRDefault="00E35632">
      <w:pPr>
        <w:pStyle w:val="ConsPlusNormal"/>
        <w:spacing w:before="220"/>
        <w:ind w:firstLine="540"/>
        <w:jc w:val="both"/>
      </w:pPr>
      <w:r>
        <w:t xml:space="preserve">6.3.15 Деформации оснований при фильтрации по схеме 2 (см. </w:t>
      </w:r>
      <w:hyperlink w:anchor="P2800">
        <w:r>
          <w:rPr>
            <w:color w:val="0000FF"/>
          </w:rPr>
          <w:t>рисунок 6.4</w:t>
        </w:r>
      </w:hyperlink>
      <w:r>
        <w:t>) следует рассчитывать с учетом развития во времени выщелачиваемой зоны в горизонтальном направлении и неоднородности деформационных свойств грунтов основания в пределах площади фундамента или контура сооружения.</w:t>
      </w:r>
    </w:p>
    <w:p w:rsidR="00E35632" w:rsidRDefault="00E35632">
      <w:pPr>
        <w:pStyle w:val="ConsPlusNormal"/>
        <w:spacing w:before="220"/>
        <w:ind w:firstLine="540"/>
        <w:jc w:val="both"/>
      </w:pPr>
      <w:r>
        <w:t xml:space="preserve">Как и при фильтрации по схеме 1 </w:t>
      </w:r>
      <w:hyperlink w:anchor="P2800">
        <w:r>
          <w:rPr>
            <w:color w:val="0000FF"/>
          </w:rPr>
          <w:t>(рисунок 6.4)</w:t>
        </w:r>
      </w:hyperlink>
      <w:r>
        <w:t xml:space="preserve"> необходимо установить состояние выщелачиваемой зоны в основании фундамента на расчетный момент времени (ее длину и распределение в ней гипса). Для установленного состояния выщелачиваемой зоны следует определить осадку сторон фундамента и его крен.</w:t>
      </w:r>
    </w:p>
    <w:p w:rsidR="00E35632" w:rsidRDefault="00E35632">
      <w:pPr>
        <w:pStyle w:val="ConsPlusNormal"/>
        <w:spacing w:before="220"/>
        <w:ind w:firstLine="540"/>
        <w:jc w:val="both"/>
      </w:pPr>
      <w:r>
        <w:t>Начальное содержание гипса в грунте принимают постоянным (</w:t>
      </w:r>
      <w:r>
        <w:rPr>
          <w:i/>
        </w:rPr>
        <w:t>d</w:t>
      </w:r>
      <w:r>
        <w:rPr>
          <w:vertAlign w:val="subscript"/>
        </w:rPr>
        <w:t>0</w:t>
      </w:r>
      <w:r>
        <w:t xml:space="preserve"> = const) как по глубине загипсованной толщи, так и по площади фундамента и в его окрестности </w:t>
      </w:r>
      <w:hyperlink w:anchor="P2821">
        <w:r>
          <w:rPr>
            <w:color w:val="0000FF"/>
          </w:rPr>
          <w:t>(рисунок 6.6)</w:t>
        </w:r>
      </w:hyperlink>
      <w:r>
        <w:t>, и равным среднему значению загипсованности толщи.</w:t>
      </w:r>
    </w:p>
    <w:p w:rsidR="00E35632" w:rsidRDefault="00E35632">
      <w:pPr>
        <w:pStyle w:val="ConsPlusNormal"/>
        <w:spacing w:before="220"/>
        <w:ind w:firstLine="540"/>
        <w:jc w:val="both"/>
      </w:pPr>
      <w:r>
        <w:t xml:space="preserve">Разбивку основания на вертикальные слои шириной по 0,5 м следует проводить (см. </w:t>
      </w:r>
      <w:hyperlink w:anchor="P2852">
        <w:r>
          <w:rPr>
            <w:color w:val="0000FF"/>
          </w:rPr>
          <w:t>рисунок 6.7</w:t>
        </w:r>
      </w:hyperlink>
      <w:r>
        <w:t xml:space="preserve">) в пределах от </w:t>
      </w:r>
      <w:r>
        <w:rPr>
          <w:i/>
        </w:rPr>
        <w:t>z</w:t>
      </w:r>
      <w:r>
        <w:t xml:space="preserve"> = 0 (источник замачивания) до </w:t>
      </w:r>
      <w:r>
        <w:rPr>
          <w:i/>
        </w:rPr>
        <w:t>z</w:t>
      </w:r>
      <w:r>
        <w:t xml:space="preserve"> = </w:t>
      </w:r>
      <w:r>
        <w:rPr>
          <w:i/>
        </w:rPr>
        <w:t>l</w:t>
      </w:r>
      <w:r>
        <w:t xml:space="preserve"> + 2</w:t>
      </w:r>
      <w:r>
        <w:rPr>
          <w:i/>
        </w:rPr>
        <w:t>L</w:t>
      </w:r>
      <w:r>
        <w:t xml:space="preserve"> + 1, где </w:t>
      </w:r>
      <w:r>
        <w:rPr>
          <w:i/>
        </w:rPr>
        <w:t>l</w:t>
      </w:r>
      <w:r>
        <w:t xml:space="preserve"> - расстояние до фундамента, а 2</w:t>
      </w:r>
      <w:r>
        <w:rPr>
          <w:i/>
        </w:rPr>
        <w:t>L</w:t>
      </w:r>
      <w:r>
        <w:t xml:space="preserve"> - ширина фундамента. Направление формирования и перемещения выщелачиваемой зоны принимают горизонтальным.</w:t>
      </w:r>
    </w:p>
    <w:p w:rsidR="00E35632" w:rsidRDefault="00E35632">
      <w:pPr>
        <w:pStyle w:val="ConsPlusNormal"/>
        <w:spacing w:before="220"/>
        <w:ind w:firstLine="540"/>
        <w:jc w:val="both"/>
      </w:pPr>
      <w:r>
        <w:lastRenderedPageBreak/>
        <w:t xml:space="preserve">6.3.16 Для расчета осадок сторон фундамента при фильтрации по схеме 2 (см. </w:t>
      </w:r>
      <w:hyperlink w:anchor="P2800">
        <w:r>
          <w:rPr>
            <w:color w:val="0000FF"/>
          </w:rPr>
          <w:t>рисунок 6.4</w:t>
        </w:r>
      </w:hyperlink>
      <w:r>
        <w:t xml:space="preserve">) следует применять метод расчета конструкций на основании, характеризующемся переменным коэффициентом постели. Расчетная схема предусматривает наличие двух участков в основании фундамента </w:t>
      </w:r>
      <w:hyperlink w:anchor="P2859">
        <w:r>
          <w:rPr>
            <w:color w:val="0000FF"/>
          </w:rPr>
          <w:t>(рисунок 6.8)</w:t>
        </w:r>
      </w:hyperlink>
      <w:r>
        <w:t xml:space="preserve">, где участок 1 равен длине выщелачиваемой зоны. Коэффициент постели на этом участке изменяется от </w:t>
      </w:r>
      <w:r>
        <w:rPr>
          <w:i/>
        </w:rPr>
        <w:t>c</w:t>
      </w:r>
      <w:r>
        <w:rPr>
          <w:vertAlign w:val="subscript"/>
        </w:rPr>
        <w:t>min</w:t>
      </w:r>
      <w:r>
        <w:t xml:space="preserve"> под одной стороной фундамента, ближайшей к источнику замачивания, до </w:t>
      </w:r>
      <w:r>
        <w:rPr>
          <w:i/>
        </w:rPr>
        <w:t>c</w:t>
      </w:r>
      <w:r>
        <w:rPr>
          <w:vertAlign w:val="subscript"/>
        </w:rPr>
        <w:t>max</w:t>
      </w:r>
      <w:r>
        <w:t xml:space="preserve"> на границе выщелачиваемой зоны. Участок 2 равен длине невыщелоченной зоны. Коэффициент постели на этом участке постоянен и равен </w:t>
      </w:r>
      <w:r>
        <w:rPr>
          <w:i/>
        </w:rPr>
        <w:t>c</w:t>
      </w:r>
      <w:r>
        <w:rPr>
          <w:vertAlign w:val="subscript"/>
        </w:rPr>
        <w:t>max</w:t>
      </w:r>
      <w:r>
        <w:t>.</w:t>
      </w:r>
    </w:p>
    <w:p w:rsidR="00E35632" w:rsidRDefault="00E35632">
      <w:pPr>
        <w:pStyle w:val="ConsPlusNormal"/>
        <w:jc w:val="both"/>
      </w:pPr>
    </w:p>
    <w:p w:rsidR="00E35632" w:rsidRDefault="00E35632">
      <w:pPr>
        <w:pStyle w:val="ConsPlusNormal"/>
        <w:jc w:val="center"/>
      </w:pPr>
      <w:r>
        <w:rPr>
          <w:noProof/>
          <w:position w:val="-169"/>
        </w:rPr>
        <w:drawing>
          <wp:inline distT="0" distB="0" distL="0" distR="0">
            <wp:extent cx="4566920" cy="2296795"/>
            <wp:effectExtent l="0" t="0" r="0" b="0"/>
            <wp:docPr id="3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566920" cy="2296795"/>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r>
        <w:rPr>
          <w:i/>
        </w:rPr>
        <w:t>1</w:t>
      </w:r>
      <w:r>
        <w:t xml:space="preserve"> - входной участок фильтрационного потока; </w:t>
      </w:r>
      <w:r>
        <w:rPr>
          <w:i/>
        </w:rPr>
        <w:t>2</w:t>
      </w:r>
      <w:r>
        <w:t xml:space="preserve"> - направление</w:t>
      </w:r>
    </w:p>
    <w:p w:rsidR="00E35632" w:rsidRDefault="00E35632">
      <w:pPr>
        <w:pStyle w:val="ConsPlusNormal"/>
        <w:jc w:val="center"/>
      </w:pPr>
      <w:r>
        <w:t xml:space="preserve">фильтрации; </w:t>
      </w:r>
      <w:r>
        <w:rPr>
          <w:i/>
        </w:rPr>
        <w:t>3</w:t>
      </w:r>
      <w:r>
        <w:t xml:space="preserve"> - расчетный слой; </w:t>
      </w:r>
      <w:r>
        <w:rPr>
          <w:i/>
        </w:rPr>
        <w:t>4</w:t>
      </w:r>
      <w:r>
        <w:t xml:space="preserve"> - границы расчетных слоев</w:t>
      </w:r>
    </w:p>
    <w:p w:rsidR="00E35632" w:rsidRDefault="00E35632">
      <w:pPr>
        <w:pStyle w:val="ConsPlusNormal"/>
        <w:jc w:val="both"/>
      </w:pPr>
    </w:p>
    <w:p w:rsidR="00E35632" w:rsidRDefault="00E35632">
      <w:pPr>
        <w:pStyle w:val="ConsPlusNormal"/>
        <w:jc w:val="center"/>
      </w:pPr>
      <w:bookmarkStart w:id="161" w:name="P2852"/>
      <w:bookmarkEnd w:id="161"/>
      <w:r>
        <w:rPr>
          <w:b/>
          <w:i/>
        </w:rPr>
        <w:t>Рисунок 6.7</w:t>
      </w:r>
      <w:r>
        <w:t xml:space="preserve"> </w:t>
      </w:r>
      <w:r>
        <w:rPr>
          <w:b/>
        </w:rPr>
        <w:t>- Схема для расчета рассоления</w:t>
      </w:r>
    </w:p>
    <w:p w:rsidR="00E35632" w:rsidRDefault="00E35632">
      <w:pPr>
        <w:pStyle w:val="ConsPlusNormal"/>
        <w:jc w:val="center"/>
      </w:pPr>
      <w:r>
        <w:rPr>
          <w:b/>
        </w:rPr>
        <w:t>основания при горизонтальной фильтрации</w:t>
      </w: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center"/>
      </w:pPr>
      <w:r>
        <w:rPr>
          <w:noProof/>
          <w:position w:val="-174"/>
        </w:rPr>
        <w:drawing>
          <wp:inline distT="0" distB="0" distL="0" distR="0">
            <wp:extent cx="4382135" cy="2350770"/>
            <wp:effectExtent l="0" t="0" r="0" b="0"/>
            <wp:docPr id="3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382135" cy="235077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bookmarkStart w:id="162" w:name="P2859"/>
      <w:bookmarkEnd w:id="162"/>
      <w:r>
        <w:rPr>
          <w:b/>
          <w:i/>
        </w:rPr>
        <w:t>Рисунок 6.8</w:t>
      </w:r>
      <w:r>
        <w:t xml:space="preserve"> </w:t>
      </w:r>
      <w:r>
        <w:rPr>
          <w:b/>
        </w:rPr>
        <w:t>- Схема для расчета деформаций</w:t>
      </w:r>
    </w:p>
    <w:p w:rsidR="00E35632" w:rsidRDefault="00E35632">
      <w:pPr>
        <w:pStyle w:val="ConsPlusNormal"/>
        <w:jc w:val="center"/>
      </w:pPr>
      <w:r>
        <w:rPr>
          <w:b/>
        </w:rPr>
        <w:t>засоленного грунта при горизонтальной фильтрации</w:t>
      </w:r>
    </w:p>
    <w:p w:rsidR="00E35632" w:rsidRDefault="00E35632">
      <w:pPr>
        <w:pStyle w:val="ConsPlusNormal"/>
        <w:jc w:val="both"/>
      </w:pPr>
    </w:p>
    <w:p w:rsidR="00E35632" w:rsidRDefault="00E35632">
      <w:pPr>
        <w:pStyle w:val="ConsPlusNormal"/>
        <w:ind w:firstLine="540"/>
        <w:jc w:val="both"/>
      </w:pPr>
      <w:r>
        <w:t xml:space="preserve">6.3.17 При расчетных деформациях основания, сложенного засоленными грунтами, больше предельных или недостаточной несущей способности основания следует предусматривать следующие мероприятия в соответствии с </w:t>
      </w:r>
      <w:hyperlink w:anchor="P2257">
        <w:r>
          <w:rPr>
            <w:color w:val="0000FF"/>
          </w:rPr>
          <w:t>5.9</w:t>
        </w:r>
      </w:hyperlink>
      <w:r>
        <w:t>:</w:t>
      </w:r>
    </w:p>
    <w:p w:rsidR="00E35632" w:rsidRDefault="00E35632">
      <w:pPr>
        <w:pStyle w:val="ConsPlusNormal"/>
        <w:spacing w:before="220"/>
        <w:ind w:firstLine="540"/>
        <w:jc w:val="both"/>
      </w:pPr>
      <w:r>
        <w:t>- водозащитные;</w:t>
      </w:r>
    </w:p>
    <w:p w:rsidR="00E35632" w:rsidRDefault="00E35632">
      <w:pPr>
        <w:pStyle w:val="ConsPlusNormal"/>
        <w:spacing w:before="220"/>
        <w:ind w:firstLine="540"/>
        <w:jc w:val="both"/>
      </w:pPr>
      <w:r>
        <w:lastRenderedPageBreak/>
        <w:t>- конструктивные;</w:t>
      </w:r>
    </w:p>
    <w:p w:rsidR="00E35632" w:rsidRDefault="00E35632">
      <w:pPr>
        <w:pStyle w:val="ConsPlusNormal"/>
        <w:spacing w:before="220"/>
        <w:ind w:firstLine="540"/>
        <w:jc w:val="both"/>
      </w:pPr>
      <w:r>
        <w:t>- частичная или полная срезка засоленных грунтов с устройством подушки из глинистых грунтов;</w:t>
      </w:r>
    </w:p>
    <w:p w:rsidR="00E35632" w:rsidRDefault="00E35632">
      <w:pPr>
        <w:pStyle w:val="ConsPlusNormal"/>
        <w:spacing w:before="220"/>
        <w:ind w:firstLine="540"/>
        <w:jc w:val="both"/>
      </w:pPr>
      <w:r>
        <w:t>- прорезка толщи засоленных грунтов фундаментами, в том числе свайными;</w:t>
      </w:r>
    </w:p>
    <w:p w:rsidR="00E35632" w:rsidRDefault="00E35632">
      <w:pPr>
        <w:pStyle w:val="ConsPlusNormal"/>
        <w:spacing w:before="220"/>
        <w:ind w:firstLine="540"/>
        <w:jc w:val="both"/>
      </w:pPr>
      <w:r>
        <w:t>- закрепление, уплотнение или нейтрализация (насыщение грунтов растворами, исключающими растворение солей) грунтов;</w:t>
      </w:r>
    </w:p>
    <w:p w:rsidR="00E35632" w:rsidRDefault="00E35632">
      <w:pPr>
        <w:pStyle w:val="ConsPlusNormal"/>
        <w:spacing w:before="220"/>
        <w:ind w:firstLine="540"/>
        <w:jc w:val="both"/>
      </w:pPr>
      <w:r>
        <w:t>- предварительное рассоление грунтов;</w:t>
      </w:r>
    </w:p>
    <w:p w:rsidR="00E35632" w:rsidRDefault="00E35632">
      <w:pPr>
        <w:pStyle w:val="ConsPlusNormal"/>
        <w:spacing w:before="220"/>
        <w:ind w:firstLine="540"/>
        <w:jc w:val="both"/>
      </w:pPr>
      <w:r>
        <w:t>- комплекс мероприятий, включающий водозащитные и конструктивные мероприятия, а также устройство грунтовой подушки.</w:t>
      </w:r>
    </w:p>
    <w:p w:rsidR="00E35632" w:rsidRDefault="00E35632">
      <w:pPr>
        <w:pStyle w:val="ConsPlusNormal"/>
        <w:spacing w:before="220"/>
        <w:ind w:firstLine="540"/>
        <w:jc w:val="both"/>
      </w:pPr>
      <w:r>
        <w:t>При устройстве подушки из глинистых грунтов в основании сооружений предельное содержание солей и степень уплотнения грунта устанавливают по данным специальных исследований и зависят от передаваемых на основание нагрузок, свойств грунта, уровня ответственности и конструктивных особенностей сооружения, возможных условий замачивания основания.</w:t>
      </w:r>
    </w:p>
    <w:p w:rsidR="00E35632" w:rsidRDefault="00E35632">
      <w:pPr>
        <w:pStyle w:val="ConsPlusNormal"/>
        <w:spacing w:before="220"/>
        <w:ind w:firstLine="540"/>
        <w:jc w:val="both"/>
      </w:pPr>
      <w:r>
        <w:t>При проектировании фундаментов в засоленных грунтах необходимо применять антикоррозионные мероприятия для защиты тела фундамента от агрессивного воздействия вод и грунтов.</w:t>
      </w:r>
    </w:p>
    <w:p w:rsidR="00E35632" w:rsidRDefault="00E35632">
      <w:pPr>
        <w:pStyle w:val="ConsPlusNormal"/>
        <w:spacing w:before="220"/>
        <w:ind w:firstLine="540"/>
        <w:jc w:val="both"/>
      </w:pPr>
      <w:r>
        <w:t>Для сильно- и избыточно засоленных грунтов необходимо применять:</w:t>
      </w:r>
    </w:p>
    <w:p w:rsidR="00E35632" w:rsidRDefault="00E35632">
      <w:pPr>
        <w:pStyle w:val="ConsPlusNormal"/>
        <w:spacing w:before="220"/>
        <w:ind w:firstLine="540"/>
        <w:jc w:val="both"/>
      </w:pPr>
      <w:r>
        <w:t>- прекращение или замедление движения фильтрационного потока (устройство водонепроницаемых завес: глинистых, силикатных, битумных, цементных);</w:t>
      </w:r>
    </w:p>
    <w:p w:rsidR="00E35632" w:rsidRDefault="00E35632">
      <w:pPr>
        <w:pStyle w:val="ConsPlusNormal"/>
        <w:spacing w:before="220"/>
        <w:ind w:firstLine="540"/>
        <w:jc w:val="both"/>
      </w:pPr>
      <w:r>
        <w:t>- снижение растворяющей способности подземных вод (искусственное водонасыщение фильтрационного потока солями).</w:t>
      </w:r>
    </w:p>
    <w:p w:rsidR="00E35632" w:rsidRDefault="00E35632">
      <w:pPr>
        <w:pStyle w:val="ConsPlusTitle"/>
        <w:spacing w:before="220"/>
        <w:ind w:firstLine="540"/>
        <w:jc w:val="both"/>
        <w:outlineLvl w:val="2"/>
      </w:pPr>
      <w:bookmarkStart w:id="163" w:name="P2875"/>
      <w:bookmarkEnd w:id="163"/>
      <w:r>
        <w:t>6.4 Органоминеральные и органические грунты</w:t>
      </w:r>
    </w:p>
    <w:p w:rsidR="00E35632" w:rsidRDefault="00E35632">
      <w:pPr>
        <w:pStyle w:val="ConsPlusNormal"/>
        <w:spacing w:before="220"/>
        <w:ind w:firstLine="540"/>
        <w:jc w:val="both"/>
      </w:pPr>
      <w:r>
        <w:t>6.4.1 Основания, сложенные водонасыщенными органоминеральными (илы, сапропели, заторфованные грунты) и органическими грунтами (торфы и сапропели) или включающие эти грунты, следует проектировать с учетом их особенностей: большой сжимаемости, изменчивости и анизотропии прочностных, деформационных и фильтрационных характеристик и изменений их в процессе консолидации основания, длительного развития осадок во времени и возможности возникновения нестабилизированного состояния.</w:t>
      </w:r>
    </w:p>
    <w:p w:rsidR="00E35632" w:rsidRDefault="00E35632">
      <w:pPr>
        <w:pStyle w:val="ConsPlusNormal"/>
        <w:spacing w:before="220"/>
        <w:ind w:firstLine="540"/>
        <w:jc w:val="both"/>
      </w:pPr>
      <w:r>
        <w:t>Для илов следует учитывать тиксотропию и газовыделение (метан, углекислый газ).</w:t>
      </w:r>
    </w:p>
    <w:p w:rsidR="00E35632" w:rsidRDefault="00E35632">
      <w:pPr>
        <w:pStyle w:val="ConsPlusNormal"/>
        <w:spacing w:before="220"/>
        <w:ind w:firstLine="540"/>
        <w:jc w:val="both"/>
      </w:pPr>
      <w:r>
        <w:t>Также следует учитывать, что подземные воды в органоминеральных и органических грунтах агрессивны к материалам подземных конструкций.</w:t>
      </w:r>
    </w:p>
    <w:p w:rsidR="00E35632" w:rsidRDefault="00E35632">
      <w:pPr>
        <w:pStyle w:val="ConsPlusNormal"/>
        <w:spacing w:before="220"/>
        <w:ind w:firstLine="540"/>
        <w:jc w:val="both"/>
      </w:pPr>
      <w:r>
        <w:t>6.4.2 По характеру залегания органоминеральные и органические грунты делятся на открытые (залегающие с поверхности), погребенные (залегающие в виде линз или слоев на различной глубине) и искусственно погребенные (перекрытые искусственно сформированными отложениями).</w:t>
      </w:r>
    </w:p>
    <w:p w:rsidR="00E35632" w:rsidRDefault="00E35632">
      <w:pPr>
        <w:pStyle w:val="ConsPlusNormal"/>
        <w:spacing w:before="220"/>
        <w:ind w:firstLine="540"/>
        <w:jc w:val="both"/>
      </w:pPr>
      <w:r>
        <w:t xml:space="preserve">6.4.3 В зависимости от расположения слоев или линз органоминерального и органического грунта в плане и по глубине основания выделяют наиболее распространенные типы оснований, приведенные на </w:t>
      </w:r>
      <w:hyperlink w:anchor="P2907">
        <w:r>
          <w:rPr>
            <w:color w:val="0000FF"/>
          </w:rPr>
          <w:t>рисунке 6.9</w:t>
        </w:r>
      </w:hyperlink>
      <w:r>
        <w:t>.</w:t>
      </w:r>
    </w:p>
    <w:p w:rsidR="00E35632" w:rsidRDefault="00E35632">
      <w:pPr>
        <w:pStyle w:val="ConsPlusNormal"/>
        <w:spacing w:before="220"/>
        <w:ind w:firstLine="540"/>
        <w:jc w:val="both"/>
      </w:pPr>
      <w:r>
        <w:t xml:space="preserve">6.4.4 При проведении инженерно-геологических изысканий следует дополнительно </w:t>
      </w:r>
      <w:r>
        <w:lastRenderedPageBreak/>
        <w:t>устанавливать:</w:t>
      </w:r>
    </w:p>
    <w:p w:rsidR="00E35632" w:rsidRDefault="00E35632">
      <w:pPr>
        <w:pStyle w:val="ConsPlusNormal"/>
        <w:spacing w:before="220"/>
        <w:ind w:firstLine="540"/>
        <w:jc w:val="both"/>
      </w:pPr>
      <w:r>
        <w:t xml:space="preserve">- характер залегания органоминеральных и органических грунтов </w:t>
      </w:r>
      <w:hyperlink w:anchor="P2907">
        <w:r>
          <w:rPr>
            <w:color w:val="0000FF"/>
          </w:rPr>
          <w:t>(рисунок 6.9)</w:t>
        </w:r>
      </w:hyperlink>
      <w:r>
        <w:t xml:space="preserve"> и толщину слоев, прослоек и линз этих грунтов;</w:t>
      </w:r>
    </w:p>
    <w:p w:rsidR="00E35632" w:rsidRDefault="00E35632">
      <w:pPr>
        <w:pStyle w:val="ConsPlusNormal"/>
        <w:spacing w:before="220"/>
        <w:ind w:firstLine="540"/>
        <w:jc w:val="both"/>
      </w:pPr>
      <w:r>
        <w:t xml:space="preserve">- относительное содержание органического вещества </w:t>
      </w:r>
      <w:r>
        <w:rPr>
          <w:i/>
        </w:rPr>
        <w:t>I</w:t>
      </w:r>
      <w:r>
        <w:rPr>
          <w:i/>
          <w:vertAlign w:val="subscript"/>
        </w:rPr>
        <w:t>r</w:t>
      </w:r>
      <w:r>
        <w:t xml:space="preserve"> для выделения заторфованных грунтов, торфов и сапропелей;</w:t>
      </w:r>
    </w:p>
    <w:p w:rsidR="00E35632" w:rsidRDefault="00E35632">
      <w:pPr>
        <w:pStyle w:val="ConsPlusNormal"/>
        <w:spacing w:before="220"/>
        <w:ind w:firstLine="540"/>
        <w:jc w:val="both"/>
      </w:pPr>
      <w:r>
        <w:t xml:space="preserve">- степень разложения </w:t>
      </w:r>
      <w:r>
        <w:rPr>
          <w:i/>
        </w:rPr>
        <w:t>D</w:t>
      </w:r>
      <w:r>
        <w:rPr>
          <w:i/>
          <w:vertAlign w:val="subscript"/>
        </w:rPr>
        <w:t>dp</w:t>
      </w:r>
      <w:r>
        <w:t>;</w:t>
      </w:r>
    </w:p>
    <w:p w:rsidR="00E35632" w:rsidRDefault="00E35632">
      <w:pPr>
        <w:pStyle w:val="ConsPlusNormal"/>
        <w:spacing w:before="220"/>
        <w:ind w:firstLine="540"/>
        <w:jc w:val="both"/>
      </w:pPr>
      <w:r>
        <w:t>- коэффициент консолидации.</w:t>
      </w:r>
    </w:p>
    <w:p w:rsidR="00E35632" w:rsidRDefault="00E35632">
      <w:pPr>
        <w:pStyle w:val="ConsPlusNormal"/>
        <w:spacing w:before="220"/>
        <w:ind w:firstLine="540"/>
        <w:jc w:val="both"/>
      </w:pPr>
      <w:r>
        <w:t>Расстояние между отдельными скважинами не должно превышать 20 м, и они должны полностью прорезать толщу органоминеральных и органических грунтов с заглублением не менее чем на 2 м в подстилающие минеральные грунты.</w:t>
      </w:r>
    </w:p>
    <w:p w:rsidR="00E35632" w:rsidRDefault="00E35632">
      <w:pPr>
        <w:pStyle w:val="ConsPlusNormal"/>
        <w:spacing w:before="220"/>
        <w:ind w:firstLine="540"/>
        <w:jc w:val="both"/>
      </w:pPr>
      <w:r>
        <w:t>Определение характеристик органоминеральных и органических грунтов следует проводить не менее чем через 0,5 м по глубине каждого обнаруженного слоя.</w:t>
      </w:r>
    </w:p>
    <w:p w:rsidR="00E35632" w:rsidRDefault="00E35632">
      <w:pPr>
        <w:pStyle w:val="ConsPlusNormal"/>
        <w:spacing w:before="220"/>
        <w:ind w:firstLine="540"/>
        <w:jc w:val="both"/>
      </w:pPr>
      <w:r>
        <w:t>6.4.5 На площадках, в основании которых залегают илы с целью сохранения природной структуры этого грунта следует применять методы испытаний, исключающие динамическое воздействие на грунт. Следует применять штампы, прессиометры, статическое зондирование, приборы вращательного среза, радиоизотопные методы и т.д.</w:t>
      </w:r>
    </w:p>
    <w:p w:rsidR="00E35632" w:rsidRDefault="00E35632">
      <w:pPr>
        <w:pStyle w:val="ConsPlusNormal"/>
        <w:spacing w:before="220"/>
        <w:ind w:firstLine="540"/>
        <w:jc w:val="both"/>
      </w:pPr>
      <w:r>
        <w:t xml:space="preserve">6.4.6 Следует выделять пресноводные илы с относительным содержанием органического вещества </w:t>
      </w:r>
      <w:r>
        <w:rPr>
          <w:i/>
        </w:rPr>
        <w:t>I</w:t>
      </w:r>
      <w:r>
        <w:rPr>
          <w:i/>
          <w:vertAlign w:val="subscript"/>
        </w:rPr>
        <w:t>r</w:t>
      </w:r>
      <w:r>
        <w:t xml:space="preserve"> более 10% - сапропели. В зависимости от условий залегания сапропели подразделяют на неуплотненные и уплотненные в природном залегании; по относительному содержанию органического вещества - на высокоминеральные, среднеминеральные и низкоминеральные.</w:t>
      </w:r>
    </w:p>
    <w:p w:rsidR="00E35632" w:rsidRDefault="00E35632">
      <w:pPr>
        <w:pStyle w:val="ConsPlusNormal"/>
        <w:jc w:val="both"/>
      </w:pPr>
    </w:p>
    <w:p w:rsidR="00E35632" w:rsidRDefault="00E35632">
      <w:pPr>
        <w:pStyle w:val="ConsPlusNormal"/>
        <w:jc w:val="center"/>
      </w:pPr>
      <w:r>
        <w:rPr>
          <w:noProof/>
          <w:position w:val="-439"/>
        </w:rPr>
        <w:lastRenderedPageBreak/>
        <w:drawing>
          <wp:inline distT="0" distB="0" distL="0" distR="0">
            <wp:extent cx="3713480" cy="5717540"/>
            <wp:effectExtent l="0" t="0" r="0" b="0"/>
            <wp:docPr id="3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3713480" cy="571754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r>
        <w:rPr>
          <w:i/>
        </w:rPr>
        <w:t>I</w:t>
      </w:r>
      <w:r>
        <w:t xml:space="preserve"> - в пределах всей сжимаемой толщи основания залегают</w:t>
      </w:r>
    </w:p>
    <w:p w:rsidR="00E35632" w:rsidRDefault="00E35632">
      <w:pPr>
        <w:pStyle w:val="ConsPlusNormal"/>
        <w:jc w:val="center"/>
      </w:pPr>
      <w:r>
        <w:t xml:space="preserve">органоминеральные или органические грунты; </w:t>
      </w:r>
      <w:r>
        <w:rPr>
          <w:i/>
        </w:rPr>
        <w:t>II</w:t>
      </w:r>
      <w:r>
        <w:t xml:space="preserve"> - в верхней</w:t>
      </w:r>
    </w:p>
    <w:p w:rsidR="00E35632" w:rsidRDefault="00E35632">
      <w:pPr>
        <w:pStyle w:val="ConsPlusNormal"/>
        <w:jc w:val="center"/>
      </w:pPr>
      <w:r>
        <w:t>части сжимаемой толщи основания залегает слой</w:t>
      </w:r>
    </w:p>
    <w:p w:rsidR="00E35632" w:rsidRDefault="00E35632">
      <w:pPr>
        <w:pStyle w:val="ConsPlusNormal"/>
        <w:jc w:val="center"/>
      </w:pPr>
      <w:r>
        <w:t xml:space="preserve">органоминерального или органического грунта; </w:t>
      </w:r>
      <w:r>
        <w:rPr>
          <w:i/>
        </w:rPr>
        <w:t>III</w:t>
      </w:r>
      <w:r>
        <w:t xml:space="preserve"> - в нижней</w:t>
      </w:r>
    </w:p>
    <w:p w:rsidR="00E35632" w:rsidRDefault="00E35632">
      <w:pPr>
        <w:pStyle w:val="ConsPlusNormal"/>
        <w:jc w:val="center"/>
      </w:pPr>
      <w:r>
        <w:t>части сжимаемой толщи основания залегают органоминеральные</w:t>
      </w:r>
    </w:p>
    <w:p w:rsidR="00E35632" w:rsidRDefault="00E35632">
      <w:pPr>
        <w:pStyle w:val="ConsPlusNormal"/>
        <w:jc w:val="center"/>
      </w:pPr>
      <w:r>
        <w:t xml:space="preserve">или органические грунты; </w:t>
      </w:r>
      <w:r>
        <w:rPr>
          <w:i/>
        </w:rPr>
        <w:t>IV</w:t>
      </w:r>
      <w:r>
        <w:t xml:space="preserve"> - сжимаемая толща в пределах</w:t>
      </w:r>
    </w:p>
    <w:p w:rsidR="00E35632" w:rsidRDefault="00E35632">
      <w:pPr>
        <w:pStyle w:val="ConsPlusNormal"/>
        <w:jc w:val="center"/>
      </w:pPr>
      <w:r>
        <w:t>пятна застройки здания включает односторонне (</w:t>
      </w:r>
      <w:r>
        <w:rPr>
          <w:i/>
        </w:rPr>
        <w:t>IVа</w:t>
      </w:r>
      <w:r>
        <w:t>),</w:t>
      </w:r>
    </w:p>
    <w:p w:rsidR="00E35632" w:rsidRDefault="00E35632">
      <w:pPr>
        <w:pStyle w:val="ConsPlusNormal"/>
        <w:jc w:val="center"/>
      </w:pPr>
      <w:r>
        <w:t>двусторонне (</w:t>
      </w:r>
      <w:r>
        <w:rPr>
          <w:i/>
        </w:rPr>
        <w:t>IVб</w:t>
      </w:r>
      <w:r>
        <w:t>) вклинившиеся линзы или содержит множество</w:t>
      </w:r>
    </w:p>
    <w:p w:rsidR="00E35632" w:rsidRDefault="00E35632">
      <w:pPr>
        <w:pStyle w:val="ConsPlusNormal"/>
        <w:jc w:val="center"/>
      </w:pPr>
      <w:r>
        <w:t>линз (</w:t>
      </w:r>
      <w:r>
        <w:rPr>
          <w:i/>
        </w:rPr>
        <w:t>IVв</w:t>
      </w:r>
      <w:r>
        <w:t>) из органоминеральных или органических грунтов;</w:t>
      </w:r>
    </w:p>
    <w:p w:rsidR="00E35632" w:rsidRDefault="00E35632">
      <w:pPr>
        <w:pStyle w:val="ConsPlusNormal"/>
        <w:jc w:val="center"/>
      </w:pPr>
      <w:r>
        <w:rPr>
          <w:i/>
        </w:rPr>
        <w:t>V</w:t>
      </w:r>
      <w:r>
        <w:t xml:space="preserve"> - в пределах глубины сжимаемой толщи находится одна (</w:t>
      </w:r>
      <w:r>
        <w:rPr>
          <w:i/>
        </w:rPr>
        <w:t>Vа</w:t>
      </w:r>
      <w:r>
        <w:t>)</w:t>
      </w:r>
    </w:p>
    <w:p w:rsidR="00E35632" w:rsidRDefault="00E35632">
      <w:pPr>
        <w:pStyle w:val="ConsPlusNormal"/>
        <w:jc w:val="center"/>
      </w:pPr>
      <w:r>
        <w:t>или несколько прослоек (</w:t>
      </w:r>
      <w:r>
        <w:rPr>
          <w:i/>
        </w:rPr>
        <w:t>Vб</w:t>
      </w:r>
      <w:r>
        <w:t>) органоминерального</w:t>
      </w:r>
    </w:p>
    <w:p w:rsidR="00E35632" w:rsidRDefault="00E35632">
      <w:pPr>
        <w:pStyle w:val="ConsPlusNormal"/>
        <w:jc w:val="center"/>
      </w:pPr>
      <w:r>
        <w:t>или органического грунта, границы которых в плане</w:t>
      </w:r>
    </w:p>
    <w:p w:rsidR="00E35632" w:rsidRDefault="00E35632">
      <w:pPr>
        <w:pStyle w:val="ConsPlusNormal"/>
        <w:jc w:val="center"/>
      </w:pPr>
      <w:r>
        <w:t>выходят за пределы пятна застройки здания</w:t>
      </w:r>
    </w:p>
    <w:p w:rsidR="00E35632" w:rsidRDefault="00E35632">
      <w:pPr>
        <w:pStyle w:val="ConsPlusNormal"/>
        <w:jc w:val="both"/>
      </w:pPr>
    </w:p>
    <w:p w:rsidR="00E35632" w:rsidRDefault="00E35632">
      <w:pPr>
        <w:pStyle w:val="ConsPlusNormal"/>
        <w:jc w:val="center"/>
      </w:pPr>
      <w:bookmarkStart w:id="164" w:name="P2907"/>
      <w:bookmarkEnd w:id="164"/>
      <w:r>
        <w:rPr>
          <w:b/>
          <w:i/>
        </w:rPr>
        <w:t>Рисунок 6.9</w:t>
      </w:r>
      <w:r>
        <w:t xml:space="preserve"> </w:t>
      </w:r>
      <w:r>
        <w:rPr>
          <w:b/>
        </w:rPr>
        <w:t>- Типовые схемы оснований, содержащих</w:t>
      </w:r>
    </w:p>
    <w:p w:rsidR="00E35632" w:rsidRDefault="00E35632">
      <w:pPr>
        <w:pStyle w:val="ConsPlusNormal"/>
        <w:jc w:val="center"/>
      </w:pPr>
      <w:r>
        <w:rPr>
          <w:b/>
        </w:rPr>
        <w:t>органоминеральные и органические грунты</w:t>
      </w:r>
    </w:p>
    <w:p w:rsidR="00E35632" w:rsidRDefault="00E35632">
      <w:pPr>
        <w:pStyle w:val="ConsPlusNormal"/>
        <w:jc w:val="both"/>
      </w:pPr>
    </w:p>
    <w:p w:rsidR="00E35632" w:rsidRDefault="00E35632">
      <w:pPr>
        <w:pStyle w:val="ConsPlusNormal"/>
        <w:ind w:firstLine="540"/>
        <w:jc w:val="both"/>
      </w:pPr>
      <w:bookmarkStart w:id="165" w:name="P2910"/>
      <w:bookmarkEnd w:id="165"/>
      <w:r>
        <w:t>6.4.7 Характеристики органоминеральных и органических грунтов следует определять на основе непосредственных испытаний грунтов в полевых или лабораторных условиях.</w:t>
      </w:r>
    </w:p>
    <w:p w:rsidR="00E35632" w:rsidRDefault="00E35632">
      <w:pPr>
        <w:pStyle w:val="ConsPlusNormal"/>
        <w:spacing w:before="220"/>
        <w:ind w:firstLine="540"/>
        <w:jc w:val="both"/>
      </w:pPr>
      <w:r>
        <w:lastRenderedPageBreak/>
        <w:t xml:space="preserve">Ориентировочные значения физико-механических характеристик сапропелей, открытых и погребенных торфов и илов, которые могут быть использованы для предварительной оценки оснований, сложенных указанными грунтами, приведены в </w:t>
      </w:r>
      <w:hyperlink w:anchor="P7117">
        <w:r>
          <w:rPr>
            <w:color w:val="0000FF"/>
          </w:rPr>
          <w:t>приложении Ж</w:t>
        </w:r>
      </w:hyperlink>
      <w:r>
        <w:t>.</w:t>
      </w:r>
    </w:p>
    <w:p w:rsidR="00E35632" w:rsidRDefault="00E35632">
      <w:pPr>
        <w:pStyle w:val="ConsPlusNormal"/>
        <w:spacing w:before="220"/>
        <w:ind w:firstLine="540"/>
        <w:jc w:val="both"/>
      </w:pPr>
      <w:r>
        <w:t xml:space="preserve">Для глинистых грунтов с относительным содержанием органического вещества в долях единицы в диапазоне 0,05 &lt;= </w:t>
      </w:r>
      <w:r>
        <w:rPr>
          <w:i/>
        </w:rPr>
        <w:t>I</w:t>
      </w:r>
      <w:r>
        <w:rPr>
          <w:i/>
          <w:vertAlign w:val="subscript"/>
        </w:rPr>
        <w:t>r</w:t>
      </w:r>
      <w:r>
        <w:t xml:space="preserve"> &lt;= 0,25 нормативные значения характеристик </w:t>
      </w:r>
      <w:r>
        <w:rPr>
          <w:i/>
        </w:rPr>
        <w:t>E</w:t>
      </w:r>
      <w:r>
        <w:t xml:space="preserve">, </w:t>
      </w:r>
      <w:r>
        <w:rPr>
          <w:noProof/>
          <w:position w:val="-8"/>
        </w:rPr>
        <w:drawing>
          <wp:inline distT="0" distB="0" distL="0" distR="0">
            <wp:extent cx="182880" cy="250825"/>
            <wp:effectExtent l="0" t="0" r="0" b="0"/>
            <wp:docPr id="3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 xml:space="preserve"> и </w:t>
      </w:r>
      <w:r>
        <w:rPr>
          <w:i/>
        </w:rPr>
        <w:t>c</w:t>
      </w:r>
      <w:r>
        <w:rPr>
          <w:i/>
          <w:vertAlign w:val="subscript"/>
        </w:rPr>
        <w:t>n</w:t>
      </w:r>
      <w:r>
        <w:t xml:space="preserve"> для расчетов оснований сооружений, оговоренных в </w:t>
      </w:r>
      <w:hyperlink w:anchor="P607">
        <w:r>
          <w:rPr>
            <w:color w:val="0000FF"/>
          </w:rPr>
          <w:t>5.3.18</w:t>
        </w:r>
      </w:hyperlink>
      <w:r>
        <w:t xml:space="preserve">, допускается принимать по </w:t>
      </w:r>
      <w:hyperlink w:anchor="P5590">
        <w:r>
          <w:rPr>
            <w:color w:val="0000FF"/>
          </w:rPr>
          <w:t>таблице А.4</w:t>
        </w:r>
      </w:hyperlink>
      <w:r>
        <w:t xml:space="preserve"> приложения А.</w:t>
      </w:r>
    </w:p>
    <w:p w:rsidR="00E35632" w:rsidRDefault="00E35632">
      <w:pPr>
        <w:pStyle w:val="ConsPlusNormal"/>
        <w:spacing w:before="220"/>
        <w:ind w:firstLine="540"/>
        <w:jc w:val="both"/>
      </w:pPr>
      <w:r>
        <w:t>6.4.8 Деформационные, прочностные и фильтрационные характеристики органоминеральных и органических грунтов следует определять в диапазоне давлений, соответствующих напряженному состоянию основания проектируемого сооружения. Указанные характеристики следует устанавливать при испытаниях образцов грунта в вертикальном и горизонтальном направлениях.</w:t>
      </w:r>
    </w:p>
    <w:p w:rsidR="00E35632" w:rsidRDefault="00E35632">
      <w:pPr>
        <w:pStyle w:val="ConsPlusNormal"/>
        <w:spacing w:before="220"/>
        <w:ind w:firstLine="540"/>
        <w:jc w:val="both"/>
      </w:pPr>
      <w:r>
        <w:t xml:space="preserve">6.4.9 Для определения прочностных характеристик </w:t>
      </w:r>
      <w:r>
        <w:rPr>
          <w:noProof/>
          <w:position w:val="-4"/>
        </w:rPr>
        <w:drawing>
          <wp:inline distT="0" distB="0" distL="0" distR="0">
            <wp:extent cx="160020" cy="192405"/>
            <wp:effectExtent l="0" t="0" r="0" b="0"/>
            <wp:docPr id="3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r>
        <w:t xml:space="preserve"> и </w:t>
      </w:r>
      <w:r>
        <w:rPr>
          <w:i/>
        </w:rPr>
        <w:t>c</w:t>
      </w:r>
      <w:r>
        <w:t xml:space="preserve"> органоминеральных и органических грунтов следует проводить испытания, применяя методику консолидированных испытаний для определения этих характеристик в стабилизированном состоянии и неконсолидированных испытаний для определения в нестабилизированном состоянии.</w:t>
      </w:r>
    </w:p>
    <w:p w:rsidR="00E35632" w:rsidRDefault="00E35632">
      <w:pPr>
        <w:pStyle w:val="ConsPlusNormal"/>
        <w:spacing w:before="220"/>
        <w:ind w:firstLine="540"/>
        <w:jc w:val="both"/>
      </w:pPr>
      <w:r>
        <w:t>6.4.10 При определении деформационных характеристик органоминеральных и органических грунтов в компрессионных приборах, учитывая их высокую сжимаемость, испытуемые образцы должны иметь начальную высоту 30 - 50 мм, а их нагружение следует проводить небольшими ступенями.</w:t>
      </w:r>
    </w:p>
    <w:p w:rsidR="00E35632" w:rsidRDefault="00E35632">
      <w:pPr>
        <w:pStyle w:val="ConsPlusNormal"/>
        <w:spacing w:before="220"/>
        <w:ind w:firstLine="540"/>
        <w:jc w:val="both"/>
      </w:pPr>
      <w:r>
        <w:t>Максимальное давление на образец в компрессионном опыте должно превышать проектное не менее чем на 10% - 20%, но быть не менее 0,1 МПа.</w:t>
      </w:r>
    </w:p>
    <w:p w:rsidR="00E35632" w:rsidRDefault="00E35632">
      <w:pPr>
        <w:pStyle w:val="ConsPlusNormal"/>
        <w:spacing w:before="220"/>
        <w:ind w:firstLine="540"/>
        <w:jc w:val="both"/>
      </w:pPr>
      <w:r>
        <w:t>Значения модуля деформации по результатам опыта следует устанавливать для различных интервалов давлений и использовать в расчетах осадки в зависимости от фактических нормальных напряжений по глубине основания в пределах сжимаемой толщи.</w:t>
      </w:r>
    </w:p>
    <w:p w:rsidR="00E35632" w:rsidRDefault="00E35632">
      <w:pPr>
        <w:pStyle w:val="ConsPlusNormal"/>
        <w:spacing w:before="220"/>
        <w:ind w:firstLine="540"/>
        <w:jc w:val="both"/>
      </w:pPr>
      <w:r>
        <w:t xml:space="preserve">6.4.11 Коэффициент бокового давления органоминеральных и органических грунтов </w:t>
      </w:r>
      <w:r>
        <w:rPr>
          <w:noProof/>
          <w:position w:val="-6"/>
        </w:rPr>
        <w:drawing>
          <wp:inline distT="0" distB="0" distL="0" distR="0">
            <wp:extent cx="142240" cy="226060"/>
            <wp:effectExtent l="0" t="0" r="0" b="0"/>
            <wp:docPr id="3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142240" cy="226060"/>
                    </a:xfrm>
                    <a:prstGeom prst="rect">
                      <a:avLst/>
                    </a:prstGeom>
                    <a:noFill/>
                    <a:ln>
                      <a:noFill/>
                    </a:ln>
                  </pic:spPr>
                </pic:pic>
              </a:graphicData>
            </a:graphic>
          </wp:inline>
        </w:drawing>
      </w:r>
      <w:r>
        <w:t xml:space="preserve"> определяют в приборах трехосного сжатия. Допускается принимать значения </w:t>
      </w:r>
      <w:r>
        <w:rPr>
          <w:noProof/>
          <w:position w:val="-6"/>
        </w:rPr>
        <w:drawing>
          <wp:inline distT="0" distB="0" distL="0" distR="0">
            <wp:extent cx="142240" cy="226060"/>
            <wp:effectExtent l="0" t="0" r="0" b="0"/>
            <wp:docPr id="3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240" cy="226060"/>
                    </a:xfrm>
                    <a:prstGeom prst="rect">
                      <a:avLst/>
                    </a:prstGeom>
                    <a:noFill/>
                    <a:ln>
                      <a:noFill/>
                    </a:ln>
                  </pic:spPr>
                </pic:pic>
              </a:graphicData>
            </a:graphic>
          </wp:inline>
        </w:drawing>
      </w:r>
      <w:r>
        <w:t xml:space="preserve"> по таблицам </w:t>
      </w:r>
      <w:hyperlink w:anchor="P7117">
        <w:r>
          <w:rPr>
            <w:color w:val="0000FF"/>
          </w:rPr>
          <w:t>приложения Ж</w:t>
        </w:r>
      </w:hyperlink>
      <w:r>
        <w:t>.</w:t>
      </w:r>
    </w:p>
    <w:p w:rsidR="00E35632" w:rsidRDefault="00E35632">
      <w:pPr>
        <w:pStyle w:val="ConsPlusNormal"/>
        <w:spacing w:before="220"/>
        <w:ind w:firstLine="540"/>
        <w:jc w:val="both"/>
      </w:pPr>
      <w:bookmarkStart w:id="166" w:name="P2919"/>
      <w:bookmarkEnd w:id="166"/>
      <w:r>
        <w:t>6.4.12 При применении комплекса мероприятий по предварительной подготовке основания, содержащего органоминеральные и органические грунты (временная или постоянная пригрузка, дренирование и т.п.), характеристики этих грунтов следует устанавливать по результатам их испытаний после уплотнения.</w:t>
      </w:r>
    </w:p>
    <w:p w:rsidR="00E35632" w:rsidRDefault="00E35632">
      <w:pPr>
        <w:pStyle w:val="ConsPlusNormal"/>
        <w:spacing w:before="220"/>
        <w:ind w:firstLine="540"/>
        <w:jc w:val="both"/>
      </w:pPr>
      <w:r>
        <w:t>6.4.13 При расчете оснований следует учитывать анизотропные свойства органоминеральных и органических грунтов. В каждой точке основания следует отбирать не менее двух образцов для определения характеристик в двух направлениях: вертикальном и горизонтальном. Коэффициент фильтрации также следует определять для этих двух направлений.</w:t>
      </w:r>
    </w:p>
    <w:p w:rsidR="00E35632" w:rsidRDefault="00E35632">
      <w:pPr>
        <w:pStyle w:val="ConsPlusNormal"/>
        <w:spacing w:before="220"/>
        <w:ind w:firstLine="540"/>
        <w:jc w:val="both"/>
      </w:pPr>
      <w:r>
        <w:t>Обозначения характеристик грунта с анизотропными свойствами должны иметь индекс, указывающий диапазоны давлений и их направление при испытании (горизонтальное или вертикальное).</w:t>
      </w:r>
    </w:p>
    <w:p w:rsidR="00E35632" w:rsidRDefault="00E35632">
      <w:pPr>
        <w:pStyle w:val="ConsPlusNormal"/>
        <w:spacing w:before="220"/>
        <w:ind w:firstLine="540"/>
        <w:jc w:val="both"/>
      </w:pPr>
      <w:r>
        <w:t xml:space="preserve">6.4.14 Расчет оснований, сложенных органоминеральными и органическими грунтами, следует проводить в соответствии с требованиями </w:t>
      </w:r>
      <w:hyperlink w:anchor="P375">
        <w:r>
          <w:rPr>
            <w:color w:val="0000FF"/>
          </w:rPr>
          <w:t>раздела 5</w:t>
        </w:r>
      </w:hyperlink>
      <w:r>
        <w:t xml:space="preserve"> с учетом скорости передачи нагрузки на основание, изменения эффективных напряжений в грунте в процессе консолидации основания, анизотропии свойств грунтов, вторичной консолидации. При этом допускается использовать </w:t>
      </w:r>
      <w:r>
        <w:lastRenderedPageBreak/>
        <w:t>методы теории как линейной, так и нелинейной консолидации грунтов.</w:t>
      </w:r>
    </w:p>
    <w:p w:rsidR="00E35632" w:rsidRDefault="00E35632">
      <w:pPr>
        <w:pStyle w:val="ConsPlusNormal"/>
        <w:spacing w:before="220"/>
        <w:ind w:firstLine="540"/>
        <w:jc w:val="both"/>
      </w:pPr>
      <w:r>
        <w:t>Примечание - Анизотропию свойств органоминеральных и органических грунтов допускается не учитывать, если значения характеристик для вертикального и горизонтального направлений отличаются не более чем на 40%.</w:t>
      </w:r>
    </w:p>
    <w:p w:rsidR="00E35632" w:rsidRDefault="00E35632">
      <w:pPr>
        <w:pStyle w:val="ConsPlusNormal"/>
        <w:jc w:val="both"/>
      </w:pPr>
    </w:p>
    <w:p w:rsidR="00E35632" w:rsidRDefault="00E35632">
      <w:pPr>
        <w:pStyle w:val="ConsPlusNormal"/>
        <w:ind w:firstLine="540"/>
        <w:jc w:val="both"/>
      </w:pPr>
      <w:r>
        <w:t>6.4.15 При наличии в основании дренирующих слоев необходимо учитывать фильтрацию поровой воды в их сторону, а при наличии песчаной подушки под фундаментом - также в сторону этой подушки. Действие дренирующего слоя допускается учитывать только в том случае, если он не представляет собой замкнутую линзу, а песчаной подушки под фундаментом - если обратная засыпка пазух произведена также дренирующим грунтом.</w:t>
      </w:r>
    </w:p>
    <w:p w:rsidR="00E35632" w:rsidRDefault="00E35632">
      <w:pPr>
        <w:pStyle w:val="ConsPlusNormal"/>
        <w:spacing w:before="220"/>
        <w:ind w:firstLine="540"/>
        <w:jc w:val="both"/>
      </w:pPr>
      <w:r>
        <w:t xml:space="preserve">6.4.16 Основания, сложенные водонасыщенными органоминеральными и органическими грунтами, в соответствии с </w:t>
      </w:r>
      <w:hyperlink w:anchor="P403">
        <w:r>
          <w:rPr>
            <w:color w:val="0000FF"/>
          </w:rPr>
          <w:t>5.1.9</w:t>
        </w:r>
      </w:hyperlink>
      <w:r>
        <w:t xml:space="preserve"> и </w:t>
      </w:r>
      <w:hyperlink w:anchor="P1864">
        <w:r>
          <w:rPr>
            <w:color w:val="0000FF"/>
          </w:rPr>
          <w:t>5.7.5</w:t>
        </w:r>
      </w:hyperlink>
      <w:r>
        <w:t xml:space="preserve"> следует рассчитывать по несущей способности.</w:t>
      </w:r>
    </w:p>
    <w:p w:rsidR="00E35632" w:rsidRDefault="00E35632">
      <w:pPr>
        <w:pStyle w:val="ConsPlusNormal"/>
        <w:jc w:val="both"/>
      </w:pPr>
      <w:r>
        <w:t xml:space="preserve">(в ред. </w:t>
      </w:r>
      <w:hyperlink r:id="rId611">
        <w:r>
          <w:rPr>
            <w:color w:val="0000FF"/>
          </w:rPr>
          <w:t>Изменения N 3</w:t>
        </w:r>
      </w:hyperlink>
      <w:r>
        <w:t>, утв. Приказом Минстроя России от 22.11.2019 N 722/пр)</w:t>
      </w:r>
    </w:p>
    <w:p w:rsidR="00E35632" w:rsidRDefault="00E35632">
      <w:pPr>
        <w:pStyle w:val="ConsPlusNormal"/>
        <w:spacing w:before="220"/>
        <w:ind w:firstLine="540"/>
        <w:jc w:val="both"/>
      </w:pPr>
      <w:r>
        <w:t xml:space="preserve">В этих расчетах силу предельного сопротивления основания </w:t>
      </w:r>
      <w:r>
        <w:rPr>
          <w:i/>
        </w:rPr>
        <w:t>N</w:t>
      </w:r>
      <w:r>
        <w:rPr>
          <w:i/>
          <w:vertAlign w:val="subscript"/>
        </w:rPr>
        <w:t>u</w:t>
      </w:r>
      <w:r>
        <w:t>, кН/м, при действии вертикальной нагрузки для ленточного фундамента допускается вычислять по формуле</w:t>
      </w:r>
    </w:p>
    <w:p w:rsidR="00E35632" w:rsidRDefault="00E35632">
      <w:pPr>
        <w:pStyle w:val="ConsPlusNormal"/>
        <w:jc w:val="both"/>
      </w:pPr>
    </w:p>
    <w:p w:rsidR="00E35632" w:rsidRDefault="00E35632">
      <w:pPr>
        <w:pStyle w:val="ConsPlusNormal"/>
        <w:jc w:val="center"/>
      </w:pPr>
      <w:r>
        <w:rPr>
          <w:i/>
        </w:rPr>
        <w:t>N</w:t>
      </w:r>
      <w:r>
        <w:rPr>
          <w:i/>
          <w:vertAlign w:val="subscript"/>
        </w:rPr>
        <w:t>u</w:t>
      </w:r>
      <w:r>
        <w:t xml:space="preserve"> = </w:t>
      </w:r>
      <w:r>
        <w:rPr>
          <w:i/>
        </w:rPr>
        <w:t>b</w:t>
      </w:r>
      <w:r>
        <w:t>'(</w:t>
      </w:r>
      <w:r>
        <w:rPr>
          <w:i/>
        </w:rPr>
        <w:t>q</w:t>
      </w:r>
      <w:r>
        <w:t xml:space="preserve"> + 5,14</w:t>
      </w:r>
      <w:r>
        <w:rPr>
          <w:i/>
        </w:rPr>
        <w:t>c</w:t>
      </w:r>
      <w:r>
        <w:rPr>
          <w:vertAlign w:val="subscript"/>
        </w:rPr>
        <w:t>I</w:t>
      </w:r>
      <w:r>
        <w:t>), (6.20)</w:t>
      </w:r>
    </w:p>
    <w:p w:rsidR="00E35632" w:rsidRDefault="00E35632">
      <w:pPr>
        <w:pStyle w:val="ConsPlusNormal"/>
        <w:jc w:val="both"/>
      </w:pPr>
    </w:p>
    <w:p w:rsidR="00E35632" w:rsidRDefault="00E35632">
      <w:pPr>
        <w:pStyle w:val="ConsPlusNormal"/>
        <w:ind w:firstLine="540"/>
        <w:jc w:val="both"/>
      </w:pPr>
      <w:r>
        <w:t xml:space="preserve">где </w:t>
      </w:r>
      <w:r>
        <w:rPr>
          <w:i/>
        </w:rPr>
        <w:t>b</w:t>
      </w:r>
      <w:r>
        <w:t xml:space="preserve">' - то же, что и в </w:t>
      </w:r>
      <w:hyperlink w:anchor="P1833">
        <w:r>
          <w:rPr>
            <w:color w:val="0000FF"/>
          </w:rPr>
          <w:t>формуле (5.27)</w:t>
        </w:r>
      </w:hyperlink>
      <w:r>
        <w:t>;</w:t>
      </w:r>
    </w:p>
    <w:p w:rsidR="00E35632" w:rsidRDefault="00E35632">
      <w:pPr>
        <w:pStyle w:val="ConsPlusNormal"/>
        <w:spacing w:before="220"/>
        <w:ind w:firstLine="540"/>
        <w:jc w:val="both"/>
      </w:pPr>
      <w:r>
        <w:rPr>
          <w:i/>
        </w:rPr>
        <w:t>q</w:t>
      </w:r>
      <w:r>
        <w:t xml:space="preserve"> - пригрузка, кПа;</w:t>
      </w:r>
    </w:p>
    <w:p w:rsidR="00E35632" w:rsidRDefault="00E35632">
      <w:pPr>
        <w:pStyle w:val="ConsPlusNormal"/>
        <w:spacing w:before="220"/>
        <w:ind w:firstLine="540"/>
        <w:jc w:val="both"/>
      </w:pPr>
      <w:r>
        <w:rPr>
          <w:i/>
        </w:rPr>
        <w:t>c</w:t>
      </w:r>
      <w:r>
        <w:rPr>
          <w:vertAlign w:val="subscript"/>
        </w:rPr>
        <w:t>I</w:t>
      </w:r>
      <w:r>
        <w:t xml:space="preserve"> - расчетное значение удельного сцепления грунта, кПа, равное </w:t>
      </w:r>
      <w:r>
        <w:rPr>
          <w:i/>
        </w:rPr>
        <w:t>c</w:t>
      </w:r>
      <w:r>
        <w:rPr>
          <w:i/>
          <w:vertAlign w:val="subscript"/>
        </w:rPr>
        <w:t>u</w:t>
      </w:r>
      <w:r>
        <w:t>.</w:t>
      </w:r>
    </w:p>
    <w:p w:rsidR="00E35632" w:rsidRDefault="00E35632">
      <w:pPr>
        <w:pStyle w:val="ConsPlusNormal"/>
        <w:spacing w:before="220"/>
        <w:ind w:firstLine="540"/>
        <w:jc w:val="both"/>
      </w:pPr>
      <w:r>
        <w:t>6.4.17 При намыве на дно водоема, сложенного органоминеральными и органическими грунтами, песчаного слоя его толщину следует определять необходимыми планировочными отметками с расчетом несущей способности основания и с учетом возможности возникновения нестабилизированного состояния.</w:t>
      </w:r>
    </w:p>
    <w:p w:rsidR="00E35632" w:rsidRDefault="00E35632">
      <w:pPr>
        <w:pStyle w:val="ConsPlusNormal"/>
        <w:spacing w:before="220"/>
        <w:ind w:firstLine="540"/>
        <w:jc w:val="both"/>
      </w:pPr>
      <w:r>
        <w:t xml:space="preserve">6.4.18 При расчете по деформациям оснований, включающих водонасыщенные органоминеральные и органические грунты, расчетное сопротивление грунта основания </w:t>
      </w:r>
      <w:r>
        <w:rPr>
          <w:i/>
        </w:rPr>
        <w:t>R</w:t>
      </w:r>
      <w:r>
        <w:t xml:space="preserve"> вычисляют по </w:t>
      </w:r>
      <w:hyperlink w:anchor="P851">
        <w:r>
          <w:rPr>
            <w:color w:val="0000FF"/>
          </w:rPr>
          <w:t>формуле (5.7)</w:t>
        </w:r>
      </w:hyperlink>
      <w:r>
        <w:t xml:space="preserve">. При этом коэффициент условий работы грунтового основания </w:t>
      </w:r>
      <w:r>
        <w:rPr>
          <w:noProof/>
          <w:position w:val="-8"/>
        </w:rPr>
        <w:drawing>
          <wp:inline distT="0" distB="0" distL="0" distR="0">
            <wp:extent cx="209550" cy="251460"/>
            <wp:effectExtent l="0" t="0" r="0" b="0"/>
            <wp:docPr id="3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принимают по таблице 6.5.</w:t>
      </w:r>
    </w:p>
    <w:p w:rsidR="00E35632" w:rsidRDefault="00E35632">
      <w:pPr>
        <w:pStyle w:val="ConsPlusNormal"/>
        <w:jc w:val="both"/>
      </w:pPr>
    </w:p>
    <w:p w:rsidR="00E35632" w:rsidRDefault="00E35632">
      <w:pPr>
        <w:pStyle w:val="ConsPlusNormal"/>
        <w:jc w:val="right"/>
      </w:pPr>
      <w:r>
        <w:t>Таблица 6.5</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820"/>
        <w:gridCol w:w="3262"/>
      </w:tblGrid>
      <w:tr w:rsidR="00E35632">
        <w:tc>
          <w:tcPr>
            <w:tcW w:w="5820" w:type="dxa"/>
            <w:tcBorders>
              <w:top w:val="single" w:sz="4" w:space="0" w:color="auto"/>
              <w:bottom w:val="single" w:sz="4" w:space="0" w:color="auto"/>
            </w:tcBorders>
            <w:vAlign w:val="center"/>
          </w:tcPr>
          <w:p w:rsidR="00E35632" w:rsidRDefault="00E35632">
            <w:pPr>
              <w:pStyle w:val="ConsPlusNormal"/>
              <w:jc w:val="center"/>
            </w:pPr>
            <w:r>
              <w:t xml:space="preserve">Наименование грунтов и относительное содержание органического вещества, </w:t>
            </w:r>
            <w:r>
              <w:rPr>
                <w:i/>
              </w:rPr>
              <w:t>I</w:t>
            </w:r>
            <w:r>
              <w:rPr>
                <w:i/>
                <w:vertAlign w:val="subscript"/>
              </w:rPr>
              <w:t>r</w:t>
            </w:r>
          </w:p>
        </w:tc>
        <w:tc>
          <w:tcPr>
            <w:tcW w:w="3262" w:type="dxa"/>
            <w:tcBorders>
              <w:top w:val="single" w:sz="4" w:space="0" w:color="auto"/>
              <w:bottom w:val="single" w:sz="4" w:space="0" w:color="auto"/>
            </w:tcBorders>
            <w:vAlign w:val="center"/>
          </w:tcPr>
          <w:p w:rsidR="00E35632" w:rsidRDefault="00E35632">
            <w:pPr>
              <w:pStyle w:val="ConsPlusNormal"/>
              <w:jc w:val="center"/>
            </w:pPr>
            <w:r>
              <w:t>Коэффициент условий работы грунтового основания, </w:t>
            </w:r>
            <w:r>
              <w:rPr>
                <w:noProof/>
                <w:position w:val="-8"/>
              </w:rPr>
              <w:drawing>
                <wp:inline distT="0" distB="0" distL="0" distR="0">
                  <wp:extent cx="209550" cy="251460"/>
                  <wp:effectExtent l="0" t="0" r="0" b="0"/>
                  <wp:docPr id="3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p>
        </w:tc>
      </w:tr>
      <w:tr w:rsidR="00E35632">
        <w:tblPrEx>
          <w:tblBorders>
            <w:insideH w:val="none" w:sz="0" w:space="0" w:color="auto"/>
          </w:tblBorders>
        </w:tblPrEx>
        <w:tc>
          <w:tcPr>
            <w:tcW w:w="5820" w:type="dxa"/>
            <w:tcBorders>
              <w:top w:val="single" w:sz="4" w:space="0" w:color="auto"/>
              <w:bottom w:val="nil"/>
            </w:tcBorders>
          </w:tcPr>
          <w:p w:rsidR="00E35632" w:rsidRDefault="00E35632">
            <w:pPr>
              <w:pStyle w:val="ConsPlusNormal"/>
            </w:pPr>
            <w:r>
              <w:t>Пески мелкие водонасыщенные:</w:t>
            </w:r>
          </w:p>
          <w:p w:rsidR="00E35632" w:rsidRDefault="00E35632">
            <w:pPr>
              <w:pStyle w:val="ConsPlusNormal"/>
            </w:pPr>
            <w:r>
              <w:t xml:space="preserve">0,03 &lt; </w:t>
            </w:r>
            <w:r>
              <w:rPr>
                <w:i/>
              </w:rPr>
              <w:t>I</w:t>
            </w:r>
            <w:r>
              <w:rPr>
                <w:i/>
                <w:vertAlign w:val="subscript"/>
              </w:rPr>
              <w:t>r</w:t>
            </w:r>
            <w:r>
              <w:t xml:space="preserve"> &lt;= 0,25</w:t>
            </w:r>
          </w:p>
        </w:tc>
        <w:tc>
          <w:tcPr>
            <w:tcW w:w="3262" w:type="dxa"/>
            <w:tcBorders>
              <w:top w:val="single" w:sz="4" w:space="0" w:color="auto"/>
              <w:bottom w:val="nil"/>
            </w:tcBorders>
            <w:vAlign w:val="bottom"/>
          </w:tcPr>
          <w:p w:rsidR="00E35632" w:rsidRDefault="00E35632">
            <w:pPr>
              <w:pStyle w:val="ConsPlusNormal"/>
              <w:jc w:val="center"/>
            </w:pPr>
            <w:r>
              <w:t>0,85</w:t>
            </w:r>
          </w:p>
        </w:tc>
      </w:tr>
      <w:tr w:rsidR="00E35632">
        <w:tblPrEx>
          <w:tblBorders>
            <w:insideH w:val="none" w:sz="0" w:space="0" w:color="auto"/>
          </w:tblBorders>
        </w:tblPrEx>
        <w:tc>
          <w:tcPr>
            <w:tcW w:w="5820" w:type="dxa"/>
            <w:tcBorders>
              <w:top w:val="nil"/>
              <w:bottom w:val="nil"/>
            </w:tcBorders>
          </w:tcPr>
          <w:p w:rsidR="00E35632" w:rsidRDefault="00E35632">
            <w:pPr>
              <w:pStyle w:val="ConsPlusNormal"/>
            </w:pPr>
            <w:r>
              <w:t xml:space="preserve">0,25 &lt; </w:t>
            </w:r>
            <w:r>
              <w:rPr>
                <w:i/>
              </w:rPr>
              <w:t>I</w:t>
            </w:r>
            <w:r>
              <w:rPr>
                <w:i/>
                <w:vertAlign w:val="subscript"/>
              </w:rPr>
              <w:t>r</w:t>
            </w:r>
            <w:r>
              <w:t xml:space="preserve"> &lt;= 0,4</w:t>
            </w:r>
          </w:p>
        </w:tc>
        <w:tc>
          <w:tcPr>
            <w:tcW w:w="3262" w:type="dxa"/>
            <w:tcBorders>
              <w:top w:val="nil"/>
              <w:bottom w:val="nil"/>
            </w:tcBorders>
          </w:tcPr>
          <w:p w:rsidR="00E35632" w:rsidRDefault="00E35632">
            <w:pPr>
              <w:pStyle w:val="ConsPlusNormal"/>
              <w:jc w:val="center"/>
            </w:pPr>
            <w:r>
              <w:t>0,80</w:t>
            </w:r>
          </w:p>
        </w:tc>
      </w:tr>
      <w:tr w:rsidR="00E35632">
        <w:tblPrEx>
          <w:tblBorders>
            <w:insideH w:val="none" w:sz="0" w:space="0" w:color="auto"/>
          </w:tblBorders>
        </w:tblPrEx>
        <w:tc>
          <w:tcPr>
            <w:tcW w:w="5820" w:type="dxa"/>
            <w:tcBorders>
              <w:top w:val="nil"/>
              <w:bottom w:val="nil"/>
            </w:tcBorders>
          </w:tcPr>
          <w:p w:rsidR="00E35632" w:rsidRDefault="00E35632">
            <w:pPr>
              <w:pStyle w:val="ConsPlusNormal"/>
            </w:pPr>
            <w:r>
              <w:t>Пески пылеватые водонасыщенные:</w:t>
            </w:r>
          </w:p>
        </w:tc>
        <w:tc>
          <w:tcPr>
            <w:tcW w:w="3262" w:type="dxa"/>
            <w:tcBorders>
              <w:top w:val="nil"/>
              <w:bottom w:val="nil"/>
            </w:tcBorders>
          </w:tcPr>
          <w:p w:rsidR="00E35632" w:rsidRDefault="00E35632">
            <w:pPr>
              <w:pStyle w:val="ConsPlusNormal"/>
            </w:pPr>
          </w:p>
        </w:tc>
      </w:tr>
      <w:tr w:rsidR="00E35632">
        <w:tblPrEx>
          <w:tblBorders>
            <w:insideH w:val="none" w:sz="0" w:space="0" w:color="auto"/>
          </w:tblBorders>
        </w:tblPrEx>
        <w:tc>
          <w:tcPr>
            <w:tcW w:w="5820" w:type="dxa"/>
            <w:tcBorders>
              <w:top w:val="nil"/>
              <w:bottom w:val="nil"/>
            </w:tcBorders>
          </w:tcPr>
          <w:p w:rsidR="00E35632" w:rsidRDefault="00E35632">
            <w:pPr>
              <w:pStyle w:val="ConsPlusNormal"/>
            </w:pPr>
            <w:r>
              <w:t xml:space="preserve">0,03 &lt; </w:t>
            </w:r>
            <w:r>
              <w:rPr>
                <w:i/>
              </w:rPr>
              <w:t>I</w:t>
            </w:r>
            <w:r>
              <w:rPr>
                <w:i/>
                <w:vertAlign w:val="subscript"/>
              </w:rPr>
              <w:t>r</w:t>
            </w:r>
            <w:r>
              <w:t xml:space="preserve"> &lt;= 0,25</w:t>
            </w:r>
          </w:p>
        </w:tc>
        <w:tc>
          <w:tcPr>
            <w:tcW w:w="3262" w:type="dxa"/>
            <w:tcBorders>
              <w:top w:val="nil"/>
              <w:bottom w:val="nil"/>
            </w:tcBorders>
          </w:tcPr>
          <w:p w:rsidR="00E35632" w:rsidRDefault="00E35632">
            <w:pPr>
              <w:pStyle w:val="ConsPlusNormal"/>
              <w:jc w:val="center"/>
            </w:pPr>
            <w:r>
              <w:t>0,75</w:t>
            </w:r>
          </w:p>
        </w:tc>
      </w:tr>
      <w:tr w:rsidR="00E35632">
        <w:tblPrEx>
          <w:tblBorders>
            <w:insideH w:val="none" w:sz="0" w:space="0" w:color="auto"/>
          </w:tblBorders>
        </w:tblPrEx>
        <w:tc>
          <w:tcPr>
            <w:tcW w:w="5820" w:type="dxa"/>
            <w:tcBorders>
              <w:top w:val="nil"/>
              <w:bottom w:val="nil"/>
            </w:tcBorders>
          </w:tcPr>
          <w:p w:rsidR="00E35632" w:rsidRDefault="00E35632">
            <w:pPr>
              <w:pStyle w:val="ConsPlusNormal"/>
            </w:pPr>
            <w:r>
              <w:t xml:space="preserve">0,25 &lt; </w:t>
            </w:r>
            <w:r>
              <w:rPr>
                <w:i/>
              </w:rPr>
              <w:t>I</w:t>
            </w:r>
            <w:r>
              <w:rPr>
                <w:i/>
                <w:vertAlign w:val="subscript"/>
              </w:rPr>
              <w:t>r</w:t>
            </w:r>
            <w:r>
              <w:t xml:space="preserve"> &lt;= 0,4</w:t>
            </w:r>
          </w:p>
        </w:tc>
        <w:tc>
          <w:tcPr>
            <w:tcW w:w="3262" w:type="dxa"/>
            <w:tcBorders>
              <w:top w:val="nil"/>
              <w:bottom w:val="nil"/>
            </w:tcBorders>
          </w:tcPr>
          <w:p w:rsidR="00E35632" w:rsidRDefault="00E35632">
            <w:pPr>
              <w:pStyle w:val="ConsPlusNormal"/>
              <w:jc w:val="center"/>
            </w:pPr>
            <w:r>
              <w:t>0,70</w:t>
            </w:r>
          </w:p>
        </w:tc>
      </w:tr>
      <w:tr w:rsidR="00E35632">
        <w:tblPrEx>
          <w:tblBorders>
            <w:insideH w:val="none" w:sz="0" w:space="0" w:color="auto"/>
          </w:tblBorders>
        </w:tblPrEx>
        <w:tc>
          <w:tcPr>
            <w:tcW w:w="5820" w:type="dxa"/>
            <w:tcBorders>
              <w:top w:val="nil"/>
              <w:bottom w:val="nil"/>
            </w:tcBorders>
          </w:tcPr>
          <w:p w:rsidR="00E35632" w:rsidRDefault="00E35632">
            <w:pPr>
              <w:pStyle w:val="ConsPlusNormal"/>
            </w:pPr>
            <w:r>
              <w:t>Глинистые грунты водонасыщенные</w:t>
            </w:r>
          </w:p>
        </w:tc>
        <w:tc>
          <w:tcPr>
            <w:tcW w:w="3262" w:type="dxa"/>
            <w:tcBorders>
              <w:top w:val="nil"/>
              <w:bottom w:val="nil"/>
            </w:tcBorders>
          </w:tcPr>
          <w:p w:rsidR="00E35632" w:rsidRDefault="00E35632">
            <w:pPr>
              <w:pStyle w:val="ConsPlusNormal"/>
            </w:pPr>
          </w:p>
        </w:tc>
      </w:tr>
      <w:tr w:rsidR="00E35632">
        <w:tblPrEx>
          <w:tblBorders>
            <w:insideH w:val="none" w:sz="0" w:space="0" w:color="auto"/>
          </w:tblBorders>
        </w:tblPrEx>
        <w:tc>
          <w:tcPr>
            <w:tcW w:w="5820" w:type="dxa"/>
            <w:tcBorders>
              <w:top w:val="nil"/>
              <w:bottom w:val="nil"/>
            </w:tcBorders>
          </w:tcPr>
          <w:p w:rsidR="00E35632" w:rsidRDefault="00E35632">
            <w:pPr>
              <w:pStyle w:val="ConsPlusNormal"/>
            </w:pPr>
            <w:r>
              <w:lastRenderedPageBreak/>
              <w:t xml:space="preserve">0,05 &lt; </w:t>
            </w:r>
            <w:r>
              <w:rPr>
                <w:i/>
              </w:rPr>
              <w:t>I</w:t>
            </w:r>
            <w:r>
              <w:rPr>
                <w:i/>
                <w:vertAlign w:val="subscript"/>
              </w:rPr>
              <w:t>r</w:t>
            </w:r>
            <w:r>
              <w:t xml:space="preserve"> &lt;= 0,25 при показателе текучести:</w:t>
            </w:r>
          </w:p>
        </w:tc>
        <w:tc>
          <w:tcPr>
            <w:tcW w:w="3262" w:type="dxa"/>
            <w:tcBorders>
              <w:top w:val="nil"/>
              <w:bottom w:val="nil"/>
            </w:tcBorders>
          </w:tcPr>
          <w:p w:rsidR="00E35632" w:rsidRDefault="00E35632">
            <w:pPr>
              <w:pStyle w:val="ConsPlusNormal"/>
            </w:pPr>
          </w:p>
        </w:tc>
      </w:tr>
      <w:tr w:rsidR="00E35632">
        <w:tblPrEx>
          <w:tblBorders>
            <w:insideH w:val="none" w:sz="0" w:space="0" w:color="auto"/>
          </w:tblBorders>
        </w:tblPrEx>
        <w:tc>
          <w:tcPr>
            <w:tcW w:w="5820" w:type="dxa"/>
            <w:tcBorders>
              <w:top w:val="nil"/>
              <w:bottom w:val="nil"/>
            </w:tcBorders>
          </w:tcPr>
          <w:p w:rsidR="00E35632" w:rsidRDefault="00E35632">
            <w:pPr>
              <w:pStyle w:val="ConsPlusNormal"/>
            </w:pPr>
            <w:r>
              <w:rPr>
                <w:i/>
              </w:rPr>
              <w:t>I</w:t>
            </w:r>
            <w:r>
              <w:rPr>
                <w:i/>
                <w:vertAlign w:val="subscript"/>
              </w:rPr>
              <w:t>L</w:t>
            </w:r>
            <w:r>
              <w:t xml:space="preserve"> &lt;= 0,5</w:t>
            </w:r>
          </w:p>
        </w:tc>
        <w:tc>
          <w:tcPr>
            <w:tcW w:w="3262" w:type="dxa"/>
            <w:tcBorders>
              <w:top w:val="nil"/>
              <w:bottom w:val="nil"/>
            </w:tcBorders>
          </w:tcPr>
          <w:p w:rsidR="00E35632" w:rsidRDefault="00E35632">
            <w:pPr>
              <w:pStyle w:val="ConsPlusNormal"/>
              <w:jc w:val="center"/>
            </w:pPr>
            <w:r>
              <w:t>1,05</w:t>
            </w:r>
          </w:p>
        </w:tc>
      </w:tr>
      <w:tr w:rsidR="00E35632">
        <w:tblPrEx>
          <w:tblBorders>
            <w:insideH w:val="none" w:sz="0" w:space="0" w:color="auto"/>
          </w:tblBorders>
        </w:tblPrEx>
        <w:tc>
          <w:tcPr>
            <w:tcW w:w="5820" w:type="dxa"/>
            <w:tcBorders>
              <w:top w:val="nil"/>
              <w:bottom w:val="nil"/>
            </w:tcBorders>
          </w:tcPr>
          <w:p w:rsidR="00E35632" w:rsidRDefault="00E35632">
            <w:pPr>
              <w:pStyle w:val="ConsPlusNormal"/>
            </w:pPr>
            <w:r>
              <w:rPr>
                <w:i/>
              </w:rPr>
              <w:t>I</w:t>
            </w:r>
            <w:r>
              <w:rPr>
                <w:i/>
                <w:vertAlign w:val="subscript"/>
              </w:rPr>
              <w:t>L</w:t>
            </w:r>
            <w:r>
              <w:t xml:space="preserve"> &gt; 0,5</w:t>
            </w:r>
          </w:p>
        </w:tc>
        <w:tc>
          <w:tcPr>
            <w:tcW w:w="3262" w:type="dxa"/>
            <w:tcBorders>
              <w:top w:val="nil"/>
              <w:bottom w:val="nil"/>
            </w:tcBorders>
          </w:tcPr>
          <w:p w:rsidR="00E35632" w:rsidRDefault="00E35632">
            <w:pPr>
              <w:pStyle w:val="ConsPlusNormal"/>
              <w:jc w:val="center"/>
            </w:pPr>
            <w:r>
              <w:t>1,00</w:t>
            </w:r>
          </w:p>
        </w:tc>
      </w:tr>
      <w:tr w:rsidR="00E35632">
        <w:tblPrEx>
          <w:tblBorders>
            <w:insideH w:val="none" w:sz="0" w:space="0" w:color="auto"/>
          </w:tblBorders>
        </w:tblPrEx>
        <w:tc>
          <w:tcPr>
            <w:tcW w:w="5820" w:type="dxa"/>
            <w:tcBorders>
              <w:top w:val="nil"/>
              <w:bottom w:val="nil"/>
            </w:tcBorders>
          </w:tcPr>
          <w:p w:rsidR="00E35632" w:rsidRDefault="00E35632">
            <w:pPr>
              <w:pStyle w:val="ConsPlusNormal"/>
            </w:pPr>
            <w:r>
              <w:t>Глинистые грунты водонасыщенные</w:t>
            </w:r>
          </w:p>
        </w:tc>
        <w:tc>
          <w:tcPr>
            <w:tcW w:w="3262" w:type="dxa"/>
            <w:tcBorders>
              <w:top w:val="nil"/>
              <w:bottom w:val="nil"/>
            </w:tcBorders>
          </w:tcPr>
          <w:p w:rsidR="00E35632" w:rsidRDefault="00E35632">
            <w:pPr>
              <w:pStyle w:val="ConsPlusNormal"/>
            </w:pPr>
          </w:p>
        </w:tc>
      </w:tr>
      <w:tr w:rsidR="00E35632">
        <w:tblPrEx>
          <w:tblBorders>
            <w:insideH w:val="none" w:sz="0" w:space="0" w:color="auto"/>
          </w:tblBorders>
        </w:tblPrEx>
        <w:tc>
          <w:tcPr>
            <w:tcW w:w="5820" w:type="dxa"/>
            <w:tcBorders>
              <w:top w:val="nil"/>
              <w:bottom w:val="nil"/>
            </w:tcBorders>
          </w:tcPr>
          <w:p w:rsidR="00E35632" w:rsidRDefault="00E35632">
            <w:pPr>
              <w:pStyle w:val="ConsPlusNormal"/>
            </w:pPr>
            <w:r>
              <w:t xml:space="preserve">0,25 &lt; </w:t>
            </w:r>
            <w:r>
              <w:rPr>
                <w:i/>
              </w:rPr>
              <w:t>I</w:t>
            </w:r>
            <w:r>
              <w:rPr>
                <w:i/>
                <w:vertAlign w:val="subscript"/>
              </w:rPr>
              <w:t>r</w:t>
            </w:r>
            <w:r>
              <w:t xml:space="preserve"> &lt; 0,40 при показателе текучести:</w:t>
            </w:r>
          </w:p>
        </w:tc>
        <w:tc>
          <w:tcPr>
            <w:tcW w:w="3262" w:type="dxa"/>
            <w:tcBorders>
              <w:top w:val="nil"/>
              <w:bottom w:val="nil"/>
            </w:tcBorders>
          </w:tcPr>
          <w:p w:rsidR="00E35632" w:rsidRDefault="00E35632">
            <w:pPr>
              <w:pStyle w:val="ConsPlusNormal"/>
            </w:pPr>
          </w:p>
        </w:tc>
      </w:tr>
      <w:tr w:rsidR="00E35632">
        <w:tblPrEx>
          <w:tblBorders>
            <w:insideH w:val="none" w:sz="0" w:space="0" w:color="auto"/>
          </w:tblBorders>
        </w:tblPrEx>
        <w:tc>
          <w:tcPr>
            <w:tcW w:w="5820" w:type="dxa"/>
            <w:tcBorders>
              <w:top w:val="nil"/>
              <w:bottom w:val="nil"/>
            </w:tcBorders>
          </w:tcPr>
          <w:p w:rsidR="00E35632" w:rsidRDefault="00E35632">
            <w:pPr>
              <w:pStyle w:val="ConsPlusNormal"/>
            </w:pPr>
            <w:r>
              <w:rPr>
                <w:i/>
              </w:rPr>
              <w:t>I</w:t>
            </w:r>
            <w:r>
              <w:rPr>
                <w:i/>
                <w:vertAlign w:val="subscript"/>
              </w:rPr>
              <w:t>L</w:t>
            </w:r>
            <w:r>
              <w:t xml:space="preserve"> &lt;= 0,5</w:t>
            </w:r>
          </w:p>
        </w:tc>
        <w:tc>
          <w:tcPr>
            <w:tcW w:w="3262" w:type="dxa"/>
            <w:tcBorders>
              <w:top w:val="nil"/>
              <w:bottom w:val="nil"/>
            </w:tcBorders>
          </w:tcPr>
          <w:p w:rsidR="00E35632" w:rsidRDefault="00E35632">
            <w:pPr>
              <w:pStyle w:val="ConsPlusNormal"/>
              <w:jc w:val="center"/>
            </w:pPr>
            <w:r>
              <w:t>0,90</w:t>
            </w:r>
          </w:p>
        </w:tc>
      </w:tr>
      <w:tr w:rsidR="00E35632">
        <w:tblPrEx>
          <w:tblBorders>
            <w:insideH w:val="none" w:sz="0" w:space="0" w:color="auto"/>
          </w:tblBorders>
        </w:tblPrEx>
        <w:tc>
          <w:tcPr>
            <w:tcW w:w="5820" w:type="dxa"/>
            <w:tcBorders>
              <w:top w:val="nil"/>
              <w:bottom w:val="single" w:sz="4" w:space="0" w:color="auto"/>
            </w:tcBorders>
          </w:tcPr>
          <w:p w:rsidR="00E35632" w:rsidRDefault="00E35632">
            <w:pPr>
              <w:pStyle w:val="ConsPlusNormal"/>
            </w:pPr>
            <w:r>
              <w:rPr>
                <w:i/>
              </w:rPr>
              <w:t>I</w:t>
            </w:r>
            <w:r>
              <w:rPr>
                <w:i/>
                <w:vertAlign w:val="subscript"/>
              </w:rPr>
              <w:t>L</w:t>
            </w:r>
            <w:r>
              <w:t xml:space="preserve"> &gt; 0,5</w:t>
            </w:r>
          </w:p>
        </w:tc>
        <w:tc>
          <w:tcPr>
            <w:tcW w:w="3262" w:type="dxa"/>
            <w:tcBorders>
              <w:top w:val="nil"/>
              <w:bottom w:val="single" w:sz="4" w:space="0" w:color="auto"/>
            </w:tcBorders>
          </w:tcPr>
          <w:p w:rsidR="00E35632" w:rsidRDefault="00E35632">
            <w:pPr>
              <w:pStyle w:val="ConsPlusNormal"/>
              <w:jc w:val="center"/>
            </w:pPr>
            <w:r>
              <w:t>0,80</w:t>
            </w:r>
          </w:p>
        </w:tc>
      </w:tr>
    </w:tbl>
    <w:p w:rsidR="00E35632" w:rsidRDefault="00E35632">
      <w:pPr>
        <w:pStyle w:val="ConsPlusNormal"/>
        <w:jc w:val="both"/>
      </w:pPr>
    </w:p>
    <w:p w:rsidR="00E35632" w:rsidRDefault="00E35632">
      <w:pPr>
        <w:pStyle w:val="ConsPlusNormal"/>
        <w:ind w:firstLine="540"/>
        <w:jc w:val="both"/>
      </w:pPr>
      <w:bookmarkStart w:id="167" w:name="P2970"/>
      <w:bookmarkEnd w:id="167"/>
      <w:r>
        <w:t xml:space="preserve">6.4.19 Для предварительного определения размеров фундаментов сооружений геотехнических категорий 2 и 3 на заторфованных песках и окончательного для сооружений геотехнической категории 1 допускается принимать расчетные сопротивления </w:t>
      </w:r>
      <w:r>
        <w:rPr>
          <w:i/>
        </w:rPr>
        <w:t>R</w:t>
      </w:r>
      <w:r>
        <w:rPr>
          <w:vertAlign w:val="subscript"/>
        </w:rPr>
        <w:t>0</w:t>
      </w:r>
      <w:r>
        <w:t xml:space="preserve"> по </w:t>
      </w:r>
      <w:hyperlink w:anchor="P6284">
        <w:r>
          <w:rPr>
            <w:color w:val="0000FF"/>
          </w:rPr>
          <w:t>таблице Б.5</w:t>
        </w:r>
      </w:hyperlink>
      <w:r>
        <w:t xml:space="preserve"> приложения Б.</w:t>
      </w:r>
    </w:p>
    <w:p w:rsidR="00E35632" w:rsidRDefault="00E35632">
      <w:pPr>
        <w:pStyle w:val="ConsPlusNormal"/>
        <w:spacing w:before="220"/>
        <w:ind w:firstLine="540"/>
        <w:jc w:val="both"/>
      </w:pPr>
      <w:r>
        <w:t xml:space="preserve">6.4.20 Расчетную схему для определения конечных осадок фундаментов на основании, включающем водонасыщенные органоминеральные и органические грунты, принимают по </w:t>
      </w:r>
      <w:hyperlink w:anchor="P375">
        <w:r>
          <w:rPr>
            <w:color w:val="0000FF"/>
          </w:rPr>
          <w:t>разделу 5</w:t>
        </w:r>
      </w:hyperlink>
      <w:r>
        <w:t>.</w:t>
      </w:r>
    </w:p>
    <w:p w:rsidR="00E35632" w:rsidRDefault="00E35632">
      <w:pPr>
        <w:pStyle w:val="ConsPlusNormal"/>
        <w:spacing w:before="220"/>
        <w:ind w:firstLine="540"/>
        <w:jc w:val="both"/>
      </w:pPr>
      <w:r>
        <w:t>Дополнительную осадку основания фундаментов за счет разложения (минерализации) органических включений допускается не учитывать, если в период срока службы сооружения уровень подземных вод не будет понижаться.</w:t>
      </w:r>
    </w:p>
    <w:p w:rsidR="00E35632" w:rsidRDefault="00E35632">
      <w:pPr>
        <w:pStyle w:val="ConsPlusNormal"/>
        <w:spacing w:before="220"/>
        <w:ind w:firstLine="540"/>
        <w:jc w:val="both"/>
      </w:pPr>
      <w:r>
        <w:t xml:space="preserve">Осадку слоя сильнозаторфованного грунта или торфа при намыве или отсыпке на него песчаного слоя определяют по </w:t>
      </w:r>
      <w:hyperlink w:anchor="P2992">
        <w:r>
          <w:rPr>
            <w:color w:val="0000FF"/>
          </w:rPr>
          <w:t>6.4.29</w:t>
        </w:r>
      </w:hyperlink>
      <w:r>
        <w:t xml:space="preserve"> и </w:t>
      </w:r>
      <w:hyperlink w:anchor="P3000">
        <w:r>
          <w:rPr>
            <w:color w:val="0000FF"/>
          </w:rPr>
          <w:t>6.4.30</w:t>
        </w:r>
      </w:hyperlink>
      <w:r>
        <w:t>.</w:t>
      </w:r>
    </w:p>
    <w:p w:rsidR="00E35632" w:rsidRDefault="00E35632">
      <w:pPr>
        <w:pStyle w:val="ConsPlusNormal"/>
        <w:spacing w:before="220"/>
        <w:ind w:firstLine="540"/>
        <w:jc w:val="both"/>
      </w:pPr>
      <w:r>
        <w:t xml:space="preserve">6.4.21 В расчете по деформациям основания, содержащего органоминеральные и органические грунты, нижнюю границу сжимаемой толщи принимают в соответствии с рекомендациями </w:t>
      </w:r>
      <w:hyperlink w:anchor="P1695">
        <w:r>
          <w:rPr>
            <w:color w:val="0000FF"/>
          </w:rPr>
          <w:t>5.6.41</w:t>
        </w:r>
      </w:hyperlink>
      <w:r>
        <w:t>.</w:t>
      </w:r>
    </w:p>
    <w:p w:rsidR="00E35632" w:rsidRDefault="00E35632">
      <w:pPr>
        <w:pStyle w:val="ConsPlusNormal"/>
        <w:spacing w:before="220"/>
        <w:ind w:firstLine="540"/>
        <w:jc w:val="both"/>
      </w:pPr>
      <w:r>
        <w:t>6.4.22 Опирание фундаментов непосредственно на поверхность органоминеральных и органических грунтов не допускается, если они представлены сильнозаторфованными грунтами и торфами, сапропелями и илами.</w:t>
      </w:r>
    </w:p>
    <w:p w:rsidR="00E35632" w:rsidRDefault="00E35632">
      <w:pPr>
        <w:pStyle w:val="ConsPlusNormal"/>
        <w:spacing w:before="220"/>
        <w:ind w:firstLine="540"/>
        <w:jc w:val="both"/>
      </w:pPr>
      <w:r>
        <w:t xml:space="preserve">Если непосредственно под подошвой фундамента залегает слой грунта с модулем деформации </w:t>
      </w:r>
      <w:r>
        <w:rPr>
          <w:i/>
        </w:rPr>
        <w:t>E</w:t>
      </w:r>
      <w:r>
        <w:t xml:space="preserve"> &lt; 5 МПа толщиной более ширины фундамента, то осадку основания фундаментов следует вычислять по </w:t>
      </w:r>
      <w:hyperlink w:anchor="P1300">
        <w:r>
          <w:rPr>
            <w:color w:val="0000FF"/>
          </w:rPr>
          <w:t>формуле (5.16)</w:t>
        </w:r>
      </w:hyperlink>
      <w:r>
        <w:t xml:space="preserve"> при </w:t>
      </w:r>
      <w:r>
        <w:rPr>
          <w:noProof/>
          <w:position w:val="-10"/>
        </w:rPr>
        <w:drawing>
          <wp:inline distT="0" distB="0" distL="0" distR="0">
            <wp:extent cx="586740" cy="267970"/>
            <wp:effectExtent l="0" t="0" r="0" b="0"/>
            <wp:docPr id="3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586740" cy="26797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6.4.23 При расчетных деформациях основания, сложенного органоминеральными и органическими грунтами, больше предельных или недостаточной несущей способности основания следует предусматривать специальные мероприятия. В зависимости от типа основания (см. </w:t>
      </w:r>
      <w:hyperlink w:anchor="P2907">
        <w:r>
          <w:rPr>
            <w:color w:val="0000FF"/>
          </w:rPr>
          <w:t>рисунок 6.9</w:t>
        </w:r>
      </w:hyperlink>
      <w:r>
        <w:t xml:space="preserve">), относительного содержания органического вещества </w:t>
      </w:r>
      <w:r>
        <w:rPr>
          <w:i/>
        </w:rPr>
        <w:t>I</w:t>
      </w:r>
      <w:r>
        <w:rPr>
          <w:i/>
          <w:vertAlign w:val="subscript"/>
        </w:rPr>
        <w:t>r</w:t>
      </w:r>
      <w:r>
        <w:rPr>
          <w:i/>
        </w:rPr>
        <w:t>,</w:t>
      </w:r>
      <w:r>
        <w:t xml:space="preserve"> глубины залегания и толщины органоминеральных и органических грунтов, а также конструктивных особенностей проектируемого сооружения и предъявляемых к нему эксплуатационных требований рекомендуются следующие варианты специальных мероприятий:</w:t>
      </w:r>
    </w:p>
    <w:p w:rsidR="00E35632" w:rsidRDefault="00E35632">
      <w:pPr>
        <w:pStyle w:val="ConsPlusNormal"/>
        <w:spacing w:before="220"/>
        <w:ind w:firstLine="540"/>
        <w:jc w:val="both"/>
      </w:pPr>
      <w:r>
        <w:t>- уплотнение основания временной или постоянной нагрузкой, в том числе с устройством вертикальных дрен и дренажных прорезей - для оснований типов I и II;</w:t>
      </w:r>
    </w:p>
    <w:p w:rsidR="00E35632" w:rsidRDefault="00E35632">
      <w:pPr>
        <w:pStyle w:val="ConsPlusNormal"/>
        <w:spacing w:before="220"/>
        <w:ind w:firstLine="540"/>
        <w:jc w:val="both"/>
      </w:pPr>
      <w:r>
        <w:t>- полная или частичная прорезка слоя органоминеральных и органических грунтов фундаментами, в том числе свайными, - для оснований типов II, IV и V;</w:t>
      </w:r>
    </w:p>
    <w:p w:rsidR="00E35632" w:rsidRDefault="00E35632">
      <w:pPr>
        <w:pStyle w:val="ConsPlusNormal"/>
        <w:spacing w:before="220"/>
        <w:ind w:firstLine="540"/>
        <w:jc w:val="both"/>
      </w:pPr>
      <w:r>
        <w:lastRenderedPageBreak/>
        <w:t>- выторфовка линз или слоев органоминерального и органического грунта с заменой его минеральным грунтом - для оснований типов II, IV и V;</w:t>
      </w:r>
    </w:p>
    <w:p w:rsidR="00E35632" w:rsidRDefault="00E35632">
      <w:pPr>
        <w:pStyle w:val="ConsPlusNormal"/>
        <w:spacing w:before="220"/>
        <w:ind w:firstLine="540"/>
        <w:jc w:val="both"/>
      </w:pPr>
      <w:r>
        <w:t>- устройство фундаментов (столбчатых, ленточных и т.п.) на песчаной, гравийной, щебеночной подушке или на предварительно уплотненной подсыпке из местного материала - для всех типов оснований;</w:t>
      </w:r>
    </w:p>
    <w:p w:rsidR="00E35632" w:rsidRDefault="00E35632">
      <w:pPr>
        <w:pStyle w:val="ConsPlusNormal"/>
        <w:spacing w:before="220"/>
        <w:ind w:firstLine="540"/>
        <w:jc w:val="both"/>
      </w:pPr>
      <w:r>
        <w:t>- устройство сооружений на плитных фундаментах, перекрестных монолитных или сборно-монолитных лентах и т.п. с конструктивными мероприятиями по повышению пространственной жесткости сооружения - для всех типов оснований.</w:t>
      </w:r>
    </w:p>
    <w:p w:rsidR="00E35632" w:rsidRDefault="00E35632">
      <w:pPr>
        <w:pStyle w:val="ConsPlusNormal"/>
        <w:spacing w:before="220"/>
        <w:ind w:firstLine="540"/>
        <w:jc w:val="both"/>
      </w:pPr>
      <w:r>
        <w:t>6.4.24 В отдельных случаях основание, содержащее органоминеральные и органические грунты, может быть использовано при соблюдении определенной скорости передачи нагрузки или при применении конструктивных мероприятий (введение поясов жесткости, разбивка здания на отдельные секции и т.п.).</w:t>
      </w:r>
    </w:p>
    <w:p w:rsidR="00E35632" w:rsidRDefault="00E35632">
      <w:pPr>
        <w:pStyle w:val="ConsPlusNormal"/>
        <w:spacing w:before="220"/>
        <w:ind w:firstLine="540"/>
        <w:jc w:val="both"/>
      </w:pPr>
      <w:r>
        <w:t>6.4.25 Песчаные подушки, устраиваемые под фундаментами с целью замены органоминеральных и органических грунтов, уменьшения давления на нижележащие слои, повышения, в случае необходимости, отметки подошвы фундаментов, ускорения процесса консолидации (уплотнения) нижележащих грунтов, устраивают из песков крупных и средней крупности. Допускается применение щебня, гравия, шлака или гравийно-песчаной смеси. Мелкие пески для устройства подушек не допускаются.</w:t>
      </w:r>
    </w:p>
    <w:p w:rsidR="00E35632" w:rsidRDefault="00E35632">
      <w:pPr>
        <w:pStyle w:val="ConsPlusNormal"/>
        <w:spacing w:before="220"/>
        <w:ind w:firstLine="540"/>
        <w:jc w:val="both"/>
      </w:pPr>
      <w:r>
        <w:t>Плотность сухого грунта в подушках из песка крупного и средней крупности должна составлять не менее 1,65 т/м</w:t>
      </w:r>
      <w:r>
        <w:rPr>
          <w:vertAlign w:val="superscript"/>
        </w:rPr>
        <w:t>3</w:t>
      </w:r>
      <w:r>
        <w:t>.</w:t>
      </w:r>
    </w:p>
    <w:p w:rsidR="00E35632" w:rsidRDefault="00E35632">
      <w:pPr>
        <w:pStyle w:val="ConsPlusNormal"/>
        <w:spacing w:before="220"/>
        <w:ind w:firstLine="540"/>
        <w:jc w:val="both"/>
      </w:pPr>
      <w:r>
        <w:t xml:space="preserve">При назначении прочностных характеристик уплотненного грунта в подушках следует учитывать требования </w:t>
      </w:r>
      <w:hyperlink w:anchor="P1121">
        <w:r>
          <w:rPr>
            <w:color w:val="0000FF"/>
          </w:rPr>
          <w:t>5.6.14</w:t>
        </w:r>
      </w:hyperlink>
      <w:r>
        <w:t>.</w:t>
      </w:r>
    </w:p>
    <w:p w:rsidR="00E35632" w:rsidRDefault="00E35632">
      <w:pPr>
        <w:pStyle w:val="ConsPlusNormal"/>
        <w:spacing w:before="220"/>
        <w:ind w:firstLine="540"/>
        <w:jc w:val="both"/>
      </w:pPr>
      <w:r>
        <w:t>6.4.26 Для намыва слоя грунта в качестве основания сооружения могут применяться супеси и пески любой крупности. Для ускорения консолидации намываемого слоя пылеватых песков или супесей необходимы предварительный намыв или укладка на маловодопроницаемое естественное основание, сложенное органоминеральными и органическими грунтами, дренирующего слоя, например, из песка средней крупности.</w:t>
      </w:r>
    </w:p>
    <w:p w:rsidR="00E35632" w:rsidRDefault="00E35632">
      <w:pPr>
        <w:pStyle w:val="ConsPlusNormal"/>
        <w:spacing w:before="220"/>
        <w:ind w:firstLine="540"/>
        <w:jc w:val="both"/>
      </w:pPr>
      <w:r>
        <w:t xml:space="preserve">6.4.27 Проектирование пригрузки следует проводить с учетом требований </w:t>
      </w:r>
      <w:hyperlink w:anchor="P2919">
        <w:r>
          <w:rPr>
            <w:color w:val="0000FF"/>
          </w:rPr>
          <w:t>6.4.12</w:t>
        </w:r>
      </w:hyperlink>
      <w:r>
        <w:t>. При этом должны быть установлены толщина и размеры в плане пригрузочного слоя и время, необходимые для достижения заданной степени консолидации основания, а также конечная осадка основания под пригрузкой.</w:t>
      </w:r>
    </w:p>
    <w:p w:rsidR="00E35632" w:rsidRDefault="00E35632">
      <w:pPr>
        <w:pStyle w:val="ConsPlusNormal"/>
        <w:spacing w:before="220"/>
        <w:ind w:firstLine="540"/>
        <w:jc w:val="both"/>
      </w:pPr>
      <w:r>
        <w:t>6.4.28 Конечную осадку и время консолидации слоя органоминерального и органического грунта при намыве или отсыпке на него песчаного слоя определяют без учета осадки подстилающего слоя, если его модуль деформации в 10 раз и более превышает модуль деформации органоминерального и органического грунтов.</w:t>
      </w:r>
    </w:p>
    <w:p w:rsidR="00E35632" w:rsidRDefault="00E35632">
      <w:pPr>
        <w:pStyle w:val="ConsPlusNormal"/>
        <w:spacing w:before="220"/>
        <w:ind w:firstLine="540"/>
        <w:jc w:val="both"/>
      </w:pPr>
      <w:r>
        <w:t>Для водонасыщенных органических и органоминеральных грунтов расчет протекания осадок во времени проводят на основе теории фильтрационной консолидации.</w:t>
      </w:r>
    </w:p>
    <w:p w:rsidR="00E35632" w:rsidRDefault="00E35632">
      <w:pPr>
        <w:pStyle w:val="ConsPlusNormal"/>
        <w:spacing w:before="220"/>
        <w:ind w:firstLine="540"/>
        <w:jc w:val="both"/>
      </w:pPr>
      <w:r>
        <w:t>Нагрузку от намыва или отсыпки и порядок ее учета в расчетах конечной осадки, а также время консолидации слоя органоминерального и органического грунта определяют в соответствии с принятым проектом организации работ.</w:t>
      </w:r>
    </w:p>
    <w:p w:rsidR="00E35632" w:rsidRDefault="00E35632">
      <w:pPr>
        <w:pStyle w:val="ConsPlusNormal"/>
        <w:spacing w:before="220"/>
        <w:ind w:firstLine="540"/>
        <w:jc w:val="both"/>
      </w:pPr>
      <w:bookmarkStart w:id="168" w:name="P2992"/>
      <w:bookmarkEnd w:id="168"/>
      <w:r>
        <w:t xml:space="preserve">6.4.29 Конечную осадку слоя органоминерального и органического грунта, залегающего непосредственно под толщей песчаной насыпи, в стабилизированном состоянии </w:t>
      </w:r>
      <w:r>
        <w:rPr>
          <w:i/>
        </w:rPr>
        <w:t>s</w:t>
      </w:r>
      <w:r>
        <w:t>, м, вызванную намытым или отсыпанным слоем песка, вычисляют по формуле</w:t>
      </w:r>
    </w:p>
    <w:p w:rsidR="00E35632" w:rsidRDefault="00E35632">
      <w:pPr>
        <w:pStyle w:val="ConsPlusNormal"/>
        <w:jc w:val="both"/>
      </w:pPr>
    </w:p>
    <w:p w:rsidR="00E35632" w:rsidRDefault="00E35632">
      <w:pPr>
        <w:pStyle w:val="ConsPlusNormal"/>
        <w:jc w:val="center"/>
      </w:pPr>
      <w:bookmarkStart w:id="169" w:name="P2994"/>
      <w:bookmarkEnd w:id="169"/>
      <w:r>
        <w:rPr>
          <w:i/>
        </w:rPr>
        <w:lastRenderedPageBreak/>
        <w:t>s</w:t>
      </w:r>
      <w:r>
        <w:t xml:space="preserve"> = 3</w:t>
      </w:r>
      <w:r>
        <w:rPr>
          <w:i/>
        </w:rPr>
        <w:t>ph</w:t>
      </w:r>
      <w:r>
        <w:t>/(3</w:t>
      </w:r>
      <w:r>
        <w:rPr>
          <w:i/>
        </w:rPr>
        <w:t>E</w:t>
      </w:r>
      <w:r>
        <w:t xml:space="preserve"> + 4</w:t>
      </w:r>
      <w:r>
        <w:rPr>
          <w:i/>
        </w:rPr>
        <w:t>p</w:t>
      </w:r>
      <w:r>
        <w:t>), (6.21)</w:t>
      </w:r>
    </w:p>
    <w:p w:rsidR="00E35632" w:rsidRDefault="00E35632">
      <w:pPr>
        <w:pStyle w:val="ConsPlusNormal"/>
        <w:jc w:val="both"/>
      </w:pPr>
    </w:p>
    <w:p w:rsidR="00E35632" w:rsidRDefault="00E35632">
      <w:pPr>
        <w:pStyle w:val="ConsPlusNormal"/>
        <w:ind w:firstLine="540"/>
        <w:jc w:val="both"/>
      </w:pPr>
      <w:r>
        <w:t xml:space="preserve">где </w:t>
      </w:r>
      <w:r>
        <w:rPr>
          <w:i/>
        </w:rPr>
        <w:t>p</w:t>
      </w:r>
      <w:r>
        <w:t xml:space="preserve"> - давление от песчаной насыпи на поверхность органоминерального и органического грунтов, кПа;</w:t>
      </w:r>
    </w:p>
    <w:p w:rsidR="00E35632" w:rsidRDefault="00E35632">
      <w:pPr>
        <w:pStyle w:val="ConsPlusNormal"/>
        <w:spacing w:before="220"/>
        <w:ind w:firstLine="540"/>
        <w:jc w:val="both"/>
      </w:pPr>
      <w:r>
        <w:rPr>
          <w:i/>
        </w:rPr>
        <w:t>h</w:t>
      </w:r>
      <w:r>
        <w:t xml:space="preserve"> - толщина слоя органоминерального и органического грунтов, м;</w:t>
      </w:r>
    </w:p>
    <w:p w:rsidR="00E35632" w:rsidRDefault="00E35632">
      <w:pPr>
        <w:pStyle w:val="ConsPlusNormal"/>
        <w:spacing w:before="220"/>
        <w:ind w:firstLine="540"/>
        <w:jc w:val="both"/>
      </w:pPr>
      <w:r>
        <w:rPr>
          <w:i/>
        </w:rPr>
        <w:t>E</w:t>
      </w:r>
      <w:r>
        <w:t xml:space="preserve"> - модуль деформации органоминерального и органического грунтов при полной влагоемкости, кПа.</w:t>
      </w:r>
    </w:p>
    <w:p w:rsidR="00E35632" w:rsidRDefault="00E35632">
      <w:pPr>
        <w:pStyle w:val="ConsPlusNormal"/>
        <w:spacing w:before="220"/>
        <w:ind w:firstLine="540"/>
        <w:jc w:val="both"/>
      </w:pPr>
      <w:hyperlink w:anchor="P2994">
        <w:r>
          <w:rPr>
            <w:color w:val="0000FF"/>
          </w:rPr>
          <w:t>Формулу (6.21)</w:t>
        </w:r>
      </w:hyperlink>
      <w:r>
        <w:t xml:space="preserve"> допускается использовать при размере насыпи в плане не менее 5</w:t>
      </w:r>
      <w:r>
        <w:rPr>
          <w:i/>
        </w:rPr>
        <w:t>h</w:t>
      </w:r>
      <w:r>
        <w:t>.</w:t>
      </w:r>
    </w:p>
    <w:p w:rsidR="00E35632" w:rsidRDefault="00E35632">
      <w:pPr>
        <w:pStyle w:val="ConsPlusNormal"/>
        <w:spacing w:before="220"/>
        <w:ind w:firstLine="540"/>
        <w:jc w:val="both"/>
      </w:pPr>
      <w:bookmarkStart w:id="170" w:name="P3000"/>
      <w:bookmarkEnd w:id="170"/>
      <w:r>
        <w:t>6.4.30 В случае если основание, содержащее органоминеральные и органические грунты, состоит из нескольких горизонтальных слоев с различными модулями деформации, осадку всей толщи в конце периода стабилизации определяют как сумму осадок отдельных слоев.</w:t>
      </w:r>
    </w:p>
    <w:p w:rsidR="00E35632" w:rsidRDefault="00E35632">
      <w:pPr>
        <w:pStyle w:val="ConsPlusNormal"/>
        <w:spacing w:before="220"/>
        <w:ind w:firstLine="540"/>
        <w:jc w:val="both"/>
      </w:pPr>
      <w:r>
        <w:t>6.4.31 При толщине слоев органоминеральных и органических грунтов, превышающей 3 м, их следует уплотнять с использованием вертикальных дрен.</w:t>
      </w:r>
    </w:p>
    <w:p w:rsidR="00E35632" w:rsidRDefault="00E35632">
      <w:pPr>
        <w:pStyle w:val="ConsPlusNormal"/>
        <w:spacing w:before="220"/>
        <w:ind w:firstLine="540"/>
        <w:jc w:val="both"/>
      </w:pPr>
      <w:r>
        <w:t>План расположения дрен, их сечение и шаг устанавливают расчетом из условия 90% консолидации основания или в зависимости от назначаемых сроков уплотнения строительной площадки. В плане дрены располагают по квадратной или гексагональной сетке (из равносторонних треугольников) с шагом: для песчаных дрен 1,5 - 3 м, для дрен заводского изготовления 0,5 - 2 м.</w:t>
      </w:r>
    </w:p>
    <w:p w:rsidR="00E35632" w:rsidRDefault="00E35632">
      <w:pPr>
        <w:pStyle w:val="ConsPlusNormal"/>
        <w:spacing w:before="220"/>
        <w:ind w:firstLine="540"/>
        <w:jc w:val="both"/>
      </w:pPr>
      <w:r>
        <w:t>Для сооружений геотехнических категорий 2 и 3 шаг дрен определяют на опытных участках.</w:t>
      </w:r>
    </w:p>
    <w:p w:rsidR="00E35632" w:rsidRDefault="00E35632">
      <w:pPr>
        <w:pStyle w:val="ConsPlusNormal"/>
        <w:spacing w:before="220"/>
        <w:ind w:firstLine="540"/>
        <w:jc w:val="both"/>
      </w:pPr>
      <w:r>
        <w:t xml:space="preserve">6.4.32 При использовании вертикальных дрен, полностью прорезающих уплотняемый слой грунта, и наличии дренирующих слоев на концах дрены консолидация грунта под нагрузкой происходит за счет отжатия поровой воды в дрену и дренирующие слои. Эквивалентный диаметр зоны влияния дрен </w:t>
      </w:r>
      <w:r>
        <w:rPr>
          <w:i/>
        </w:rPr>
        <w:t>d</w:t>
      </w:r>
      <w:r>
        <w:rPr>
          <w:i/>
          <w:vertAlign w:val="subscript"/>
        </w:rPr>
        <w:t>e</w:t>
      </w:r>
      <w:r>
        <w:t xml:space="preserve"> в этом случае следует принимать при расположении дрен по квадратной сетке </w:t>
      </w:r>
      <w:r>
        <w:rPr>
          <w:i/>
        </w:rPr>
        <w:t>d</w:t>
      </w:r>
      <w:r>
        <w:rPr>
          <w:i/>
          <w:vertAlign w:val="subscript"/>
        </w:rPr>
        <w:t>e</w:t>
      </w:r>
      <w:r>
        <w:t xml:space="preserve"> = 1,13</w:t>
      </w:r>
      <w:r>
        <w:rPr>
          <w:i/>
        </w:rPr>
        <w:t>d</w:t>
      </w:r>
      <w:r>
        <w:t xml:space="preserve">; по гексагональной сетке - </w:t>
      </w:r>
      <w:r>
        <w:rPr>
          <w:i/>
        </w:rPr>
        <w:t>d</w:t>
      </w:r>
      <w:r>
        <w:rPr>
          <w:i/>
          <w:vertAlign w:val="subscript"/>
        </w:rPr>
        <w:t>e</w:t>
      </w:r>
      <w:r>
        <w:t xml:space="preserve"> = 1,05</w:t>
      </w:r>
      <w:r>
        <w:rPr>
          <w:i/>
        </w:rPr>
        <w:t>d</w:t>
      </w:r>
      <w:r>
        <w:t xml:space="preserve">, где </w:t>
      </w:r>
      <w:r>
        <w:rPr>
          <w:i/>
        </w:rPr>
        <w:t>d</w:t>
      </w:r>
      <w:r>
        <w:t xml:space="preserve"> - расстояние между осями дрен (шаг дрен).</w:t>
      </w:r>
    </w:p>
    <w:p w:rsidR="00E35632" w:rsidRDefault="00E35632">
      <w:pPr>
        <w:pStyle w:val="ConsPlusNormal"/>
        <w:spacing w:before="220"/>
        <w:ind w:firstLine="540"/>
        <w:jc w:val="both"/>
      </w:pPr>
      <w:bookmarkStart w:id="171" w:name="P3005"/>
      <w:bookmarkEnd w:id="171"/>
      <w:r>
        <w:t xml:space="preserve">6.4.33 При проектировании оснований сооружений геотехнических категорий 2 и 3, возводимых на органоминеральных и органических грунтах дополнительно к требованиям </w:t>
      </w:r>
      <w:hyperlink w:anchor="P4957">
        <w:r>
          <w:rPr>
            <w:color w:val="0000FF"/>
          </w:rPr>
          <w:t>раздела 12</w:t>
        </w:r>
      </w:hyperlink>
      <w:r>
        <w:t xml:space="preserve"> программой геотехнического мониторинга должны быть предусмотрены наблюдения по следующим контролируемым параметрам:</w:t>
      </w:r>
    </w:p>
    <w:p w:rsidR="00E35632" w:rsidRDefault="00E35632">
      <w:pPr>
        <w:pStyle w:val="ConsPlusNormal"/>
        <w:spacing w:before="220"/>
        <w:ind w:firstLine="540"/>
        <w:jc w:val="both"/>
      </w:pPr>
      <w:r>
        <w:t>- измерение послойных деформаций грунтов основания фундаментов вновь возводимых сооружений;</w:t>
      </w:r>
    </w:p>
    <w:p w:rsidR="00E35632" w:rsidRDefault="00E35632">
      <w:pPr>
        <w:pStyle w:val="ConsPlusNormal"/>
        <w:spacing w:before="220"/>
        <w:ind w:firstLine="540"/>
        <w:jc w:val="both"/>
      </w:pPr>
      <w:r>
        <w:t>- измерение порового давления, возникающего в водонасыщенных органических и органоминеральных грунтах от воздействия дополнительной пригрузки, с контролем уровня подземных вод;</w:t>
      </w:r>
    </w:p>
    <w:p w:rsidR="00E35632" w:rsidRDefault="00E35632">
      <w:pPr>
        <w:pStyle w:val="ConsPlusNormal"/>
        <w:spacing w:before="220"/>
        <w:ind w:firstLine="540"/>
        <w:jc w:val="both"/>
      </w:pPr>
      <w:r>
        <w:t>- инклинометрические измерения горизонтальных перемещений грунтового массива по глубине.</w:t>
      </w:r>
    </w:p>
    <w:p w:rsidR="00E35632" w:rsidRDefault="00E35632">
      <w:pPr>
        <w:pStyle w:val="ConsPlusTitle"/>
        <w:spacing w:before="220"/>
        <w:ind w:firstLine="540"/>
        <w:jc w:val="both"/>
        <w:outlineLvl w:val="2"/>
      </w:pPr>
      <w:r>
        <w:t>6.5 Элювиальные грунты</w:t>
      </w:r>
    </w:p>
    <w:p w:rsidR="00E35632" w:rsidRDefault="00E35632">
      <w:pPr>
        <w:pStyle w:val="ConsPlusNormal"/>
        <w:spacing w:before="220"/>
        <w:ind w:firstLine="540"/>
        <w:jc w:val="both"/>
      </w:pPr>
      <w:r>
        <w:t>6.5.1 Основания, сложенные элювиальными грунтами - продуктами выветривания скальных и полускальных грунтов, оставшимися на месте своего образования и сохранившими структуру и текстуру исходных пород, следует проектировать с учетом:</w:t>
      </w:r>
    </w:p>
    <w:p w:rsidR="00E35632" w:rsidRDefault="00E35632">
      <w:pPr>
        <w:pStyle w:val="ConsPlusNormal"/>
        <w:spacing w:before="220"/>
        <w:ind w:firstLine="540"/>
        <w:jc w:val="both"/>
      </w:pPr>
      <w:r>
        <w:t xml:space="preserve">- неоднородности состава и свойств по глубине и в плане из-за наличия грунтов разной </w:t>
      </w:r>
      <w:r>
        <w:lastRenderedPageBreak/>
        <w:t>степени выветрелости с различием прочностных и деформационных характеристик, возрастающих с глубиной;</w:t>
      </w:r>
    </w:p>
    <w:p w:rsidR="00E35632" w:rsidRDefault="00E35632">
      <w:pPr>
        <w:pStyle w:val="ConsPlusNormal"/>
        <w:spacing w:before="220"/>
        <w:ind w:firstLine="540"/>
        <w:jc w:val="both"/>
      </w:pPr>
      <w:r>
        <w:t>- снижения прочностных и деформационных характеристик во время их длительного пребывания в открытых котлованах;</w:t>
      </w:r>
    </w:p>
    <w:p w:rsidR="00E35632" w:rsidRDefault="00E35632">
      <w:pPr>
        <w:pStyle w:val="ConsPlusNormal"/>
        <w:spacing w:before="220"/>
        <w:ind w:firstLine="540"/>
        <w:jc w:val="both"/>
      </w:pPr>
      <w:r>
        <w:t>- возможности перехода в плывунное состояние элювиальных супесей и пылеватых песков в случае их водонасыщения в период устройства котлованов и фундаментов;</w:t>
      </w:r>
    </w:p>
    <w:p w:rsidR="00E35632" w:rsidRDefault="00E35632">
      <w:pPr>
        <w:pStyle w:val="ConsPlusNormal"/>
        <w:spacing w:before="220"/>
        <w:ind w:firstLine="540"/>
        <w:jc w:val="both"/>
      </w:pPr>
      <w:r>
        <w:t xml:space="preserve">- возможного наличия просадочных свойств у элювиальных пылеватых песков с коэффициентом пористости </w:t>
      </w:r>
      <w:r>
        <w:rPr>
          <w:i/>
        </w:rPr>
        <w:t>e</w:t>
      </w:r>
      <w:r>
        <w:t xml:space="preserve"> &gt; 0,6 и коэффициентом водонасыщения </w:t>
      </w:r>
      <w:r>
        <w:rPr>
          <w:i/>
        </w:rPr>
        <w:t>S</w:t>
      </w:r>
      <w:r>
        <w:rPr>
          <w:i/>
          <w:vertAlign w:val="subscript"/>
        </w:rPr>
        <w:t>r</w:t>
      </w:r>
      <w:r>
        <w:t xml:space="preserve"> &lt; 0,7 и возможности набухания элювиальных глинистых грунтов при замачивании отходами технологических производств.</w:t>
      </w:r>
    </w:p>
    <w:p w:rsidR="00E35632" w:rsidRDefault="00E35632">
      <w:pPr>
        <w:pStyle w:val="ConsPlusNormal"/>
        <w:spacing w:before="220"/>
        <w:ind w:firstLine="540"/>
        <w:jc w:val="both"/>
      </w:pPr>
      <w:r>
        <w:t>6.5.2 В зависимости от исходных горных пород, подвергшихся выветриванию, следует выделять элювиальные грунты магматических, метаморфических и осадочных сцементированных скальных грунтов, а по содержанию кварца - подразделять элювиальные грунты на две группы: содержащие кварц и бескварцевые.</w:t>
      </w:r>
    </w:p>
    <w:p w:rsidR="00E35632" w:rsidRDefault="00E35632">
      <w:pPr>
        <w:pStyle w:val="ConsPlusNormal"/>
        <w:spacing w:before="220"/>
        <w:ind w:firstLine="540"/>
        <w:jc w:val="both"/>
      </w:pPr>
      <w:r>
        <w:t>6.5.3 Профиль коры выветривания в общем случае может быть представлен сверху вниз следующими зонами, различающимися степенью выветрелости: дисперсной, обломочной, глыбовой и трещиноватой. В соответствии с выделенными зонами наблюдается возрастание по глубине плотности элювиальных образований, уменьшение пористости и трещиноватости и увеличение прочности крупных обломков и отдельностей.</w:t>
      </w:r>
    </w:p>
    <w:p w:rsidR="00E35632" w:rsidRDefault="00E35632">
      <w:pPr>
        <w:pStyle w:val="ConsPlusNormal"/>
        <w:spacing w:before="220"/>
        <w:ind w:firstLine="540"/>
        <w:jc w:val="both"/>
      </w:pPr>
      <w:r>
        <w:t>6.5.4 При проведении инженерно-геологических изысканий на элювиальных грунтах должны быть выявлены: генетический вид и петрографический состав исходной скальной породы; структура и профиль коры выветривания, ее трещиноватость, сланцеватость, слоистость, элементы падения и простирания, поверхности скольжения, наличие "языков" и "карманов" выветривания; размеры, форма и количество крупных включений; изменение по глубине состава и свойств грунтов.</w:t>
      </w:r>
    </w:p>
    <w:p w:rsidR="00E35632" w:rsidRDefault="00E35632">
      <w:pPr>
        <w:pStyle w:val="ConsPlusNormal"/>
        <w:spacing w:before="220"/>
        <w:ind w:firstLine="540"/>
        <w:jc w:val="both"/>
      </w:pPr>
      <w:r>
        <w:t>6.5.5 Степень снижения прочности элювиальных грунтов основания во время пребывания их открытыми в котловане следует устанавливать опытным путем в полевых условиях. Допускается проводить определение этих параметров в лабораторных условиях на отобранных образцах (монолитах) грунта.</w:t>
      </w:r>
    </w:p>
    <w:p w:rsidR="00E35632" w:rsidRDefault="00E35632">
      <w:pPr>
        <w:pStyle w:val="ConsPlusNormal"/>
        <w:spacing w:before="220"/>
        <w:ind w:firstLine="540"/>
        <w:jc w:val="both"/>
      </w:pPr>
      <w:r>
        <w:t>Для предварительной оценки возможного снижения прочности элювиальных грунтов допускаются косвенные методы, учитывающие изменение в течение заданного периода времени: плотности скальных грунтов; удельного сопротивления пенетрации глинистых грунтов; содержания частиц размером менее 0,1 мм в песках и менее 2 мм в крупнообломочных грунтах.</w:t>
      </w:r>
    </w:p>
    <w:p w:rsidR="00E35632" w:rsidRDefault="00E35632">
      <w:pPr>
        <w:pStyle w:val="ConsPlusNormal"/>
        <w:spacing w:before="220"/>
        <w:ind w:firstLine="540"/>
        <w:jc w:val="both"/>
      </w:pPr>
      <w:r>
        <w:t>6.5.6 Количественную оценку снижения прочности элювиальных грунтов в открытых котлованах проводят по изменению их прочностных и деформационных характеристик в период дополнительного выветривания, а качественную оценку - по изменению значений плотности образцов грунта, их водопоглощающей способности, интенсивности распада (дробления) крупных обломков, глыб и отдельностей.</w:t>
      </w:r>
    </w:p>
    <w:p w:rsidR="00E35632" w:rsidRDefault="00E35632">
      <w:pPr>
        <w:pStyle w:val="ConsPlusNormal"/>
        <w:spacing w:before="220"/>
        <w:ind w:firstLine="540"/>
        <w:jc w:val="both"/>
      </w:pPr>
      <w:r>
        <w:t>Необходимо устанавливать также толщину верхнего ослабленного дополнительным выветриванием слоя элювиального грунта.</w:t>
      </w:r>
    </w:p>
    <w:p w:rsidR="00E35632" w:rsidRDefault="00E35632">
      <w:pPr>
        <w:pStyle w:val="ConsPlusNormal"/>
        <w:spacing w:before="220"/>
        <w:ind w:firstLine="540"/>
        <w:jc w:val="both"/>
      </w:pPr>
      <w:r>
        <w:t xml:space="preserve">6.5.7 Оценку стойкости элювиальных грунтов к дополнительному (атмосферному) выветриванию, устанавливающую степень снижения их прочности в открытых котлованах за ожидаемый период времени </w:t>
      </w:r>
      <w:r>
        <w:rPr>
          <w:i/>
        </w:rPr>
        <w:t>t</w:t>
      </w:r>
      <w:r>
        <w:t xml:space="preserve"> (годы, месяцы, сутки), проводят путем определения:</w:t>
      </w:r>
    </w:p>
    <w:p w:rsidR="00E35632" w:rsidRDefault="00E35632">
      <w:pPr>
        <w:pStyle w:val="ConsPlusNormal"/>
        <w:spacing w:before="220"/>
        <w:ind w:firstLine="540"/>
        <w:jc w:val="both"/>
      </w:pPr>
      <w:r>
        <w:t xml:space="preserve">- скорости снижения выбранного параметра степени выветрелости </w:t>
      </w:r>
      <w:r>
        <w:rPr>
          <w:i/>
        </w:rPr>
        <w:t>A</w:t>
      </w:r>
      <w:r>
        <w:t xml:space="preserve"> за период времени </w:t>
      </w:r>
      <w:r>
        <w:rPr>
          <w:i/>
        </w:rPr>
        <w:t>t</w:t>
      </w:r>
      <w:r>
        <w:t>: (</w:t>
      </w:r>
      <w:r>
        <w:rPr>
          <w:i/>
        </w:rPr>
        <w:t>A</w:t>
      </w:r>
      <w:r>
        <w:rPr>
          <w:vertAlign w:val="subscript"/>
        </w:rPr>
        <w:t>1</w:t>
      </w:r>
      <w:r>
        <w:t xml:space="preserve"> </w:t>
      </w:r>
      <w:r>
        <w:lastRenderedPageBreak/>
        <w:t xml:space="preserve">- </w:t>
      </w:r>
      <w:r>
        <w:rPr>
          <w:i/>
        </w:rPr>
        <w:t>A</w:t>
      </w:r>
      <w:r>
        <w:rPr>
          <w:vertAlign w:val="subscript"/>
        </w:rPr>
        <w:t>2</w:t>
      </w:r>
      <w:r>
        <w:t>)/</w:t>
      </w:r>
      <w:r>
        <w:rPr>
          <w:i/>
        </w:rPr>
        <w:t>t</w:t>
      </w:r>
      <w:r>
        <w:t>;</w:t>
      </w:r>
    </w:p>
    <w:p w:rsidR="00E35632" w:rsidRDefault="00E35632">
      <w:pPr>
        <w:pStyle w:val="ConsPlusNormal"/>
        <w:spacing w:before="220"/>
        <w:ind w:firstLine="540"/>
        <w:jc w:val="both"/>
      </w:pPr>
      <w:r>
        <w:t xml:space="preserve">- степени снижения выбранного параметра </w:t>
      </w:r>
      <w:r>
        <w:rPr>
          <w:i/>
        </w:rPr>
        <w:t>A</w:t>
      </w:r>
      <w:r>
        <w:t>: (</w:t>
      </w:r>
      <w:r>
        <w:rPr>
          <w:i/>
        </w:rPr>
        <w:t>A</w:t>
      </w:r>
      <w:r>
        <w:rPr>
          <w:vertAlign w:val="subscript"/>
        </w:rPr>
        <w:t>1</w:t>
      </w:r>
      <w:r>
        <w:t xml:space="preserve"> - </w:t>
      </w:r>
      <w:r>
        <w:rPr>
          <w:i/>
        </w:rPr>
        <w:t>A</w:t>
      </w:r>
      <w:r>
        <w:rPr>
          <w:vertAlign w:val="subscript"/>
        </w:rPr>
        <w:t>2</w:t>
      </w:r>
      <w:r>
        <w:t>)/</w:t>
      </w:r>
      <w:r>
        <w:rPr>
          <w:i/>
        </w:rPr>
        <w:t>A</w:t>
      </w:r>
      <w:r>
        <w:rPr>
          <w:vertAlign w:val="subscript"/>
        </w:rPr>
        <w:t>1</w:t>
      </w:r>
      <w:r>
        <w:t>;</w:t>
      </w:r>
    </w:p>
    <w:p w:rsidR="00E35632" w:rsidRDefault="00E35632">
      <w:pPr>
        <w:pStyle w:val="ConsPlusNormal"/>
        <w:spacing w:before="220"/>
        <w:ind w:firstLine="540"/>
        <w:jc w:val="both"/>
      </w:pPr>
      <w:r>
        <w:t xml:space="preserve">- общего количественного снижения параметра </w:t>
      </w:r>
      <w:r>
        <w:rPr>
          <w:i/>
        </w:rPr>
        <w:t>A</w:t>
      </w:r>
      <w:r>
        <w:t xml:space="preserve"> за весь период </w:t>
      </w:r>
      <w:r>
        <w:rPr>
          <w:i/>
        </w:rPr>
        <w:t>t:</w:t>
      </w:r>
      <w:r>
        <w:t xml:space="preserve"> (</w:t>
      </w:r>
      <w:r>
        <w:rPr>
          <w:i/>
        </w:rPr>
        <w:t>A</w:t>
      </w:r>
      <w:r>
        <w:rPr>
          <w:vertAlign w:val="subscript"/>
        </w:rPr>
        <w:t>1</w:t>
      </w:r>
      <w:r>
        <w:t xml:space="preserve"> - </w:t>
      </w:r>
      <w:r>
        <w:rPr>
          <w:i/>
        </w:rPr>
        <w:t>A</w:t>
      </w:r>
      <w:r>
        <w:rPr>
          <w:vertAlign w:val="subscript"/>
        </w:rPr>
        <w:t>2</w:t>
      </w:r>
      <w:r>
        <w:t>).</w:t>
      </w:r>
    </w:p>
    <w:p w:rsidR="00E35632" w:rsidRDefault="00E35632">
      <w:pPr>
        <w:pStyle w:val="ConsPlusNormal"/>
        <w:spacing w:before="220"/>
        <w:ind w:firstLine="540"/>
        <w:jc w:val="both"/>
      </w:pPr>
      <w:r>
        <w:t xml:space="preserve">Ожидаемый период пребывания элювиальных грунтов открытыми в разработанных котлованах, а также интервалы времени </w:t>
      </w:r>
      <w:r>
        <w:rPr>
          <w:noProof/>
          <w:position w:val="-3"/>
        </w:rPr>
        <w:drawing>
          <wp:inline distT="0" distB="0" distL="0" distR="0">
            <wp:extent cx="209550" cy="182880"/>
            <wp:effectExtent l="0" t="0" r="0" b="0"/>
            <wp:docPr id="3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09550" cy="182880"/>
                    </a:xfrm>
                    <a:prstGeom prst="rect">
                      <a:avLst/>
                    </a:prstGeom>
                    <a:noFill/>
                    <a:ln>
                      <a:noFill/>
                    </a:ln>
                  </pic:spPr>
                </pic:pic>
              </a:graphicData>
            </a:graphic>
          </wp:inline>
        </w:drawing>
      </w:r>
      <w:r>
        <w:t xml:space="preserve">, через которые проводят определения количественных значений параметра </w:t>
      </w:r>
      <w:r>
        <w:rPr>
          <w:i/>
        </w:rPr>
        <w:t>A</w:t>
      </w:r>
      <w:r>
        <w:t>, устанавливают исходя из конкретных особенностей района и сроков строительства.</w:t>
      </w:r>
    </w:p>
    <w:p w:rsidR="00E35632" w:rsidRDefault="00E35632">
      <w:pPr>
        <w:pStyle w:val="ConsPlusNormal"/>
        <w:spacing w:before="220"/>
        <w:ind w:firstLine="540"/>
        <w:jc w:val="both"/>
      </w:pPr>
      <w:r>
        <w:t xml:space="preserve">6.5.8 Для элювия скальных и элювиальных крупнообломочных грунтов необходимо устанавливать степень их выветрелости, характеризуемую коэффициентом выветрелости (см. 6.5.9, </w:t>
      </w:r>
      <w:hyperlink w:anchor="P3055">
        <w:r>
          <w:rPr>
            <w:color w:val="0000FF"/>
          </w:rPr>
          <w:t>6.5.10</w:t>
        </w:r>
      </w:hyperlink>
      <w:r>
        <w:t xml:space="preserve">), а для крупнообломочных грунтов также - относительную прочность обломков, характеризуемую коэффициентом истираемости (см. </w:t>
      </w:r>
      <w:hyperlink w:anchor="P3062">
        <w:r>
          <w:rPr>
            <w:color w:val="0000FF"/>
          </w:rPr>
          <w:t>6.5.11</w:t>
        </w:r>
      </w:hyperlink>
      <w:r>
        <w:t>).</w:t>
      </w:r>
    </w:p>
    <w:p w:rsidR="00E35632" w:rsidRDefault="00E35632">
      <w:pPr>
        <w:pStyle w:val="ConsPlusNormal"/>
        <w:spacing w:before="220"/>
        <w:ind w:firstLine="540"/>
        <w:jc w:val="both"/>
      </w:pPr>
      <w:bookmarkStart w:id="172" w:name="P3028"/>
      <w:bookmarkEnd w:id="172"/>
      <w:r>
        <w:t xml:space="preserve">6.5.9 Коэффициент выветрелости </w:t>
      </w:r>
      <w:r>
        <w:rPr>
          <w:i/>
        </w:rPr>
        <w:t>K</w:t>
      </w:r>
      <w:r>
        <w:rPr>
          <w:i/>
          <w:vertAlign w:val="subscript"/>
        </w:rPr>
        <w:t>wr</w:t>
      </w:r>
      <w:r>
        <w:t xml:space="preserve"> элювия скальных грунтов устанавливают с учетом плотности </w:t>
      </w:r>
      <w:r>
        <w:rPr>
          <w:noProof/>
          <w:position w:val="-4"/>
        </w:rPr>
        <w:drawing>
          <wp:inline distT="0" distB="0" distL="0" distR="0">
            <wp:extent cx="167640" cy="192405"/>
            <wp:effectExtent l="0" t="0" r="0" b="0"/>
            <wp:docPr id="3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167640" cy="192405"/>
                    </a:xfrm>
                    <a:prstGeom prst="rect">
                      <a:avLst/>
                    </a:prstGeom>
                    <a:noFill/>
                    <a:ln>
                      <a:noFill/>
                    </a:ln>
                  </pic:spPr>
                </pic:pic>
              </a:graphicData>
            </a:graphic>
          </wp:inline>
        </w:drawing>
      </w:r>
      <w:r>
        <w:t xml:space="preserve"> выветрелой породы в условиях природного залегания и плотности </w:t>
      </w:r>
      <w:r>
        <w:rPr>
          <w:noProof/>
          <w:position w:val="-8"/>
        </w:rPr>
        <w:drawing>
          <wp:inline distT="0" distB="0" distL="0" distR="0">
            <wp:extent cx="209550" cy="251460"/>
            <wp:effectExtent l="0" t="0" r="0" b="0"/>
            <wp:docPr id="3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невыветрелой (монолитной) породы и вычисляют по формуле</w:t>
      </w:r>
    </w:p>
    <w:p w:rsidR="00E35632" w:rsidRDefault="00E35632">
      <w:pPr>
        <w:pStyle w:val="ConsPlusNormal"/>
        <w:jc w:val="both"/>
      </w:pPr>
    </w:p>
    <w:p w:rsidR="00E35632" w:rsidRDefault="00E35632">
      <w:pPr>
        <w:pStyle w:val="ConsPlusNormal"/>
        <w:jc w:val="center"/>
      </w:pPr>
      <w:r>
        <w:rPr>
          <w:i/>
        </w:rPr>
        <w:t>K</w:t>
      </w:r>
      <w:r>
        <w:rPr>
          <w:i/>
          <w:vertAlign w:val="subscript"/>
        </w:rPr>
        <w:t>wr</w:t>
      </w:r>
      <w:r>
        <w:t xml:space="preserve"> = 1 - </w:t>
      </w:r>
      <w:r>
        <w:rPr>
          <w:i/>
        </w:rPr>
        <w:t>I</w:t>
      </w:r>
      <w:r>
        <w:rPr>
          <w:i/>
          <w:vertAlign w:val="subscript"/>
        </w:rPr>
        <w:t>wr</w:t>
      </w:r>
      <w:r>
        <w:t>, (6.22)</w:t>
      </w:r>
    </w:p>
    <w:p w:rsidR="00E35632" w:rsidRDefault="00E35632">
      <w:pPr>
        <w:pStyle w:val="ConsPlusNormal"/>
        <w:jc w:val="both"/>
      </w:pPr>
    </w:p>
    <w:p w:rsidR="00E35632" w:rsidRDefault="00E35632">
      <w:pPr>
        <w:pStyle w:val="ConsPlusNormal"/>
        <w:ind w:firstLine="540"/>
        <w:jc w:val="both"/>
      </w:pPr>
      <w:r>
        <w:t xml:space="preserve">где </w:t>
      </w:r>
      <w:r>
        <w:rPr>
          <w:noProof/>
          <w:position w:val="-8"/>
        </w:rPr>
        <w:drawing>
          <wp:inline distT="0" distB="0" distL="0" distR="0">
            <wp:extent cx="1173480" cy="251460"/>
            <wp:effectExtent l="0" t="0" r="0" b="0"/>
            <wp:docPr id="3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1173480" cy="25146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Значение </w:t>
      </w:r>
      <w:r>
        <w:rPr>
          <w:noProof/>
          <w:position w:val="-8"/>
        </w:rPr>
        <w:drawing>
          <wp:inline distT="0" distB="0" distL="0" distR="0">
            <wp:extent cx="209550" cy="251460"/>
            <wp:effectExtent l="0" t="0" r="0" b="0"/>
            <wp:docPr id="3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допускается принимать равным плотности частиц скального грунта.</w:t>
      </w:r>
    </w:p>
    <w:p w:rsidR="00E35632" w:rsidRDefault="00E35632">
      <w:pPr>
        <w:pStyle w:val="ConsPlusNormal"/>
        <w:spacing w:before="220"/>
        <w:ind w:firstLine="540"/>
        <w:jc w:val="both"/>
      </w:pPr>
      <w:r>
        <w:t xml:space="preserve">Подразделение элювия скальных грунтов по степени выветрелости приведено в таблице 6.6, а ориентировочные значения предела прочности на одноосное сжатие в водонасыщенном состоянии </w:t>
      </w:r>
      <w:r>
        <w:rPr>
          <w:i/>
        </w:rPr>
        <w:t>R</w:t>
      </w:r>
      <w:r>
        <w:rPr>
          <w:i/>
          <w:vertAlign w:val="subscript"/>
        </w:rPr>
        <w:t>c</w:t>
      </w:r>
      <w:r>
        <w:t xml:space="preserve">, которые могут быть использованы для предварительной оценки оснований из этих грунтов, приведены в </w:t>
      </w:r>
      <w:hyperlink w:anchor="P7343">
        <w:r>
          <w:rPr>
            <w:color w:val="0000FF"/>
          </w:rPr>
          <w:t>приложении И</w:t>
        </w:r>
      </w:hyperlink>
      <w:r>
        <w:t>.</w:t>
      </w:r>
    </w:p>
    <w:p w:rsidR="00E35632" w:rsidRDefault="00E35632">
      <w:pPr>
        <w:pStyle w:val="ConsPlusNormal"/>
        <w:jc w:val="both"/>
      </w:pPr>
    </w:p>
    <w:p w:rsidR="00E35632" w:rsidRDefault="00E35632">
      <w:pPr>
        <w:pStyle w:val="ConsPlusNormal"/>
        <w:jc w:val="right"/>
      </w:pPr>
      <w:r>
        <w:t>Таблица 6.6</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300"/>
        <w:gridCol w:w="3000"/>
        <w:gridCol w:w="2779"/>
      </w:tblGrid>
      <w:tr w:rsidR="00E35632">
        <w:tc>
          <w:tcPr>
            <w:tcW w:w="3300" w:type="dxa"/>
            <w:vMerge w:val="restart"/>
            <w:tcBorders>
              <w:top w:val="single" w:sz="4" w:space="0" w:color="auto"/>
              <w:bottom w:val="single" w:sz="4" w:space="0" w:color="auto"/>
            </w:tcBorders>
            <w:vAlign w:val="center"/>
          </w:tcPr>
          <w:p w:rsidR="00E35632" w:rsidRDefault="00E35632">
            <w:pPr>
              <w:pStyle w:val="ConsPlusNormal"/>
              <w:jc w:val="center"/>
            </w:pPr>
            <w:r>
              <w:t>Разновидность элювия скальных грунтов по степени выветрелости</w:t>
            </w:r>
          </w:p>
        </w:tc>
        <w:tc>
          <w:tcPr>
            <w:tcW w:w="5779" w:type="dxa"/>
            <w:gridSpan w:val="2"/>
            <w:tcBorders>
              <w:top w:val="single" w:sz="4" w:space="0" w:color="auto"/>
              <w:bottom w:val="single" w:sz="4" w:space="0" w:color="auto"/>
            </w:tcBorders>
            <w:vAlign w:val="center"/>
          </w:tcPr>
          <w:p w:rsidR="00E35632" w:rsidRDefault="00E35632">
            <w:pPr>
              <w:pStyle w:val="ConsPlusNormal"/>
              <w:jc w:val="center"/>
            </w:pPr>
            <w:r>
              <w:t xml:space="preserve">Коэффициент выветрелости </w:t>
            </w:r>
            <w:r>
              <w:rPr>
                <w:i/>
              </w:rPr>
              <w:t>K</w:t>
            </w:r>
            <w:r>
              <w:rPr>
                <w:i/>
                <w:vertAlign w:val="subscript"/>
              </w:rPr>
              <w:t>wr</w:t>
            </w:r>
            <w:r>
              <w:t xml:space="preserve"> для скальных грунтов</w:t>
            </w:r>
          </w:p>
        </w:tc>
      </w:tr>
      <w:tr w:rsidR="00E35632">
        <w:tc>
          <w:tcPr>
            <w:tcW w:w="3300" w:type="dxa"/>
            <w:vMerge/>
            <w:tcBorders>
              <w:top w:val="single" w:sz="4" w:space="0" w:color="auto"/>
              <w:bottom w:val="single" w:sz="4" w:space="0" w:color="auto"/>
            </w:tcBorders>
          </w:tcPr>
          <w:p w:rsidR="00E35632" w:rsidRDefault="00E35632">
            <w:pPr>
              <w:pStyle w:val="ConsPlusNormal"/>
            </w:pPr>
          </w:p>
        </w:tc>
        <w:tc>
          <w:tcPr>
            <w:tcW w:w="3000" w:type="dxa"/>
            <w:tcBorders>
              <w:top w:val="single" w:sz="4" w:space="0" w:color="auto"/>
              <w:bottom w:val="single" w:sz="4" w:space="0" w:color="auto"/>
            </w:tcBorders>
            <w:vAlign w:val="center"/>
          </w:tcPr>
          <w:p w:rsidR="00E35632" w:rsidRDefault="00E35632">
            <w:pPr>
              <w:pStyle w:val="ConsPlusNormal"/>
              <w:jc w:val="center"/>
            </w:pPr>
            <w:r>
              <w:t>магматических и метаморфических</w:t>
            </w:r>
          </w:p>
        </w:tc>
        <w:tc>
          <w:tcPr>
            <w:tcW w:w="2779" w:type="dxa"/>
            <w:tcBorders>
              <w:top w:val="single" w:sz="4" w:space="0" w:color="auto"/>
              <w:bottom w:val="single" w:sz="4" w:space="0" w:color="auto"/>
            </w:tcBorders>
            <w:vAlign w:val="center"/>
          </w:tcPr>
          <w:p w:rsidR="00E35632" w:rsidRDefault="00E35632">
            <w:pPr>
              <w:pStyle w:val="ConsPlusNormal"/>
              <w:jc w:val="center"/>
            </w:pPr>
            <w:r>
              <w:t>осадочных сцементированных</w:t>
            </w:r>
          </w:p>
        </w:tc>
      </w:tr>
      <w:tr w:rsidR="00E35632">
        <w:tblPrEx>
          <w:tblBorders>
            <w:insideH w:val="none" w:sz="0" w:space="0" w:color="auto"/>
          </w:tblBorders>
        </w:tblPrEx>
        <w:tc>
          <w:tcPr>
            <w:tcW w:w="3300" w:type="dxa"/>
            <w:tcBorders>
              <w:top w:val="single" w:sz="4" w:space="0" w:color="auto"/>
              <w:bottom w:val="nil"/>
            </w:tcBorders>
          </w:tcPr>
          <w:p w:rsidR="00E35632" w:rsidRDefault="00E35632">
            <w:pPr>
              <w:pStyle w:val="ConsPlusNormal"/>
            </w:pPr>
            <w:r>
              <w:t>Невыветрелые</w:t>
            </w:r>
          </w:p>
        </w:tc>
        <w:tc>
          <w:tcPr>
            <w:tcW w:w="3000" w:type="dxa"/>
            <w:tcBorders>
              <w:top w:val="single" w:sz="4" w:space="0" w:color="auto"/>
              <w:bottom w:val="nil"/>
            </w:tcBorders>
          </w:tcPr>
          <w:p w:rsidR="00E35632" w:rsidRDefault="00E35632">
            <w:pPr>
              <w:pStyle w:val="ConsPlusNormal"/>
              <w:jc w:val="center"/>
            </w:pPr>
            <w:r>
              <w:t>1</w:t>
            </w:r>
          </w:p>
        </w:tc>
        <w:tc>
          <w:tcPr>
            <w:tcW w:w="2779" w:type="dxa"/>
            <w:tcBorders>
              <w:top w:val="single" w:sz="4" w:space="0" w:color="auto"/>
              <w:bottom w:val="nil"/>
            </w:tcBorders>
          </w:tcPr>
          <w:p w:rsidR="00E35632" w:rsidRDefault="00E35632">
            <w:pPr>
              <w:pStyle w:val="ConsPlusNormal"/>
              <w:jc w:val="center"/>
            </w:pPr>
            <w:r>
              <w:t>1</w:t>
            </w:r>
          </w:p>
        </w:tc>
      </w:tr>
      <w:tr w:rsidR="00E35632">
        <w:tblPrEx>
          <w:tblBorders>
            <w:insideH w:val="none" w:sz="0" w:space="0" w:color="auto"/>
          </w:tblBorders>
        </w:tblPrEx>
        <w:tc>
          <w:tcPr>
            <w:tcW w:w="3300" w:type="dxa"/>
            <w:tcBorders>
              <w:top w:val="nil"/>
              <w:bottom w:val="nil"/>
            </w:tcBorders>
          </w:tcPr>
          <w:p w:rsidR="00E35632" w:rsidRDefault="00E35632">
            <w:pPr>
              <w:pStyle w:val="ConsPlusNormal"/>
            </w:pPr>
            <w:r>
              <w:t>Слабовыветрелые</w:t>
            </w:r>
          </w:p>
        </w:tc>
        <w:tc>
          <w:tcPr>
            <w:tcW w:w="3000" w:type="dxa"/>
            <w:tcBorders>
              <w:top w:val="nil"/>
              <w:bottom w:val="nil"/>
            </w:tcBorders>
          </w:tcPr>
          <w:p w:rsidR="00E35632" w:rsidRDefault="00E35632">
            <w:pPr>
              <w:pStyle w:val="ConsPlusNormal"/>
              <w:jc w:val="center"/>
            </w:pPr>
            <w:r>
              <w:t xml:space="preserve">1 &gt; </w:t>
            </w:r>
            <w:r>
              <w:rPr>
                <w:i/>
              </w:rPr>
              <w:t>K</w:t>
            </w:r>
            <w:r>
              <w:rPr>
                <w:i/>
                <w:vertAlign w:val="subscript"/>
              </w:rPr>
              <w:t>wr</w:t>
            </w:r>
            <w:r>
              <w:t xml:space="preserve"> &gt;= 0,9</w:t>
            </w:r>
          </w:p>
        </w:tc>
        <w:tc>
          <w:tcPr>
            <w:tcW w:w="2779" w:type="dxa"/>
            <w:tcBorders>
              <w:top w:val="nil"/>
              <w:bottom w:val="nil"/>
            </w:tcBorders>
          </w:tcPr>
          <w:p w:rsidR="00E35632" w:rsidRDefault="00E35632">
            <w:pPr>
              <w:pStyle w:val="ConsPlusNormal"/>
              <w:jc w:val="center"/>
            </w:pPr>
            <w:r>
              <w:t xml:space="preserve">1 &gt; </w:t>
            </w:r>
            <w:r>
              <w:rPr>
                <w:i/>
              </w:rPr>
              <w:t>K</w:t>
            </w:r>
            <w:r>
              <w:rPr>
                <w:i/>
                <w:vertAlign w:val="subscript"/>
              </w:rPr>
              <w:t>wr</w:t>
            </w:r>
            <w:r>
              <w:t xml:space="preserve"> &gt;= 0,95</w:t>
            </w:r>
          </w:p>
        </w:tc>
      </w:tr>
      <w:tr w:rsidR="00E35632">
        <w:tblPrEx>
          <w:tblBorders>
            <w:insideH w:val="none" w:sz="0" w:space="0" w:color="auto"/>
          </w:tblBorders>
        </w:tblPrEx>
        <w:tc>
          <w:tcPr>
            <w:tcW w:w="3300" w:type="dxa"/>
            <w:tcBorders>
              <w:top w:val="nil"/>
              <w:bottom w:val="nil"/>
            </w:tcBorders>
          </w:tcPr>
          <w:p w:rsidR="00E35632" w:rsidRDefault="00E35632">
            <w:pPr>
              <w:pStyle w:val="ConsPlusNormal"/>
            </w:pPr>
            <w:r>
              <w:t>Выветрелые</w:t>
            </w:r>
          </w:p>
        </w:tc>
        <w:tc>
          <w:tcPr>
            <w:tcW w:w="3000" w:type="dxa"/>
            <w:tcBorders>
              <w:top w:val="nil"/>
              <w:bottom w:val="nil"/>
            </w:tcBorders>
          </w:tcPr>
          <w:p w:rsidR="00E35632" w:rsidRDefault="00E35632">
            <w:pPr>
              <w:pStyle w:val="ConsPlusNormal"/>
              <w:jc w:val="center"/>
            </w:pPr>
            <w:r>
              <w:t xml:space="preserve">0,9 &gt; </w:t>
            </w:r>
            <w:r>
              <w:rPr>
                <w:i/>
              </w:rPr>
              <w:t>K</w:t>
            </w:r>
            <w:r>
              <w:rPr>
                <w:i/>
                <w:vertAlign w:val="subscript"/>
              </w:rPr>
              <w:t>wr</w:t>
            </w:r>
            <w:r>
              <w:t xml:space="preserve"> &gt;= 0,8</w:t>
            </w:r>
          </w:p>
        </w:tc>
        <w:tc>
          <w:tcPr>
            <w:tcW w:w="2779" w:type="dxa"/>
            <w:tcBorders>
              <w:top w:val="nil"/>
              <w:bottom w:val="nil"/>
            </w:tcBorders>
          </w:tcPr>
          <w:p w:rsidR="00E35632" w:rsidRDefault="00E35632">
            <w:pPr>
              <w:pStyle w:val="ConsPlusNormal"/>
              <w:jc w:val="center"/>
            </w:pPr>
            <w:r>
              <w:t xml:space="preserve">0,95 &gt; </w:t>
            </w:r>
            <w:r>
              <w:rPr>
                <w:i/>
              </w:rPr>
              <w:t>K</w:t>
            </w:r>
            <w:r>
              <w:rPr>
                <w:i/>
                <w:vertAlign w:val="subscript"/>
              </w:rPr>
              <w:t>wr</w:t>
            </w:r>
            <w:r>
              <w:t xml:space="preserve"> &gt;= 0,85</w:t>
            </w:r>
          </w:p>
        </w:tc>
      </w:tr>
      <w:tr w:rsidR="00E35632">
        <w:tblPrEx>
          <w:tblBorders>
            <w:insideH w:val="none" w:sz="0" w:space="0" w:color="auto"/>
          </w:tblBorders>
        </w:tblPrEx>
        <w:tc>
          <w:tcPr>
            <w:tcW w:w="3300" w:type="dxa"/>
            <w:tcBorders>
              <w:top w:val="nil"/>
              <w:bottom w:val="single" w:sz="4" w:space="0" w:color="auto"/>
            </w:tcBorders>
          </w:tcPr>
          <w:p w:rsidR="00E35632" w:rsidRDefault="00E35632">
            <w:pPr>
              <w:pStyle w:val="ConsPlusNormal"/>
            </w:pPr>
            <w:r>
              <w:t>Сильновыветрелые (рухляки)</w:t>
            </w:r>
          </w:p>
        </w:tc>
        <w:tc>
          <w:tcPr>
            <w:tcW w:w="3000" w:type="dxa"/>
            <w:tcBorders>
              <w:top w:val="nil"/>
              <w:bottom w:val="single" w:sz="4" w:space="0" w:color="auto"/>
            </w:tcBorders>
          </w:tcPr>
          <w:p w:rsidR="00E35632" w:rsidRDefault="00E35632">
            <w:pPr>
              <w:pStyle w:val="ConsPlusNormal"/>
              <w:jc w:val="center"/>
            </w:pPr>
            <w:r>
              <w:t>Менее 0,8</w:t>
            </w:r>
          </w:p>
        </w:tc>
        <w:tc>
          <w:tcPr>
            <w:tcW w:w="2779" w:type="dxa"/>
            <w:tcBorders>
              <w:top w:val="nil"/>
              <w:bottom w:val="single" w:sz="4" w:space="0" w:color="auto"/>
            </w:tcBorders>
          </w:tcPr>
          <w:p w:rsidR="00E35632" w:rsidRDefault="00E35632">
            <w:pPr>
              <w:pStyle w:val="ConsPlusNormal"/>
              <w:jc w:val="center"/>
            </w:pPr>
            <w:r>
              <w:t>Менее 0,85</w:t>
            </w:r>
          </w:p>
        </w:tc>
      </w:tr>
    </w:tbl>
    <w:p w:rsidR="00E35632" w:rsidRDefault="00E35632">
      <w:pPr>
        <w:pStyle w:val="ConsPlusNormal"/>
        <w:jc w:val="both"/>
      </w:pPr>
    </w:p>
    <w:p w:rsidR="00E35632" w:rsidRDefault="00E35632">
      <w:pPr>
        <w:pStyle w:val="ConsPlusNormal"/>
        <w:ind w:firstLine="540"/>
        <w:jc w:val="both"/>
      </w:pPr>
      <w:bookmarkStart w:id="173" w:name="P3055"/>
      <w:bookmarkEnd w:id="173"/>
      <w:r>
        <w:t xml:space="preserve">6.5.10 Коэффициент выветрелости элювиальных крупнообломочных грунтов </w:t>
      </w:r>
      <w:r>
        <w:rPr>
          <w:i/>
        </w:rPr>
        <w:t>K</w:t>
      </w:r>
      <w:r>
        <w:rPr>
          <w:i/>
          <w:vertAlign w:val="subscript"/>
        </w:rPr>
        <w:t>wr</w:t>
      </w:r>
      <w:r>
        <w:t xml:space="preserve"> определяют по испытаниям проб грунта на истирание во вращающемся полочном барабане и вычисляют по формуле</w:t>
      </w:r>
    </w:p>
    <w:p w:rsidR="00E35632" w:rsidRDefault="00E35632">
      <w:pPr>
        <w:pStyle w:val="ConsPlusNormal"/>
        <w:jc w:val="both"/>
      </w:pPr>
    </w:p>
    <w:p w:rsidR="00E35632" w:rsidRDefault="00E35632">
      <w:pPr>
        <w:pStyle w:val="ConsPlusNormal"/>
        <w:jc w:val="center"/>
      </w:pPr>
      <w:r>
        <w:rPr>
          <w:i/>
        </w:rPr>
        <w:t>K</w:t>
      </w:r>
      <w:r>
        <w:rPr>
          <w:i/>
          <w:vertAlign w:val="subscript"/>
        </w:rPr>
        <w:t>wr</w:t>
      </w:r>
      <w:r>
        <w:t xml:space="preserve"> = (</w:t>
      </w:r>
      <w:r>
        <w:rPr>
          <w:i/>
        </w:rPr>
        <w:t>k</w:t>
      </w:r>
      <w:r>
        <w:rPr>
          <w:vertAlign w:val="subscript"/>
        </w:rPr>
        <w:t>1</w:t>
      </w:r>
      <w:r>
        <w:t xml:space="preserve"> - </w:t>
      </w:r>
      <w:r>
        <w:rPr>
          <w:i/>
        </w:rPr>
        <w:t>k</w:t>
      </w:r>
      <w:r>
        <w:rPr>
          <w:vertAlign w:val="subscript"/>
        </w:rPr>
        <w:t>0</w:t>
      </w:r>
      <w:r>
        <w:t>)/</w:t>
      </w:r>
      <w:r>
        <w:rPr>
          <w:i/>
        </w:rPr>
        <w:t>k</w:t>
      </w:r>
      <w:r>
        <w:rPr>
          <w:vertAlign w:val="subscript"/>
        </w:rPr>
        <w:t>1</w:t>
      </w:r>
      <w:r>
        <w:t>, (6.23)</w:t>
      </w:r>
    </w:p>
    <w:p w:rsidR="00E35632" w:rsidRDefault="00E35632">
      <w:pPr>
        <w:pStyle w:val="ConsPlusNormal"/>
        <w:jc w:val="both"/>
      </w:pPr>
    </w:p>
    <w:p w:rsidR="00E35632" w:rsidRDefault="00E35632">
      <w:pPr>
        <w:pStyle w:val="ConsPlusNormal"/>
        <w:ind w:firstLine="540"/>
        <w:jc w:val="both"/>
      </w:pPr>
      <w:r>
        <w:t xml:space="preserve">где </w:t>
      </w:r>
      <w:r>
        <w:rPr>
          <w:i/>
        </w:rPr>
        <w:t>k</w:t>
      </w:r>
      <w:r>
        <w:rPr>
          <w:vertAlign w:val="subscript"/>
        </w:rPr>
        <w:t>1</w:t>
      </w:r>
      <w:r>
        <w:t xml:space="preserve"> - отношение массы </w:t>
      </w:r>
      <w:r>
        <w:rPr>
          <w:i/>
        </w:rPr>
        <w:t>m</w:t>
      </w:r>
      <w:r>
        <w:rPr>
          <w:vertAlign w:val="subscript"/>
        </w:rPr>
        <w:t>1</w:t>
      </w:r>
      <w:r>
        <w:t xml:space="preserve"> частиц размером менее 2 мм к массе </w:t>
      </w:r>
      <w:r>
        <w:rPr>
          <w:i/>
        </w:rPr>
        <w:t>m</w:t>
      </w:r>
      <w:r>
        <w:rPr>
          <w:vertAlign w:val="subscript"/>
        </w:rPr>
        <w:t>2</w:t>
      </w:r>
      <w:r>
        <w:t xml:space="preserve"> частиц размером более 2 мм после испытания на истирание;</w:t>
      </w:r>
    </w:p>
    <w:p w:rsidR="00E35632" w:rsidRDefault="00E35632">
      <w:pPr>
        <w:pStyle w:val="ConsPlusNormal"/>
        <w:spacing w:before="220"/>
        <w:ind w:firstLine="540"/>
        <w:jc w:val="both"/>
      </w:pPr>
      <w:r>
        <w:rPr>
          <w:i/>
        </w:rPr>
        <w:lastRenderedPageBreak/>
        <w:t>k</w:t>
      </w:r>
      <w:r>
        <w:rPr>
          <w:vertAlign w:val="subscript"/>
        </w:rPr>
        <w:t>0</w:t>
      </w:r>
      <w:r>
        <w:t xml:space="preserve"> - то же, в природном состоянии (до испытания на истирание).</w:t>
      </w:r>
    </w:p>
    <w:p w:rsidR="00E35632" w:rsidRDefault="00E35632">
      <w:pPr>
        <w:pStyle w:val="ConsPlusNormal"/>
        <w:spacing w:before="220"/>
        <w:ind w:firstLine="540"/>
        <w:jc w:val="both"/>
      </w:pPr>
      <w:r>
        <w:t xml:space="preserve">Подразделение элювиальных крупнообломочных грунтов по степени выветрелости приведено в </w:t>
      </w:r>
      <w:hyperlink w:anchor="P3070">
        <w:r>
          <w:rPr>
            <w:color w:val="0000FF"/>
          </w:rPr>
          <w:t>таблице 6.7</w:t>
        </w:r>
      </w:hyperlink>
      <w:r>
        <w:t>.</w:t>
      </w:r>
    </w:p>
    <w:p w:rsidR="00E35632" w:rsidRDefault="00E35632">
      <w:pPr>
        <w:pStyle w:val="ConsPlusNormal"/>
        <w:spacing w:before="220"/>
        <w:ind w:firstLine="540"/>
        <w:jc w:val="both"/>
      </w:pPr>
      <w:bookmarkStart w:id="174" w:name="P3062"/>
      <w:bookmarkEnd w:id="174"/>
      <w:r>
        <w:t xml:space="preserve">6.5.11 Коэффициент истираемости </w:t>
      </w:r>
      <w:r>
        <w:rPr>
          <w:i/>
        </w:rPr>
        <w:t>K</w:t>
      </w:r>
      <w:r>
        <w:rPr>
          <w:i/>
          <w:vertAlign w:val="subscript"/>
        </w:rPr>
        <w:t>fr</w:t>
      </w:r>
      <w:r>
        <w:t xml:space="preserve"> крупных обломков (частиц более 2 мм) элювиальных крупнообломочных грунтов определяют по испытаниям на истираемость этих частиц во вращающемся полочном барабане и вычисляют по формуле</w:t>
      </w:r>
    </w:p>
    <w:p w:rsidR="00E35632" w:rsidRDefault="00E35632">
      <w:pPr>
        <w:pStyle w:val="ConsPlusNormal"/>
        <w:jc w:val="both"/>
      </w:pPr>
    </w:p>
    <w:p w:rsidR="00E35632" w:rsidRDefault="00E35632">
      <w:pPr>
        <w:pStyle w:val="ConsPlusNormal"/>
        <w:jc w:val="center"/>
      </w:pPr>
      <w:r>
        <w:rPr>
          <w:i/>
        </w:rPr>
        <w:t>K</w:t>
      </w:r>
      <w:r>
        <w:rPr>
          <w:i/>
          <w:vertAlign w:val="subscript"/>
        </w:rPr>
        <w:t>fr</w:t>
      </w:r>
      <w:r>
        <w:t xml:space="preserve"> = </w:t>
      </w:r>
      <w:r>
        <w:rPr>
          <w:i/>
        </w:rPr>
        <w:t>m</w:t>
      </w:r>
      <w:r>
        <w:rPr>
          <w:vertAlign w:val="subscript"/>
        </w:rPr>
        <w:t>1</w:t>
      </w:r>
      <w:r>
        <w:t>/</w:t>
      </w:r>
      <w:r>
        <w:rPr>
          <w:i/>
        </w:rPr>
        <w:t>m</w:t>
      </w:r>
      <w:r>
        <w:rPr>
          <w:vertAlign w:val="subscript"/>
        </w:rPr>
        <w:t>0</w:t>
      </w:r>
      <w:r>
        <w:t>, (6.24)</w:t>
      </w:r>
    </w:p>
    <w:p w:rsidR="00E35632" w:rsidRDefault="00E35632">
      <w:pPr>
        <w:pStyle w:val="ConsPlusNormal"/>
        <w:jc w:val="both"/>
      </w:pPr>
    </w:p>
    <w:p w:rsidR="00E35632" w:rsidRDefault="00E35632">
      <w:pPr>
        <w:pStyle w:val="ConsPlusNormal"/>
        <w:ind w:firstLine="540"/>
        <w:jc w:val="both"/>
      </w:pPr>
      <w:r>
        <w:t xml:space="preserve">где </w:t>
      </w:r>
      <w:r>
        <w:rPr>
          <w:i/>
        </w:rPr>
        <w:t>m</w:t>
      </w:r>
      <w:r>
        <w:rPr>
          <w:vertAlign w:val="subscript"/>
        </w:rPr>
        <w:t>1</w:t>
      </w:r>
      <w:r>
        <w:t xml:space="preserve"> - масса частиц размером менее 2 мм после испытания на истирание;</w:t>
      </w:r>
    </w:p>
    <w:p w:rsidR="00E35632" w:rsidRDefault="00E35632">
      <w:pPr>
        <w:pStyle w:val="ConsPlusNormal"/>
        <w:spacing w:before="220"/>
        <w:ind w:firstLine="540"/>
        <w:jc w:val="both"/>
      </w:pPr>
      <w:r>
        <w:rPr>
          <w:i/>
        </w:rPr>
        <w:t>m</w:t>
      </w:r>
      <w:r>
        <w:rPr>
          <w:vertAlign w:val="subscript"/>
        </w:rPr>
        <w:t>0</w:t>
      </w:r>
      <w:r>
        <w:t xml:space="preserve"> - начальная масса пробы крупных обломков.</w:t>
      </w:r>
    </w:p>
    <w:p w:rsidR="00E35632" w:rsidRDefault="00E35632">
      <w:pPr>
        <w:pStyle w:val="ConsPlusNormal"/>
        <w:spacing w:before="220"/>
        <w:ind w:firstLine="540"/>
        <w:jc w:val="both"/>
      </w:pPr>
      <w:r>
        <w:t xml:space="preserve">Подразделение крупных обломков по прочности в зависимости от значений </w:t>
      </w:r>
      <w:r>
        <w:rPr>
          <w:i/>
        </w:rPr>
        <w:t>K</w:t>
      </w:r>
      <w:r>
        <w:rPr>
          <w:i/>
          <w:vertAlign w:val="subscript"/>
        </w:rPr>
        <w:t>fr</w:t>
      </w:r>
      <w:r>
        <w:t xml:space="preserve"> приведено в </w:t>
      </w:r>
      <w:hyperlink w:anchor="P3086">
        <w:r>
          <w:rPr>
            <w:color w:val="0000FF"/>
          </w:rPr>
          <w:t>таблице 6.8</w:t>
        </w:r>
      </w:hyperlink>
      <w:r>
        <w:t>.</w:t>
      </w:r>
    </w:p>
    <w:p w:rsidR="00E35632" w:rsidRDefault="00E35632">
      <w:pPr>
        <w:pStyle w:val="ConsPlusNormal"/>
        <w:jc w:val="both"/>
      </w:pPr>
    </w:p>
    <w:p w:rsidR="00E35632" w:rsidRDefault="00E35632">
      <w:pPr>
        <w:pStyle w:val="ConsPlusNormal"/>
        <w:jc w:val="right"/>
      </w:pPr>
      <w:bookmarkStart w:id="175" w:name="P3070"/>
      <w:bookmarkEnd w:id="175"/>
      <w:r>
        <w:t>Таблица 6.7</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80"/>
        <w:gridCol w:w="3120"/>
        <w:gridCol w:w="2760"/>
      </w:tblGrid>
      <w:tr w:rsidR="00E35632">
        <w:tc>
          <w:tcPr>
            <w:tcW w:w="3180" w:type="dxa"/>
            <w:vMerge w:val="restart"/>
            <w:tcBorders>
              <w:top w:val="single" w:sz="4" w:space="0" w:color="auto"/>
              <w:bottom w:val="single" w:sz="4" w:space="0" w:color="auto"/>
            </w:tcBorders>
            <w:vAlign w:val="center"/>
          </w:tcPr>
          <w:p w:rsidR="00E35632" w:rsidRDefault="00E35632">
            <w:pPr>
              <w:pStyle w:val="ConsPlusNormal"/>
              <w:jc w:val="center"/>
            </w:pPr>
            <w:r>
              <w:t>Разновидности элювиальных крупнообломочных грунтов по степени выветрелости</w:t>
            </w:r>
          </w:p>
        </w:tc>
        <w:tc>
          <w:tcPr>
            <w:tcW w:w="5880" w:type="dxa"/>
            <w:gridSpan w:val="2"/>
            <w:tcBorders>
              <w:top w:val="single" w:sz="4" w:space="0" w:color="auto"/>
              <w:bottom w:val="single" w:sz="4" w:space="0" w:color="auto"/>
            </w:tcBorders>
            <w:vAlign w:val="center"/>
          </w:tcPr>
          <w:p w:rsidR="00E35632" w:rsidRDefault="00E35632">
            <w:pPr>
              <w:pStyle w:val="ConsPlusNormal"/>
              <w:jc w:val="center"/>
            </w:pPr>
            <w:r>
              <w:t xml:space="preserve">Коэффициент выветрелости </w:t>
            </w:r>
            <w:r>
              <w:rPr>
                <w:i/>
              </w:rPr>
              <w:t>K</w:t>
            </w:r>
            <w:r>
              <w:rPr>
                <w:i/>
                <w:vertAlign w:val="subscript"/>
              </w:rPr>
              <w:t>wr</w:t>
            </w:r>
            <w:r>
              <w:t xml:space="preserve"> для крупнообломочных грунтов при исходных образующих породах</w:t>
            </w:r>
          </w:p>
        </w:tc>
      </w:tr>
      <w:tr w:rsidR="00E35632">
        <w:tc>
          <w:tcPr>
            <w:tcW w:w="3180" w:type="dxa"/>
            <w:vMerge/>
            <w:tcBorders>
              <w:top w:val="single" w:sz="4" w:space="0" w:color="auto"/>
              <w:bottom w:val="single" w:sz="4" w:space="0" w:color="auto"/>
            </w:tcBorders>
          </w:tcPr>
          <w:p w:rsidR="00E35632" w:rsidRDefault="00E35632">
            <w:pPr>
              <w:pStyle w:val="ConsPlusNormal"/>
            </w:pPr>
          </w:p>
        </w:tc>
        <w:tc>
          <w:tcPr>
            <w:tcW w:w="3120" w:type="dxa"/>
            <w:tcBorders>
              <w:top w:val="single" w:sz="4" w:space="0" w:color="auto"/>
              <w:bottom w:val="single" w:sz="4" w:space="0" w:color="auto"/>
            </w:tcBorders>
            <w:vAlign w:val="center"/>
          </w:tcPr>
          <w:p w:rsidR="00E35632" w:rsidRDefault="00E35632">
            <w:pPr>
              <w:pStyle w:val="ConsPlusNormal"/>
              <w:jc w:val="center"/>
            </w:pPr>
            <w:r>
              <w:t>магматических и метаморфических</w:t>
            </w:r>
          </w:p>
        </w:tc>
        <w:tc>
          <w:tcPr>
            <w:tcW w:w="2760" w:type="dxa"/>
            <w:tcBorders>
              <w:top w:val="single" w:sz="4" w:space="0" w:color="auto"/>
              <w:bottom w:val="single" w:sz="4" w:space="0" w:color="auto"/>
            </w:tcBorders>
            <w:vAlign w:val="center"/>
          </w:tcPr>
          <w:p w:rsidR="00E35632" w:rsidRDefault="00E35632">
            <w:pPr>
              <w:pStyle w:val="ConsPlusNormal"/>
              <w:jc w:val="center"/>
            </w:pPr>
            <w:r>
              <w:t>осадочных сцементированных</w:t>
            </w:r>
          </w:p>
        </w:tc>
      </w:tr>
      <w:tr w:rsidR="00E35632">
        <w:tblPrEx>
          <w:tblBorders>
            <w:insideH w:val="none" w:sz="0" w:space="0" w:color="auto"/>
          </w:tblBorders>
        </w:tblPrEx>
        <w:tc>
          <w:tcPr>
            <w:tcW w:w="3180" w:type="dxa"/>
            <w:tcBorders>
              <w:top w:val="single" w:sz="4" w:space="0" w:color="auto"/>
              <w:bottom w:val="nil"/>
            </w:tcBorders>
          </w:tcPr>
          <w:p w:rsidR="00E35632" w:rsidRDefault="00E35632">
            <w:pPr>
              <w:pStyle w:val="ConsPlusNormal"/>
            </w:pPr>
            <w:r>
              <w:t>Невыветрелые</w:t>
            </w:r>
          </w:p>
        </w:tc>
        <w:tc>
          <w:tcPr>
            <w:tcW w:w="3120" w:type="dxa"/>
            <w:tcBorders>
              <w:top w:val="single" w:sz="4" w:space="0" w:color="auto"/>
              <w:bottom w:val="nil"/>
            </w:tcBorders>
          </w:tcPr>
          <w:p w:rsidR="00E35632" w:rsidRDefault="00E35632">
            <w:pPr>
              <w:pStyle w:val="ConsPlusNormal"/>
              <w:jc w:val="center"/>
            </w:pPr>
            <w:r>
              <w:t xml:space="preserve">0 &lt; </w:t>
            </w:r>
            <w:r>
              <w:rPr>
                <w:i/>
              </w:rPr>
              <w:t>K</w:t>
            </w:r>
            <w:r>
              <w:rPr>
                <w:i/>
                <w:vertAlign w:val="subscript"/>
              </w:rPr>
              <w:t>wr</w:t>
            </w:r>
            <w:r>
              <w:t xml:space="preserve"> &lt;= 0,5</w:t>
            </w:r>
          </w:p>
        </w:tc>
        <w:tc>
          <w:tcPr>
            <w:tcW w:w="2760" w:type="dxa"/>
            <w:tcBorders>
              <w:top w:val="single" w:sz="4" w:space="0" w:color="auto"/>
              <w:bottom w:val="nil"/>
            </w:tcBorders>
          </w:tcPr>
          <w:p w:rsidR="00E35632" w:rsidRDefault="00E35632">
            <w:pPr>
              <w:pStyle w:val="ConsPlusNormal"/>
              <w:jc w:val="center"/>
            </w:pPr>
            <w:r>
              <w:t xml:space="preserve">0 &lt; </w:t>
            </w:r>
            <w:r>
              <w:rPr>
                <w:i/>
              </w:rPr>
              <w:t>K</w:t>
            </w:r>
            <w:r>
              <w:rPr>
                <w:i/>
                <w:vertAlign w:val="subscript"/>
              </w:rPr>
              <w:t>wr</w:t>
            </w:r>
            <w:r>
              <w:t xml:space="preserve"> &lt;= 0,33</w:t>
            </w:r>
          </w:p>
        </w:tc>
      </w:tr>
      <w:tr w:rsidR="00E35632">
        <w:tblPrEx>
          <w:tblBorders>
            <w:insideH w:val="none" w:sz="0" w:space="0" w:color="auto"/>
          </w:tblBorders>
        </w:tblPrEx>
        <w:tc>
          <w:tcPr>
            <w:tcW w:w="3180" w:type="dxa"/>
            <w:tcBorders>
              <w:top w:val="nil"/>
              <w:bottom w:val="nil"/>
            </w:tcBorders>
          </w:tcPr>
          <w:p w:rsidR="00E35632" w:rsidRDefault="00E35632">
            <w:pPr>
              <w:pStyle w:val="ConsPlusNormal"/>
            </w:pPr>
            <w:r>
              <w:t>Слабовыветрелые</w:t>
            </w:r>
          </w:p>
        </w:tc>
        <w:tc>
          <w:tcPr>
            <w:tcW w:w="3120" w:type="dxa"/>
            <w:tcBorders>
              <w:top w:val="nil"/>
              <w:bottom w:val="nil"/>
            </w:tcBorders>
          </w:tcPr>
          <w:p w:rsidR="00E35632" w:rsidRDefault="00E35632">
            <w:pPr>
              <w:pStyle w:val="ConsPlusNormal"/>
              <w:jc w:val="center"/>
            </w:pPr>
            <w:r>
              <w:t xml:space="preserve">0,5 &lt; </w:t>
            </w:r>
            <w:r>
              <w:rPr>
                <w:i/>
              </w:rPr>
              <w:t>K</w:t>
            </w:r>
            <w:r>
              <w:rPr>
                <w:i/>
                <w:vertAlign w:val="subscript"/>
              </w:rPr>
              <w:t>wr</w:t>
            </w:r>
            <w:r>
              <w:t xml:space="preserve"> &lt;= 0,75</w:t>
            </w:r>
          </w:p>
        </w:tc>
        <w:tc>
          <w:tcPr>
            <w:tcW w:w="2760" w:type="dxa"/>
            <w:tcBorders>
              <w:top w:val="nil"/>
              <w:bottom w:val="nil"/>
            </w:tcBorders>
          </w:tcPr>
          <w:p w:rsidR="00E35632" w:rsidRDefault="00E35632">
            <w:pPr>
              <w:pStyle w:val="ConsPlusNormal"/>
              <w:jc w:val="center"/>
            </w:pPr>
            <w:r>
              <w:t xml:space="preserve">0,33 &lt; </w:t>
            </w:r>
            <w:r>
              <w:rPr>
                <w:i/>
              </w:rPr>
              <w:t>K</w:t>
            </w:r>
            <w:r>
              <w:rPr>
                <w:i/>
                <w:vertAlign w:val="subscript"/>
              </w:rPr>
              <w:t>wr</w:t>
            </w:r>
            <w:r>
              <w:t xml:space="preserve"> &lt;= 0,67</w:t>
            </w:r>
          </w:p>
        </w:tc>
      </w:tr>
      <w:tr w:rsidR="00E35632">
        <w:tblPrEx>
          <w:tblBorders>
            <w:insideH w:val="none" w:sz="0" w:space="0" w:color="auto"/>
          </w:tblBorders>
        </w:tblPrEx>
        <w:tc>
          <w:tcPr>
            <w:tcW w:w="3180" w:type="dxa"/>
            <w:tcBorders>
              <w:top w:val="nil"/>
              <w:bottom w:val="single" w:sz="4" w:space="0" w:color="auto"/>
            </w:tcBorders>
          </w:tcPr>
          <w:p w:rsidR="00E35632" w:rsidRDefault="00E35632">
            <w:pPr>
              <w:pStyle w:val="ConsPlusNormal"/>
            </w:pPr>
            <w:r>
              <w:t>Сильновыветрелые</w:t>
            </w:r>
          </w:p>
        </w:tc>
        <w:tc>
          <w:tcPr>
            <w:tcW w:w="3120" w:type="dxa"/>
            <w:tcBorders>
              <w:top w:val="nil"/>
              <w:bottom w:val="single" w:sz="4" w:space="0" w:color="auto"/>
            </w:tcBorders>
          </w:tcPr>
          <w:p w:rsidR="00E35632" w:rsidRDefault="00E35632">
            <w:pPr>
              <w:pStyle w:val="ConsPlusNormal"/>
              <w:jc w:val="center"/>
            </w:pPr>
            <w:r>
              <w:t xml:space="preserve">0,75 &lt; </w:t>
            </w:r>
            <w:r>
              <w:rPr>
                <w:i/>
              </w:rPr>
              <w:t>K</w:t>
            </w:r>
            <w:r>
              <w:rPr>
                <w:i/>
                <w:vertAlign w:val="subscript"/>
              </w:rPr>
              <w:t>wr</w:t>
            </w:r>
            <w:r>
              <w:t xml:space="preserve"> &lt; 1</w:t>
            </w:r>
          </w:p>
        </w:tc>
        <w:tc>
          <w:tcPr>
            <w:tcW w:w="2760" w:type="dxa"/>
            <w:tcBorders>
              <w:top w:val="nil"/>
              <w:bottom w:val="single" w:sz="4" w:space="0" w:color="auto"/>
            </w:tcBorders>
          </w:tcPr>
          <w:p w:rsidR="00E35632" w:rsidRDefault="00E35632">
            <w:pPr>
              <w:pStyle w:val="ConsPlusNormal"/>
              <w:jc w:val="center"/>
            </w:pPr>
            <w:r>
              <w:t xml:space="preserve">0,67 &lt; </w:t>
            </w:r>
            <w:r>
              <w:rPr>
                <w:i/>
              </w:rPr>
              <w:t>K</w:t>
            </w:r>
            <w:r>
              <w:rPr>
                <w:i/>
                <w:vertAlign w:val="subscript"/>
              </w:rPr>
              <w:t>wr</w:t>
            </w:r>
            <w:r>
              <w:t xml:space="preserve"> &lt; 1</w:t>
            </w:r>
          </w:p>
        </w:tc>
      </w:tr>
    </w:tbl>
    <w:p w:rsidR="00E35632" w:rsidRDefault="00E35632">
      <w:pPr>
        <w:pStyle w:val="ConsPlusNormal"/>
        <w:jc w:val="both"/>
      </w:pPr>
    </w:p>
    <w:p w:rsidR="00E35632" w:rsidRDefault="00E35632">
      <w:pPr>
        <w:pStyle w:val="ConsPlusNormal"/>
        <w:jc w:val="right"/>
      </w:pPr>
      <w:bookmarkStart w:id="176" w:name="P3086"/>
      <w:bookmarkEnd w:id="176"/>
      <w:r>
        <w:t>Таблица 6.8</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740"/>
        <w:gridCol w:w="4320"/>
      </w:tblGrid>
      <w:tr w:rsidR="00E35632">
        <w:tc>
          <w:tcPr>
            <w:tcW w:w="4740" w:type="dxa"/>
            <w:tcBorders>
              <w:top w:val="single" w:sz="4" w:space="0" w:color="auto"/>
              <w:bottom w:val="single" w:sz="4" w:space="0" w:color="auto"/>
            </w:tcBorders>
            <w:vAlign w:val="center"/>
          </w:tcPr>
          <w:p w:rsidR="00E35632" w:rsidRDefault="00E35632">
            <w:pPr>
              <w:pStyle w:val="ConsPlusNormal"/>
              <w:jc w:val="center"/>
            </w:pPr>
            <w:r>
              <w:t>Наименование обломков по прочности на истирание</w:t>
            </w:r>
          </w:p>
        </w:tc>
        <w:tc>
          <w:tcPr>
            <w:tcW w:w="4320" w:type="dxa"/>
            <w:tcBorders>
              <w:top w:val="single" w:sz="4" w:space="0" w:color="auto"/>
              <w:bottom w:val="single" w:sz="4" w:space="0" w:color="auto"/>
            </w:tcBorders>
            <w:vAlign w:val="center"/>
          </w:tcPr>
          <w:p w:rsidR="00E35632" w:rsidRDefault="00E35632">
            <w:pPr>
              <w:pStyle w:val="ConsPlusNormal"/>
              <w:jc w:val="center"/>
            </w:pPr>
            <w:r>
              <w:t xml:space="preserve">Коэффициент истираемости обломков </w:t>
            </w:r>
            <w:r>
              <w:rPr>
                <w:i/>
              </w:rPr>
              <w:t>K</w:t>
            </w:r>
            <w:r>
              <w:rPr>
                <w:i/>
                <w:vertAlign w:val="subscript"/>
              </w:rPr>
              <w:t>fr</w:t>
            </w:r>
          </w:p>
        </w:tc>
      </w:tr>
      <w:tr w:rsidR="00E35632">
        <w:tblPrEx>
          <w:tblBorders>
            <w:insideH w:val="none" w:sz="0" w:space="0" w:color="auto"/>
          </w:tblBorders>
        </w:tblPrEx>
        <w:tc>
          <w:tcPr>
            <w:tcW w:w="4740" w:type="dxa"/>
            <w:tcBorders>
              <w:top w:val="single" w:sz="4" w:space="0" w:color="auto"/>
              <w:bottom w:val="nil"/>
            </w:tcBorders>
          </w:tcPr>
          <w:p w:rsidR="00E35632" w:rsidRDefault="00E35632">
            <w:pPr>
              <w:pStyle w:val="ConsPlusNormal"/>
            </w:pPr>
            <w:r>
              <w:t>Очень прочные</w:t>
            </w:r>
          </w:p>
        </w:tc>
        <w:tc>
          <w:tcPr>
            <w:tcW w:w="4320" w:type="dxa"/>
            <w:tcBorders>
              <w:top w:val="single" w:sz="4" w:space="0" w:color="auto"/>
              <w:bottom w:val="nil"/>
            </w:tcBorders>
          </w:tcPr>
          <w:p w:rsidR="00E35632" w:rsidRDefault="00E35632">
            <w:pPr>
              <w:pStyle w:val="ConsPlusNormal"/>
              <w:jc w:val="center"/>
            </w:pPr>
            <w:r>
              <w:rPr>
                <w:i/>
              </w:rPr>
              <w:t>K</w:t>
            </w:r>
            <w:r>
              <w:rPr>
                <w:i/>
                <w:vertAlign w:val="subscript"/>
              </w:rPr>
              <w:t>fr</w:t>
            </w:r>
            <w:r>
              <w:t xml:space="preserve"> &lt;= 0,05</w:t>
            </w:r>
          </w:p>
        </w:tc>
      </w:tr>
      <w:tr w:rsidR="00E35632">
        <w:tblPrEx>
          <w:tblBorders>
            <w:insideH w:val="none" w:sz="0" w:space="0" w:color="auto"/>
          </w:tblBorders>
        </w:tblPrEx>
        <w:tc>
          <w:tcPr>
            <w:tcW w:w="4740" w:type="dxa"/>
            <w:tcBorders>
              <w:top w:val="nil"/>
              <w:bottom w:val="nil"/>
            </w:tcBorders>
          </w:tcPr>
          <w:p w:rsidR="00E35632" w:rsidRDefault="00E35632">
            <w:pPr>
              <w:pStyle w:val="ConsPlusNormal"/>
            </w:pPr>
            <w:r>
              <w:t>Прочные</w:t>
            </w:r>
          </w:p>
        </w:tc>
        <w:tc>
          <w:tcPr>
            <w:tcW w:w="4320" w:type="dxa"/>
            <w:tcBorders>
              <w:top w:val="nil"/>
              <w:bottom w:val="nil"/>
            </w:tcBorders>
          </w:tcPr>
          <w:p w:rsidR="00E35632" w:rsidRDefault="00E35632">
            <w:pPr>
              <w:pStyle w:val="ConsPlusNormal"/>
              <w:jc w:val="center"/>
            </w:pPr>
            <w:r>
              <w:t xml:space="preserve">0,05 &lt; </w:t>
            </w:r>
            <w:r>
              <w:rPr>
                <w:i/>
              </w:rPr>
              <w:t>K</w:t>
            </w:r>
            <w:r>
              <w:rPr>
                <w:i/>
                <w:vertAlign w:val="subscript"/>
              </w:rPr>
              <w:t>fr</w:t>
            </w:r>
            <w:r>
              <w:t xml:space="preserve"> &lt;= 0,2</w:t>
            </w:r>
          </w:p>
        </w:tc>
      </w:tr>
      <w:tr w:rsidR="00E35632">
        <w:tblPrEx>
          <w:tblBorders>
            <w:insideH w:val="none" w:sz="0" w:space="0" w:color="auto"/>
          </w:tblBorders>
        </w:tblPrEx>
        <w:tc>
          <w:tcPr>
            <w:tcW w:w="4740" w:type="dxa"/>
            <w:tcBorders>
              <w:top w:val="nil"/>
              <w:bottom w:val="nil"/>
            </w:tcBorders>
          </w:tcPr>
          <w:p w:rsidR="00E35632" w:rsidRDefault="00E35632">
            <w:pPr>
              <w:pStyle w:val="ConsPlusNormal"/>
            </w:pPr>
            <w:r>
              <w:t>Средней прочности</w:t>
            </w:r>
          </w:p>
        </w:tc>
        <w:tc>
          <w:tcPr>
            <w:tcW w:w="4320" w:type="dxa"/>
            <w:tcBorders>
              <w:top w:val="nil"/>
              <w:bottom w:val="nil"/>
            </w:tcBorders>
          </w:tcPr>
          <w:p w:rsidR="00E35632" w:rsidRDefault="00E35632">
            <w:pPr>
              <w:pStyle w:val="ConsPlusNormal"/>
              <w:jc w:val="center"/>
            </w:pPr>
            <w:r>
              <w:t xml:space="preserve">0,2 &lt; </w:t>
            </w:r>
            <w:r>
              <w:rPr>
                <w:i/>
              </w:rPr>
              <w:t>K</w:t>
            </w:r>
            <w:r>
              <w:rPr>
                <w:i/>
                <w:vertAlign w:val="subscript"/>
              </w:rPr>
              <w:t>fr</w:t>
            </w:r>
            <w:r>
              <w:t xml:space="preserve"> &lt;= 0,3</w:t>
            </w:r>
          </w:p>
        </w:tc>
      </w:tr>
      <w:tr w:rsidR="00E35632">
        <w:tblPrEx>
          <w:tblBorders>
            <w:insideH w:val="none" w:sz="0" w:space="0" w:color="auto"/>
          </w:tblBorders>
        </w:tblPrEx>
        <w:tc>
          <w:tcPr>
            <w:tcW w:w="4740" w:type="dxa"/>
            <w:tcBorders>
              <w:top w:val="nil"/>
              <w:bottom w:val="nil"/>
            </w:tcBorders>
          </w:tcPr>
          <w:p w:rsidR="00E35632" w:rsidRDefault="00E35632">
            <w:pPr>
              <w:pStyle w:val="ConsPlusNormal"/>
            </w:pPr>
            <w:r>
              <w:t>Малопрочные</w:t>
            </w:r>
          </w:p>
        </w:tc>
        <w:tc>
          <w:tcPr>
            <w:tcW w:w="4320" w:type="dxa"/>
            <w:tcBorders>
              <w:top w:val="nil"/>
              <w:bottom w:val="nil"/>
            </w:tcBorders>
          </w:tcPr>
          <w:p w:rsidR="00E35632" w:rsidRDefault="00E35632">
            <w:pPr>
              <w:pStyle w:val="ConsPlusNormal"/>
              <w:jc w:val="center"/>
            </w:pPr>
            <w:r>
              <w:t xml:space="preserve">0,3 &lt; </w:t>
            </w:r>
            <w:r>
              <w:rPr>
                <w:i/>
              </w:rPr>
              <w:t>K</w:t>
            </w:r>
            <w:r>
              <w:rPr>
                <w:i/>
                <w:vertAlign w:val="subscript"/>
              </w:rPr>
              <w:t>fr</w:t>
            </w:r>
            <w:r>
              <w:t xml:space="preserve"> &lt;= 0,4</w:t>
            </w:r>
          </w:p>
        </w:tc>
      </w:tr>
      <w:tr w:rsidR="00E35632">
        <w:tblPrEx>
          <w:tblBorders>
            <w:insideH w:val="none" w:sz="0" w:space="0" w:color="auto"/>
          </w:tblBorders>
        </w:tblPrEx>
        <w:tc>
          <w:tcPr>
            <w:tcW w:w="4740" w:type="dxa"/>
            <w:tcBorders>
              <w:top w:val="nil"/>
              <w:bottom w:val="single" w:sz="4" w:space="0" w:color="auto"/>
            </w:tcBorders>
          </w:tcPr>
          <w:p w:rsidR="00E35632" w:rsidRDefault="00E35632">
            <w:pPr>
              <w:pStyle w:val="ConsPlusNormal"/>
            </w:pPr>
            <w:r>
              <w:t>Непрочные</w:t>
            </w:r>
          </w:p>
        </w:tc>
        <w:tc>
          <w:tcPr>
            <w:tcW w:w="4320" w:type="dxa"/>
            <w:tcBorders>
              <w:top w:val="nil"/>
              <w:bottom w:val="single" w:sz="4" w:space="0" w:color="auto"/>
            </w:tcBorders>
          </w:tcPr>
          <w:p w:rsidR="00E35632" w:rsidRDefault="00E35632">
            <w:pPr>
              <w:pStyle w:val="ConsPlusNormal"/>
              <w:jc w:val="center"/>
            </w:pPr>
            <w:r>
              <w:rPr>
                <w:i/>
              </w:rPr>
              <w:t>K</w:t>
            </w:r>
            <w:r>
              <w:rPr>
                <w:i/>
                <w:vertAlign w:val="subscript"/>
              </w:rPr>
              <w:t>fr</w:t>
            </w:r>
            <w:r>
              <w:t xml:space="preserve"> &gt; 0,4</w:t>
            </w:r>
          </w:p>
        </w:tc>
      </w:tr>
    </w:tbl>
    <w:p w:rsidR="00E35632" w:rsidRDefault="00E35632">
      <w:pPr>
        <w:pStyle w:val="ConsPlusNormal"/>
        <w:jc w:val="both"/>
      </w:pPr>
    </w:p>
    <w:p w:rsidR="00E35632" w:rsidRDefault="00E35632">
      <w:pPr>
        <w:pStyle w:val="ConsPlusNormal"/>
        <w:ind w:firstLine="540"/>
        <w:jc w:val="both"/>
      </w:pPr>
      <w:bookmarkStart w:id="177" w:name="P3101"/>
      <w:bookmarkEnd w:id="177"/>
      <w:r>
        <w:t>6.5.12 При подразделении элювиальных крупнообломочных грунтов по гранулометрическому составу на разновидности необходимо указывать содержание частиц заполнителя размером менее 0,1 мм, а также выделять щебенисто-дресвяные грунты при содержании частиц менее 0,1 мм до 10%, а частиц крупнее 10 мм - более 25% по массе.</w:t>
      </w:r>
    </w:p>
    <w:p w:rsidR="00E35632" w:rsidRDefault="00E35632">
      <w:pPr>
        <w:pStyle w:val="ConsPlusNormal"/>
        <w:spacing w:before="220"/>
        <w:ind w:firstLine="540"/>
        <w:jc w:val="both"/>
      </w:pPr>
      <w:r>
        <w:t xml:space="preserve">Ориентировочные значения модуля деформации для разновидностей элювиальных крупнообломочных грунтов приведены в </w:t>
      </w:r>
      <w:hyperlink w:anchor="P7343">
        <w:r>
          <w:rPr>
            <w:color w:val="0000FF"/>
          </w:rPr>
          <w:t>приложении И</w:t>
        </w:r>
      </w:hyperlink>
      <w:r>
        <w:t>.</w:t>
      </w:r>
    </w:p>
    <w:p w:rsidR="00E35632" w:rsidRDefault="00E35632">
      <w:pPr>
        <w:pStyle w:val="ConsPlusNormal"/>
        <w:spacing w:before="220"/>
        <w:ind w:firstLine="540"/>
        <w:jc w:val="both"/>
      </w:pPr>
      <w:r>
        <w:lastRenderedPageBreak/>
        <w:t>6.5.13 В элювиальных песках и глинистых грунтах - продуктах выветривания магматических и метаморфических пород - следует выделять прочноструктурные и слабоструктурные разновидности.</w:t>
      </w:r>
    </w:p>
    <w:p w:rsidR="00E35632" w:rsidRDefault="00E35632">
      <w:pPr>
        <w:pStyle w:val="ConsPlusNormal"/>
        <w:spacing w:before="220"/>
        <w:ind w:firstLine="540"/>
        <w:jc w:val="both"/>
      </w:pPr>
      <w:r>
        <w:t xml:space="preserve">К прочноструктурным (сапролитам) относятся пески и глинистые грунты, в которых частично сохранена макроструктура исходных пород и которые при природной влажности характеризуются пределом прочности на одноосное сжатие </w:t>
      </w:r>
      <w:r>
        <w:rPr>
          <w:i/>
        </w:rPr>
        <w:t>R</w:t>
      </w:r>
      <w:r>
        <w:rPr>
          <w:i/>
          <w:vertAlign w:val="subscript"/>
        </w:rPr>
        <w:t>c</w:t>
      </w:r>
      <w:r>
        <w:t xml:space="preserve"> &gt;= 0,2 МПа.</w:t>
      </w:r>
    </w:p>
    <w:p w:rsidR="00E35632" w:rsidRDefault="00E35632">
      <w:pPr>
        <w:pStyle w:val="ConsPlusNormal"/>
        <w:spacing w:before="220"/>
        <w:ind w:firstLine="540"/>
        <w:jc w:val="both"/>
      </w:pPr>
      <w:r>
        <w:t xml:space="preserve">Элювиальные пески и глинистые грунты, имеющие при природной влажности значение </w:t>
      </w:r>
      <w:r>
        <w:rPr>
          <w:i/>
        </w:rPr>
        <w:t>R</w:t>
      </w:r>
      <w:r>
        <w:rPr>
          <w:i/>
          <w:vertAlign w:val="subscript"/>
        </w:rPr>
        <w:t>c</w:t>
      </w:r>
      <w:r>
        <w:t xml:space="preserve"> &lt; 0,2 МПа, относятся к слабоструктурным. Нормативные значения </w:t>
      </w:r>
      <w:r>
        <w:rPr>
          <w:i/>
        </w:rPr>
        <w:t>E</w:t>
      </w:r>
      <w:r>
        <w:t xml:space="preserve">, </w:t>
      </w:r>
      <w:r>
        <w:rPr>
          <w:noProof/>
          <w:position w:val="-4"/>
        </w:rPr>
        <w:drawing>
          <wp:inline distT="0" distB="0" distL="0" distR="0">
            <wp:extent cx="160020" cy="192405"/>
            <wp:effectExtent l="0" t="0" r="0" b="0"/>
            <wp:docPr id="3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r>
        <w:t xml:space="preserve"> и </w:t>
      </w:r>
      <w:r>
        <w:rPr>
          <w:i/>
        </w:rPr>
        <w:t>c</w:t>
      </w:r>
      <w:r>
        <w:t xml:space="preserve"> этих грунтов для расчетов оснований сооружений, оговоренных в </w:t>
      </w:r>
      <w:hyperlink w:anchor="P612">
        <w:r>
          <w:rPr>
            <w:color w:val="0000FF"/>
          </w:rPr>
          <w:t>5.3.20</w:t>
        </w:r>
      </w:hyperlink>
      <w:r>
        <w:t xml:space="preserve">, допускается принимать по </w:t>
      </w:r>
      <w:hyperlink w:anchor="P5723">
        <w:r>
          <w:rPr>
            <w:color w:val="0000FF"/>
          </w:rPr>
          <w:t>таблицам А.5</w:t>
        </w:r>
      </w:hyperlink>
      <w:r>
        <w:t xml:space="preserve"> и </w:t>
      </w:r>
      <w:hyperlink w:anchor="P5816">
        <w:r>
          <w:rPr>
            <w:color w:val="0000FF"/>
          </w:rPr>
          <w:t>А.6</w:t>
        </w:r>
      </w:hyperlink>
      <w:r>
        <w:t xml:space="preserve"> приложения А.</w:t>
      </w:r>
    </w:p>
    <w:p w:rsidR="00E35632" w:rsidRDefault="00E35632">
      <w:pPr>
        <w:pStyle w:val="ConsPlusNormal"/>
        <w:spacing w:before="220"/>
        <w:ind w:firstLine="540"/>
        <w:jc w:val="both"/>
      </w:pPr>
      <w:r>
        <w:t xml:space="preserve">6.5.14 Элювиальные глинистые грунты - продукты выветривания осадочных сцементированных скальных грунтов аргиллито-алевролитового комплекса - представлены в основном суглинками и глинами. Нормативные значения </w:t>
      </w:r>
      <w:r>
        <w:rPr>
          <w:i/>
        </w:rPr>
        <w:t>E</w:t>
      </w:r>
      <w:r>
        <w:t xml:space="preserve">, </w:t>
      </w:r>
      <w:r>
        <w:rPr>
          <w:noProof/>
          <w:position w:val="-4"/>
        </w:rPr>
        <w:drawing>
          <wp:inline distT="0" distB="0" distL="0" distR="0">
            <wp:extent cx="160020" cy="192405"/>
            <wp:effectExtent l="0" t="0" r="0" b="0"/>
            <wp:docPr id="3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r>
        <w:t xml:space="preserve"> и </w:t>
      </w:r>
      <w:r>
        <w:rPr>
          <w:i/>
        </w:rPr>
        <w:t>c</w:t>
      </w:r>
      <w:r>
        <w:t xml:space="preserve"> этих грунтов для расчетов сооружений, оговоренных в </w:t>
      </w:r>
      <w:hyperlink w:anchor="P612">
        <w:r>
          <w:rPr>
            <w:color w:val="0000FF"/>
          </w:rPr>
          <w:t>5.3.20</w:t>
        </w:r>
      </w:hyperlink>
      <w:r>
        <w:t xml:space="preserve">, допускается принимать по </w:t>
      </w:r>
      <w:hyperlink w:anchor="P6013">
        <w:r>
          <w:rPr>
            <w:color w:val="0000FF"/>
          </w:rPr>
          <w:t>таблице А.7</w:t>
        </w:r>
      </w:hyperlink>
      <w:r>
        <w:t xml:space="preserve"> приложения А, а для песков осадочных пород - по </w:t>
      </w:r>
      <w:hyperlink w:anchor="P5723">
        <w:r>
          <w:rPr>
            <w:color w:val="0000FF"/>
          </w:rPr>
          <w:t>таблице А.5</w:t>
        </w:r>
      </w:hyperlink>
      <w:r>
        <w:t xml:space="preserve"> приложения А, так как они близки по свойствам к пескам магматических кварцесодержащих пород.</w:t>
      </w:r>
    </w:p>
    <w:p w:rsidR="00E35632" w:rsidRDefault="00E35632">
      <w:pPr>
        <w:pStyle w:val="ConsPlusNormal"/>
        <w:spacing w:before="220"/>
        <w:ind w:firstLine="540"/>
        <w:jc w:val="both"/>
      </w:pPr>
      <w:r>
        <w:t xml:space="preserve">6.5.15 Расчет оснований фундаментов, сложенных элювиальными грунтами, следует проводить в соответствии с требованиями </w:t>
      </w:r>
      <w:hyperlink w:anchor="P375">
        <w:r>
          <w:rPr>
            <w:color w:val="0000FF"/>
          </w:rPr>
          <w:t>раздела 5</w:t>
        </w:r>
      </w:hyperlink>
      <w:r>
        <w:t xml:space="preserve">. Если элювиальные грунты являются просадочными или набухающими, следует учитывать требования </w:t>
      </w:r>
      <w:hyperlink w:anchor="P2323">
        <w:r>
          <w:rPr>
            <w:color w:val="0000FF"/>
          </w:rPr>
          <w:t>6.1</w:t>
        </w:r>
      </w:hyperlink>
      <w:r>
        <w:t xml:space="preserve"> и </w:t>
      </w:r>
      <w:hyperlink w:anchor="P2504">
        <w:r>
          <w:rPr>
            <w:color w:val="0000FF"/>
          </w:rPr>
          <w:t>6.2</w:t>
        </w:r>
      </w:hyperlink>
      <w:r>
        <w:t>.</w:t>
      </w:r>
    </w:p>
    <w:p w:rsidR="00E35632" w:rsidRDefault="00E35632">
      <w:pPr>
        <w:pStyle w:val="ConsPlusNormal"/>
        <w:spacing w:before="220"/>
        <w:ind w:firstLine="540"/>
        <w:jc w:val="both"/>
      </w:pPr>
      <w:bookmarkStart w:id="178" w:name="P3108"/>
      <w:bookmarkEnd w:id="178"/>
      <w:r>
        <w:t xml:space="preserve">6.5.16 Расчетные сопротивления </w:t>
      </w:r>
      <w:r>
        <w:rPr>
          <w:i/>
        </w:rPr>
        <w:t>R</w:t>
      </w:r>
      <w:r>
        <w:t xml:space="preserve"> дисперсных элювиальных грунтов при расчетах оснований фундаментов по деформациям определяют согласно требованиям </w:t>
      </w:r>
      <w:hyperlink w:anchor="P805">
        <w:r>
          <w:rPr>
            <w:color w:val="0000FF"/>
          </w:rPr>
          <w:t>5.6</w:t>
        </w:r>
      </w:hyperlink>
      <w:r>
        <w:t>.</w:t>
      </w:r>
    </w:p>
    <w:p w:rsidR="00E35632" w:rsidRDefault="00E35632">
      <w:pPr>
        <w:pStyle w:val="ConsPlusNormal"/>
        <w:spacing w:before="220"/>
        <w:ind w:firstLine="540"/>
        <w:jc w:val="both"/>
      </w:pPr>
      <w:r>
        <w:t xml:space="preserve">Расчетные сопротивления </w:t>
      </w:r>
      <w:r>
        <w:rPr>
          <w:i/>
        </w:rPr>
        <w:t>R</w:t>
      </w:r>
      <w:r>
        <w:rPr>
          <w:vertAlign w:val="subscript"/>
        </w:rPr>
        <w:t>0</w:t>
      </w:r>
      <w:r>
        <w:t xml:space="preserve"> для назначения предварительных размеров фундаментов сооружений геотехнических категорий 2 и 3 и окончательных размеров сооружений геотехнической категории 1 приведены в </w:t>
      </w:r>
      <w:hyperlink w:anchor="P6323">
        <w:r>
          <w:rPr>
            <w:color w:val="0000FF"/>
          </w:rPr>
          <w:t>таблицах Б.6</w:t>
        </w:r>
      </w:hyperlink>
      <w:r>
        <w:t xml:space="preserve"> - </w:t>
      </w:r>
      <w:hyperlink w:anchor="P6391">
        <w:r>
          <w:rPr>
            <w:color w:val="0000FF"/>
          </w:rPr>
          <w:t>Б.8</w:t>
        </w:r>
      </w:hyperlink>
      <w:r>
        <w:t xml:space="preserve"> приложения Б.</w:t>
      </w:r>
    </w:p>
    <w:p w:rsidR="00E35632" w:rsidRDefault="00E35632">
      <w:pPr>
        <w:pStyle w:val="ConsPlusNormal"/>
        <w:spacing w:before="220"/>
        <w:ind w:firstLine="540"/>
        <w:jc w:val="both"/>
      </w:pPr>
      <w:r>
        <w:t xml:space="preserve">6.5.17 При расчетных деформациях основания фундаментов, сложенного элювиальными грунтами, больше предельных или недостаточной несущей способности основания следует предусматривать следующие мероприятия в соответствии с </w:t>
      </w:r>
      <w:hyperlink w:anchor="P2257">
        <w:r>
          <w:rPr>
            <w:color w:val="0000FF"/>
          </w:rPr>
          <w:t>5.9</w:t>
        </w:r>
      </w:hyperlink>
      <w:r>
        <w:t>:</w:t>
      </w:r>
    </w:p>
    <w:p w:rsidR="00E35632" w:rsidRDefault="00E35632">
      <w:pPr>
        <w:pStyle w:val="ConsPlusNormal"/>
        <w:spacing w:before="220"/>
        <w:ind w:firstLine="540"/>
        <w:jc w:val="both"/>
      </w:pPr>
      <w:r>
        <w:t>- устройство уплотненных грунтовых распределительных подушек из песка, гравия, щебня или крупнообломочных грунтов с обломками исходных горных пород, в частности при неровной поверхности скальных грунтов;</w:t>
      </w:r>
    </w:p>
    <w:p w:rsidR="00E35632" w:rsidRDefault="00E35632">
      <w:pPr>
        <w:pStyle w:val="ConsPlusNormal"/>
        <w:spacing w:before="220"/>
        <w:ind w:firstLine="540"/>
        <w:jc w:val="both"/>
      </w:pPr>
      <w:r>
        <w:t>- удаление из верхней зоны основания включений скальных грунтов, полная или частичная замена рыхлого заполнения "карманов" и "гнезд" выветривания в скальных грунтах щебнем, гравием или песком с уплотнением.</w:t>
      </w:r>
    </w:p>
    <w:p w:rsidR="00E35632" w:rsidRDefault="00E35632">
      <w:pPr>
        <w:pStyle w:val="ConsPlusNormal"/>
        <w:spacing w:before="220"/>
        <w:ind w:firstLine="540"/>
        <w:jc w:val="both"/>
      </w:pPr>
      <w:r>
        <w:t xml:space="preserve">В случае недостаточности этих мероприятий следует предусматривать конструктивные мероприятия в соответствии с требованиями </w:t>
      </w:r>
      <w:hyperlink w:anchor="P2257">
        <w:r>
          <w:rPr>
            <w:color w:val="0000FF"/>
          </w:rPr>
          <w:t>5.9</w:t>
        </w:r>
      </w:hyperlink>
      <w:r>
        <w:t>, свайные фундаменты или метод выравнивания осадок основания фундаментов.</w:t>
      </w:r>
    </w:p>
    <w:p w:rsidR="00E35632" w:rsidRDefault="00E35632">
      <w:pPr>
        <w:pStyle w:val="ConsPlusNormal"/>
        <w:spacing w:before="220"/>
        <w:ind w:firstLine="540"/>
        <w:jc w:val="both"/>
      </w:pPr>
      <w:r>
        <w:t>6.5.18 В проекте оснований и фундаментов должна предусматриваться защита элювиальных грунтов от разрушения атмосферными воздействиями и водой в период устройства котлованов. Для этой цели следует применять водозащитные мероприятия, не допускать перерывы в устройстве оснований и последующем возведении фундаментов; предусматривать недобор грунта в котловане; применять взрывной способ разработки скальных грунтов лишь при условии мелкошпуровой отпалки.</w:t>
      </w:r>
    </w:p>
    <w:p w:rsidR="00E35632" w:rsidRDefault="00E35632">
      <w:pPr>
        <w:pStyle w:val="ConsPlusTitle"/>
        <w:spacing w:before="220"/>
        <w:ind w:firstLine="540"/>
        <w:jc w:val="both"/>
        <w:outlineLvl w:val="2"/>
      </w:pPr>
      <w:r>
        <w:t>6.6 Насыпные грунты</w:t>
      </w:r>
    </w:p>
    <w:p w:rsidR="00E35632" w:rsidRDefault="00E35632">
      <w:pPr>
        <w:pStyle w:val="ConsPlusNormal"/>
        <w:spacing w:before="220"/>
        <w:ind w:firstLine="540"/>
        <w:jc w:val="both"/>
      </w:pPr>
      <w:r>
        <w:lastRenderedPageBreak/>
        <w:t>6.6.1 Основания, сложенные насыпными грунтами, следует проектировать с учетом их особенностей: состава, сложения, образования; процессов их происхождения; напряженно-деформируемого состояния; взаимодействия насыпных грунтов с глубокими фундаментами, подземными частями сооружения, упрочненными грунтовыми массивами.</w:t>
      </w:r>
    </w:p>
    <w:p w:rsidR="00E35632" w:rsidRDefault="00E35632">
      <w:pPr>
        <w:pStyle w:val="ConsPlusNormal"/>
        <w:spacing w:before="220"/>
        <w:ind w:firstLine="540"/>
        <w:jc w:val="both"/>
      </w:pPr>
      <w:r>
        <w:t>6.6.2 Насыпные грунты состоят из отдельных видов или смесей:</w:t>
      </w:r>
    </w:p>
    <w:p w:rsidR="00E35632" w:rsidRDefault="00E35632">
      <w:pPr>
        <w:pStyle w:val="ConsPlusNormal"/>
        <w:spacing w:before="220"/>
        <w:ind w:firstLine="540"/>
        <w:jc w:val="both"/>
      </w:pPr>
      <w:r>
        <w:t>- грунтов природного происхождения, первоначальная структура которых изменена в результате разработки и вторичной укладки;</w:t>
      </w:r>
    </w:p>
    <w:p w:rsidR="00E35632" w:rsidRDefault="00E35632">
      <w:pPr>
        <w:pStyle w:val="ConsPlusNormal"/>
        <w:spacing w:before="220"/>
        <w:ind w:firstLine="540"/>
        <w:jc w:val="both"/>
      </w:pPr>
      <w:r>
        <w:t>- отходов производства, представляющих собой искусственные минеральные, органоминеральные, органические материалы;</w:t>
      </w:r>
    </w:p>
    <w:p w:rsidR="00E35632" w:rsidRDefault="00E35632">
      <w:pPr>
        <w:pStyle w:val="ConsPlusNormal"/>
        <w:spacing w:before="220"/>
        <w:ind w:firstLine="540"/>
        <w:jc w:val="both"/>
      </w:pPr>
      <w:r>
        <w:t>- отходов потребления, чаще всего называемых бытовыми отходами и отбросами, состоящих из органических и минеральных материалов.</w:t>
      </w:r>
    </w:p>
    <w:p w:rsidR="00E35632" w:rsidRDefault="00E35632">
      <w:pPr>
        <w:pStyle w:val="ConsPlusNormal"/>
        <w:spacing w:before="220"/>
        <w:ind w:firstLine="540"/>
        <w:jc w:val="both"/>
      </w:pPr>
      <w:r>
        <w:t>6.6.3 В зависимости от состава сложения и образования выделяются три типа насыпных грунтов: I - планомерно возведенные, II - отвалы и III - свалки.</w:t>
      </w:r>
    </w:p>
    <w:p w:rsidR="00E35632" w:rsidRDefault="00E35632">
      <w:pPr>
        <w:pStyle w:val="ConsPlusNormal"/>
        <w:spacing w:before="220"/>
        <w:ind w:firstLine="540"/>
        <w:jc w:val="both"/>
      </w:pPr>
      <w:r>
        <w:t>Тип I - планомерно возведенные насыпные грунты обычно состоят из грунтов природного происхождения, минеральных отходов производств, отсыпанных с их уплотнением, имеют практически однородный состав сложения и равномерную сжимаемость. К ним относятся планировочные насыпи, возникшие при хозяйственном освоении пониженных, в том числе шельфовых территорий, земляные сооружения, обратная засыпка котлованов и др.</w:t>
      </w:r>
    </w:p>
    <w:p w:rsidR="00E35632" w:rsidRDefault="00E35632">
      <w:pPr>
        <w:pStyle w:val="ConsPlusNormal"/>
        <w:spacing w:before="220"/>
        <w:ind w:firstLine="540"/>
        <w:jc w:val="both"/>
      </w:pPr>
      <w:r>
        <w:t>Тип II - отвалы грунтов природного происхождения, минеральных отходов производств, образовавшиеся в результате плановой отсыпки этих материалов, чаще всего имеют достаточно однородный состав и сложение, низкую и неравномерную плотность и сжимаемость и другие характеристики.</w:t>
      </w:r>
    </w:p>
    <w:p w:rsidR="00E35632" w:rsidRDefault="00E35632">
      <w:pPr>
        <w:pStyle w:val="ConsPlusNormal"/>
        <w:spacing w:before="220"/>
        <w:ind w:firstLine="540"/>
        <w:jc w:val="both"/>
      </w:pPr>
      <w:r>
        <w:t>Тип III - свалки грунтов, отходов производств и потребления возникают при неорганизованном их накоплении и характеризуются повышенной разнородностью состава, относительным содержанием органических веществ (</w:t>
      </w:r>
      <w:r>
        <w:rPr>
          <w:i/>
        </w:rPr>
        <w:t>I</w:t>
      </w:r>
      <w:r>
        <w:rPr>
          <w:i/>
          <w:vertAlign w:val="subscript"/>
        </w:rPr>
        <w:t>r</w:t>
      </w:r>
      <w:r>
        <w:t xml:space="preserve"> &gt; 0,1 - 0,25), а также неравномерными и низкими значениями плотности, деформационных и прочностных характеристик, неустойчивой от разложения структурой.</w:t>
      </w:r>
    </w:p>
    <w:p w:rsidR="00E35632" w:rsidRDefault="00E35632">
      <w:pPr>
        <w:pStyle w:val="ConsPlusNormal"/>
        <w:spacing w:before="220"/>
        <w:ind w:firstLine="540"/>
        <w:jc w:val="both"/>
      </w:pPr>
      <w:r>
        <w:t>Примечание - Вместо терминов "грунты природного происхождения" далее используется термин "грунты", а "отходы потребления" - "бытовые отходы".</w:t>
      </w:r>
    </w:p>
    <w:p w:rsidR="00E35632" w:rsidRDefault="00E35632">
      <w:pPr>
        <w:pStyle w:val="ConsPlusNormal"/>
        <w:jc w:val="both"/>
      </w:pPr>
    </w:p>
    <w:p w:rsidR="00E35632" w:rsidRDefault="00E35632">
      <w:pPr>
        <w:pStyle w:val="ConsPlusNormal"/>
        <w:ind w:firstLine="540"/>
        <w:jc w:val="both"/>
      </w:pPr>
      <w:r>
        <w:t>6.6.4 При проектировании оснований на насыпных грунтах необходимо учитывать наиболее проявляющиеся в них процессы:</w:t>
      </w:r>
    </w:p>
    <w:p w:rsidR="00E35632" w:rsidRDefault="00E35632">
      <w:pPr>
        <w:pStyle w:val="ConsPlusNormal"/>
        <w:spacing w:before="220"/>
        <w:ind w:firstLine="540"/>
        <w:jc w:val="both"/>
      </w:pPr>
      <w:r>
        <w:t xml:space="preserve">а) самоуплотнения насыпных грунтов от их собственного веса, в зависимости от этого они подразделяются согласно </w:t>
      </w:r>
      <w:hyperlink w:anchor="P3180">
        <w:r>
          <w:rPr>
            <w:color w:val="0000FF"/>
          </w:rPr>
          <w:t>таблице 6.9</w:t>
        </w:r>
      </w:hyperlink>
      <w:r>
        <w:t xml:space="preserve"> на слежавшиеся, в которых процесс самоуплотнения практически завершился, и неслежавшиеся при этом продолжающемся процессе, а также при дополнительном уплотнении подстилающих природных грунтов как от веса существующих насыпных грунтов, так и особенно вновь отсыпных насыпей;</w:t>
      </w:r>
    </w:p>
    <w:p w:rsidR="00E35632" w:rsidRDefault="00E35632">
      <w:pPr>
        <w:pStyle w:val="ConsPlusNormal"/>
        <w:spacing w:before="220"/>
        <w:ind w:firstLine="540"/>
        <w:jc w:val="both"/>
      </w:pPr>
      <w:r>
        <w:t>б) самоупрочнение с омоноличиванием глинистых и частично песчано-глинистых грунтов, и подобных им отходам производств, устойчивой структурой с повышением их деформационных и прочностных характеристик, относящихся к типам I и II;</w:t>
      </w:r>
    </w:p>
    <w:p w:rsidR="00E35632" w:rsidRDefault="00E35632">
      <w:pPr>
        <w:pStyle w:val="ConsPlusNormal"/>
        <w:spacing w:before="220"/>
        <w:ind w:firstLine="540"/>
        <w:jc w:val="both"/>
      </w:pPr>
      <w:r>
        <w:t xml:space="preserve">в) распад структуры и текстуры грунтов природного образования грунтов. А также искусственных минеральных и особенно органических материалов производств и потребления, относящихся к типам II и III с неустойчивой структурой, сопровождающихся снижением плотности, прочностных и деформационных характеристик и иногда склонностью к просадкам и набуханию </w:t>
      </w:r>
      <w:r>
        <w:lastRenderedPageBreak/>
        <w:t>при замачивании водой или растворами некоторых производств.</w:t>
      </w:r>
    </w:p>
    <w:p w:rsidR="00E35632" w:rsidRDefault="00E35632">
      <w:pPr>
        <w:pStyle w:val="ConsPlusNormal"/>
        <w:spacing w:before="220"/>
        <w:ind w:firstLine="540"/>
        <w:jc w:val="both"/>
      </w:pPr>
      <w:r>
        <w:t xml:space="preserve">6.6.5 Напряженно деформируемое состояние насыпных грунтов определяется: характером планировки застраиваемого участка, внешней нагрузкой от фундаментов </w:t>
      </w:r>
      <w:r>
        <w:rPr>
          <w:i/>
        </w:rPr>
        <w:t>p</w:t>
      </w:r>
      <w:r>
        <w:t xml:space="preserve"> и на полы по грунту </w:t>
      </w:r>
      <w:r>
        <w:rPr>
          <w:i/>
        </w:rPr>
        <w:t>p</w:t>
      </w:r>
      <w:r>
        <w:t xml:space="preserve">; степенью завершенности самоуплотнения насыпных, а также доуплотнения подстилающих природных грунтов от веса подсыпки и других воздействий и характеризуется приведенными на </w:t>
      </w:r>
      <w:hyperlink w:anchor="P3174">
        <w:r>
          <w:rPr>
            <w:color w:val="0000FF"/>
          </w:rPr>
          <w:t>рисунке 6.10</w:t>
        </w:r>
      </w:hyperlink>
      <w:r>
        <w:t xml:space="preserve"> соответствующими вертикальными напряжениями </w:t>
      </w:r>
      <w:r>
        <w:rPr>
          <w:noProof/>
          <w:position w:val="-1"/>
        </w:rPr>
        <w:drawing>
          <wp:inline distT="0" distB="0" distL="0" distR="0">
            <wp:extent cx="167640" cy="160020"/>
            <wp:effectExtent l="0" t="0" r="0" b="0"/>
            <wp:docPr id="3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167640" cy="160020"/>
                    </a:xfrm>
                    <a:prstGeom prst="rect">
                      <a:avLst/>
                    </a:prstGeom>
                    <a:noFill/>
                    <a:ln>
                      <a:noFill/>
                    </a:ln>
                  </pic:spPr>
                </pic:pic>
              </a:graphicData>
            </a:graphic>
          </wp:inline>
        </w:drawing>
      </w:r>
      <w:r>
        <w:t xml:space="preserve"> и зонами сжатия грунтов основания.</w:t>
      </w:r>
    </w:p>
    <w:p w:rsidR="00E35632" w:rsidRDefault="00E35632">
      <w:pPr>
        <w:pStyle w:val="ConsPlusNormal"/>
        <w:ind w:firstLine="540"/>
        <w:jc w:val="both"/>
      </w:pPr>
    </w:p>
    <w:p w:rsidR="00E35632" w:rsidRDefault="00E35632">
      <w:pPr>
        <w:pStyle w:val="ConsPlusNormal"/>
        <w:ind w:firstLine="540"/>
        <w:jc w:val="both"/>
      </w:pPr>
      <w:r>
        <w:t>а)</w:t>
      </w:r>
    </w:p>
    <w:p w:rsidR="00E35632" w:rsidRDefault="00E35632">
      <w:pPr>
        <w:pStyle w:val="ConsPlusNormal"/>
        <w:ind w:firstLine="540"/>
        <w:jc w:val="both"/>
      </w:pPr>
    </w:p>
    <w:p w:rsidR="00E35632" w:rsidRDefault="00E35632">
      <w:pPr>
        <w:pStyle w:val="ConsPlusNormal"/>
        <w:jc w:val="center"/>
      </w:pPr>
      <w:r>
        <w:rPr>
          <w:noProof/>
          <w:position w:val="-230"/>
        </w:rPr>
        <w:drawing>
          <wp:inline distT="0" distB="0" distL="0" distR="0">
            <wp:extent cx="2926715" cy="3067685"/>
            <wp:effectExtent l="0" t="0" r="0" b="0"/>
            <wp:docPr id="3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2926715" cy="3067685"/>
                    </a:xfrm>
                    <a:prstGeom prst="rect">
                      <a:avLst/>
                    </a:prstGeom>
                    <a:noFill/>
                    <a:ln>
                      <a:noFill/>
                    </a:ln>
                  </pic:spPr>
                </pic:pic>
              </a:graphicData>
            </a:graphic>
          </wp:inline>
        </w:drawing>
      </w:r>
    </w:p>
    <w:p w:rsidR="00E35632" w:rsidRDefault="00E35632">
      <w:pPr>
        <w:pStyle w:val="ConsPlusNormal"/>
        <w:ind w:firstLine="540"/>
        <w:jc w:val="both"/>
      </w:pPr>
    </w:p>
    <w:p w:rsidR="00E35632" w:rsidRDefault="00E35632">
      <w:pPr>
        <w:pStyle w:val="ConsPlusNormal"/>
        <w:ind w:firstLine="540"/>
        <w:jc w:val="both"/>
      </w:pPr>
      <w:r>
        <w:t>б)</w:t>
      </w:r>
    </w:p>
    <w:p w:rsidR="00E35632" w:rsidRDefault="00E35632">
      <w:pPr>
        <w:pStyle w:val="ConsPlusNormal"/>
        <w:ind w:firstLine="540"/>
        <w:jc w:val="both"/>
      </w:pPr>
    </w:p>
    <w:p w:rsidR="00E35632" w:rsidRDefault="00E35632">
      <w:pPr>
        <w:pStyle w:val="ConsPlusNormal"/>
        <w:jc w:val="center"/>
      </w:pPr>
      <w:r>
        <w:rPr>
          <w:noProof/>
          <w:position w:val="-277"/>
        </w:rPr>
        <w:drawing>
          <wp:inline distT="0" distB="0" distL="0" distR="0">
            <wp:extent cx="2980690" cy="3667760"/>
            <wp:effectExtent l="0" t="0" r="0" b="0"/>
            <wp:docPr id="3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2980690" cy="3667760"/>
                    </a:xfrm>
                    <a:prstGeom prst="rect">
                      <a:avLst/>
                    </a:prstGeom>
                    <a:noFill/>
                    <a:ln>
                      <a:noFill/>
                    </a:ln>
                  </pic:spPr>
                </pic:pic>
              </a:graphicData>
            </a:graphic>
          </wp:inline>
        </w:drawing>
      </w:r>
    </w:p>
    <w:p w:rsidR="00E35632" w:rsidRDefault="00E35632">
      <w:pPr>
        <w:pStyle w:val="ConsPlusNormal"/>
        <w:ind w:firstLine="540"/>
        <w:jc w:val="both"/>
      </w:pPr>
    </w:p>
    <w:p w:rsidR="00E35632" w:rsidRDefault="00E35632">
      <w:pPr>
        <w:pStyle w:val="ConsPlusNormal"/>
        <w:ind w:firstLine="540"/>
        <w:jc w:val="both"/>
      </w:pPr>
      <w:r>
        <w:t>в)</w:t>
      </w:r>
    </w:p>
    <w:p w:rsidR="00E35632" w:rsidRDefault="00E35632">
      <w:pPr>
        <w:pStyle w:val="ConsPlusNormal"/>
        <w:ind w:firstLine="540"/>
        <w:jc w:val="both"/>
      </w:pPr>
    </w:p>
    <w:p w:rsidR="00E35632" w:rsidRDefault="00E35632">
      <w:pPr>
        <w:pStyle w:val="ConsPlusNormal"/>
        <w:jc w:val="center"/>
      </w:pPr>
      <w:r>
        <w:rPr>
          <w:noProof/>
          <w:position w:val="-209"/>
        </w:rPr>
        <w:drawing>
          <wp:inline distT="0" distB="0" distL="0" distR="0">
            <wp:extent cx="2926715" cy="2795905"/>
            <wp:effectExtent l="0" t="0" r="0" b="0"/>
            <wp:docPr id="38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926715" cy="2795905"/>
                    </a:xfrm>
                    <a:prstGeom prst="rect">
                      <a:avLst/>
                    </a:prstGeom>
                    <a:noFill/>
                    <a:ln>
                      <a:noFill/>
                    </a:ln>
                  </pic:spPr>
                </pic:pic>
              </a:graphicData>
            </a:graphic>
          </wp:inline>
        </w:drawing>
      </w:r>
    </w:p>
    <w:p w:rsidR="00E35632" w:rsidRDefault="00E35632">
      <w:pPr>
        <w:pStyle w:val="ConsPlusNormal"/>
        <w:jc w:val="center"/>
      </w:pPr>
    </w:p>
    <w:p w:rsidR="00E35632" w:rsidRDefault="00E35632">
      <w:pPr>
        <w:pStyle w:val="ConsPlusNormal"/>
        <w:jc w:val="center"/>
      </w:pPr>
      <w:r>
        <w:rPr>
          <w:i/>
        </w:rPr>
        <w:t>DL</w:t>
      </w:r>
      <w:r>
        <w:t xml:space="preserve"> - отметка планировки; </w:t>
      </w:r>
      <w:r>
        <w:rPr>
          <w:i/>
        </w:rPr>
        <w:t>NL</w:t>
      </w:r>
      <w:r>
        <w:t xml:space="preserve"> - отметка поверхности</w:t>
      </w:r>
    </w:p>
    <w:p w:rsidR="00E35632" w:rsidRDefault="00E35632">
      <w:pPr>
        <w:pStyle w:val="ConsPlusNormal"/>
        <w:jc w:val="center"/>
      </w:pPr>
      <w:r>
        <w:t xml:space="preserve">сложившегося рельефа; </w:t>
      </w:r>
      <w:r>
        <w:rPr>
          <w:i/>
        </w:rPr>
        <w:t>FL</w:t>
      </w:r>
      <w:r>
        <w:t xml:space="preserve"> - отметка подошвы фундамента;</w:t>
      </w:r>
    </w:p>
    <w:p w:rsidR="00E35632" w:rsidRDefault="00E35632">
      <w:pPr>
        <w:pStyle w:val="ConsPlusNormal"/>
        <w:jc w:val="center"/>
      </w:pPr>
      <w:r>
        <w:rPr>
          <w:i/>
        </w:rPr>
        <w:t>BC</w:t>
      </w:r>
      <w:r>
        <w:t xml:space="preserve"> - нижняя граница сжимаемой толщи; </w:t>
      </w:r>
      <w:r>
        <w:rPr>
          <w:i/>
        </w:rPr>
        <w:t>H</w:t>
      </w:r>
      <w:r>
        <w:rPr>
          <w:i/>
          <w:vertAlign w:val="subscript"/>
        </w:rPr>
        <w:t>f</w:t>
      </w:r>
      <w:r>
        <w:t xml:space="preserve"> - толщина слоя</w:t>
      </w:r>
    </w:p>
    <w:p w:rsidR="00E35632" w:rsidRDefault="00E35632">
      <w:pPr>
        <w:pStyle w:val="ConsPlusNormal"/>
        <w:jc w:val="center"/>
      </w:pPr>
      <w:r>
        <w:t xml:space="preserve">существующего насыпного грунта; </w:t>
      </w:r>
      <w:r>
        <w:rPr>
          <w:i/>
        </w:rPr>
        <w:t>DC</w:t>
      </w:r>
      <w:r>
        <w:t xml:space="preserve"> - нижняя граница</w:t>
      </w:r>
    </w:p>
    <w:p w:rsidR="00E35632" w:rsidRDefault="00E35632">
      <w:pPr>
        <w:pStyle w:val="ConsPlusNormal"/>
        <w:jc w:val="center"/>
      </w:pPr>
      <w:r>
        <w:t xml:space="preserve">сжимаемого грунта; </w:t>
      </w:r>
      <w:r>
        <w:rPr>
          <w:i/>
        </w:rPr>
        <w:t>SL</w:t>
      </w:r>
      <w:r>
        <w:t xml:space="preserve"> - отметка подошвы сжимаемого слоя;</w:t>
      </w:r>
    </w:p>
    <w:p w:rsidR="00E35632" w:rsidRDefault="00E35632">
      <w:pPr>
        <w:pStyle w:val="ConsPlusNormal"/>
        <w:jc w:val="center"/>
      </w:pPr>
      <w:r>
        <w:rPr>
          <w:i/>
        </w:rPr>
        <w:t>1</w:t>
      </w:r>
      <w:r>
        <w:t xml:space="preserve"> - существующий насыпной грунт; </w:t>
      </w:r>
      <w:r>
        <w:rPr>
          <w:i/>
        </w:rPr>
        <w:t>2</w:t>
      </w:r>
      <w:r>
        <w:t xml:space="preserve"> - грунт природного</w:t>
      </w:r>
    </w:p>
    <w:p w:rsidR="00E35632" w:rsidRDefault="00E35632">
      <w:pPr>
        <w:pStyle w:val="ConsPlusNormal"/>
        <w:jc w:val="center"/>
      </w:pPr>
      <w:r>
        <w:t xml:space="preserve">сложения и происхождения; </w:t>
      </w:r>
      <w:r>
        <w:rPr>
          <w:i/>
        </w:rPr>
        <w:t>3</w:t>
      </w:r>
      <w:r>
        <w:t xml:space="preserve"> - планировочная насыпь;</w:t>
      </w:r>
    </w:p>
    <w:p w:rsidR="00E35632" w:rsidRDefault="00E35632">
      <w:pPr>
        <w:pStyle w:val="ConsPlusNormal"/>
        <w:jc w:val="center"/>
      </w:pPr>
      <w:r>
        <w:rPr>
          <w:i/>
        </w:rPr>
        <w:t>4</w:t>
      </w:r>
      <w:r>
        <w:t xml:space="preserve"> - срезаемый насыпной грунт 1 при планировке на глубину</w:t>
      </w:r>
    </w:p>
    <w:p w:rsidR="00E35632" w:rsidRDefault="00E35632">
      <w:pPr>
        <w:pStyle w:val="ConsPlusNormal"/>
        <w:jc w:val="center"/>
      </w:pPr>
      <w:r>
        <w:rPr>
          <w:i/>
        </w:rPr>
        <w:t>H</w:t>
      </w:r>
      <w:r>
        <w:rPr>
          <w:vertAlign w:val="subscript"/>
        </w:rPr>
        <w:t>0</w:t>
      </w:r>
      <w:r>
        <w:t xml:space="preserve">; </w:t>
      </w:r>
      <w:r>
        <w:rPr>
          <w:i/>
        </w:rPr>
        <w:t>d</w:t>
      </w:r>
      <w:r>
        <w:t xml:space="preserve"> и </w:t>
      </w:r>
      <w:r>
        <w:rPr>
          <w:i/>
        </w:rPr>
        <w:t>d</w:t>
      </w:r>
      <w:r>
        <w:rPr>
          <w:i/>
          <w:vertAlign w:val="subscript"/>
        </w:rPr>
        <w:t>n</w:t>
      </w:r>
      <w:r>
        <w:t xml:space="preserve"> - глубина заложения фундамента соответственно</w:t>
      </w:r>
    </w:p>
    <w:p w:rsidR="00E35632" w:rsidRDefault="00E35632">
      <w:pPr>
        <w:pStyle w:val="ConsPlusNormal"/>
        <w:jc w:val="center"/>
      </w:pPr>
      <w:r>
        <w:t>от уровня планировки и поверхности существующего рельефа;</w:t>
      </w:r>
    </w:p>
    <w:p w:rsidR="00E35632" w:rsidRDefault="00E35632">
      <w:pPr>
        <w:pStyle w:val="ConsPlusNormal"/>
        <w:jc w:val="center"/>
      </w:pPr>
      <w:r>
        <w:rPr>
          <w:i/>
        </w:rPr>
        <w:t>H</w:t>
      </w:r>
      <w:r>
        <w:rPr>
          <w:vertAlign w:val="subscript"/>
        </w:rPr>
        <w:t>0</w:t>
      </w:r>
      <w:r>
        <w:t xml:space="preserve"> - толщина планировочной насыпи; </w:t>
      </w:r>
      <w:r>
        <w:rPr>
          <w:i/>
        </w:rPr>
        <w:t>H</w:t>
      </w:r>
      <w:r>
        <w:rPr>
          <w:vertAlign w:val="subscript"/>
        </w:rPr>
        <w:t>1</w:t>
      </w:r>
      <w:r>
        <w:t xml:space="preserve"> - глубина срезки</w:t>
      </w:r>
    </w:p>
    <w:p w:rsidR="00E35632" w:rsidRDefault="00E35632">
      <w:pPr>
        <w:pStyle w:val="ConsPlusNormal"/>
        <w:jc w:val="center"/>
      </w:pPr>
      <w:r>
        <w:t xml:space="preserve">от существующей поверхности насыпного грунта; </w:t>
      </w:r>
      <w:r>
        <w:rPr>
          <w:i/>
        </w:rPr>
        <w:t>b</w:t>
      </w:r>
      <w:r>
        <w:t xml:space="preserve"> - ширина</w:t>
      </w:r>
    </w:p>
    <w:p w:rsidR="00E35632" w:rsidRDefault="00E35632">
      <w:pPr>
        <w:pStyle w:val="ConsPlusNormal"/>
        <w:jc w:val="center"/>
      </w:pPr>
      <w:r>
        <w:t xml:space="preserve">фундамента; </w:t>
      </w:r>
      <w:r>
        <w:rPr>
          <w:i/>
        </w:rPr>
        <w:t>p</w:t>
      </w:r>
      <w:r>
        <w:t xml:space="preserve"> - среднее давление по подошве фундамента;</w:t>
      </w:r>
    </w:p>
    <w:p w:rsidR="00E35632" w:rsidRDefault="00E35632">
      <w:pPr>
        <w:pStyle w:val="ConsPlusNormal"/>
        <w:jc w:val="center"/>
      </w:pPr>
      <w:r>
        <w:rPr>
          <w:noProof/>
          <w:position w:val="-10"/>
        </w:rPr>
        <w:drawing>
          <wp:inline distT="0" distB="0" distL="0" distR="0">
            <wp:extent cx="267970" cy="267970"/>
            <wp:effectExtent l="0" t="0" r="0" b="0"/>
            <wp:docPr id="38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xml:space="preserve"> и </w:t>
      </w:r>
      <w:r>
        <w:rPr>
          <w:noProof/>
          <w:position w:val="-10"/>
        </w:rPr>
        <w:drawing>
          <wp:inline distT="0" distB="0" distL="0" distR="0">
            <wp:extent cx="335280" cy="267970"/>
            <wp:effectExtent l="0" t="0" r="0" b="0"/>
            <wp:docPr id="38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335280" cy="267970"/>
                    </a:xfrm>
                    <a:prstGeom prst="rect">
                      <a:avLst/>
                    </a:prstGeom>
                    <a:noFill/>
                    <a:ln>
                      <a:noFill/>
                    </a:ln>
                  </pic:spPr>
                </pic:pic>
              </a:graphicData>
            </a:graphic>
          </wp:inline>
        </w:drawing>
      </w:r>
      <w:r>
        <w:t xml:space="preserve"> - вертикальные напряжения от собственного</w:t>
      </w:r>
    </w:p>
    <w:p w:rsidR="00E35632" w:rsidRDefault="00E35632">
      <w:pPr>
        <w:pStyle w:val="ConsPlusNormal"/>
        <w:jc w:val="center"/>
      </w:pPr>
      <w:r>
        <w:t xml:space="preserve">веса на глубине </w:t>
      </w:r>
      <w:r>
        <w:rPr>
          <w:i/>
        </w:rPr>
        <w:t>z</w:t>
      </w:r>
      <w:r>
        <w:t xml:space="preserve"> от подошвы фундамента и на уровне</w:t>
      </w:r>
    </w:p>
    <w:p w:rsidR="00E35632" w:rsidRDefault="00E35632">
      <w:pPr>
        <w:pStyle w:val="ConsPlusNormal"/>
        <w:jc w:val="center"/>
      </w:pPr>
      <w:r>
        <w:t xml:space="preserve">подошвы; </w:t>
      </w:r>
      <w:r>
        <w:rPr>
          <w:noProof/>
          <w:position w:val="-10"/>
        </w:rPr>
        <w:drawing>
          <wp:inline distT="0" distB="0" distL="0" distR="0">
            <wp:extent cx="251460" cy="267970"/>
            <wp:effectExtent l="0" t="0" r="0" b="0"/>
            <wp:docPr id="38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r>
        <w:t xml:space="preserve"> и </w:t>
      </w:r>
      <w:r>
        <w:rPr>
          <w:noProof/>
          <w:position w:val="-10"/>
        </w:rPr>
        <w:drawing>
          <wp:inline distT="0" distB="0" distL="0" distR="0">
            <wp:extent cx="335280" cy="267970"/>
            <wp:effectExtent l="0" t="0" r="0" b="0"/>
            <wp:docPr id="38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35280" cy="267970"/>
                    </a:xfrm>
                    <a:prstGeom prst="rect">
                      <a:avLst/>
                    </a:prstGeom>
                    <a:noFill/>
                    <a:ln>
                      <a:noFill/>
                    </a:ln>
                  </pic:spPr>
                </pic:pic>
              </a:graphicData>
            </a:graphic>
          </wp:inline>
        </w:drawing>
      </w:r>
      <w:r>
        <w:t xml:space="preserve"> - вертикальные напряжения от внешней</w:t>
      </w:r>
    </w:p>
    <w:p w:rsidR="00E35632" w:rsidRDefault="00E35632">
      <w:pPr>
        <w:pStyle w:val="ConsPlusNormal"/>
        <w:jc w:val="center"/>
      </w:pPr>
      <w:r>
        <w:t xml:space="preserve">нагрузки на глубине </w:t>
      </w:r>
      <w:r>
        <w:rPr>
          <w:i/>
        </w:rPr>
        <w:t>z</w:t>
      </w:r>
      <w:r>
        <w:t xml:space="preserve"> от подошвы фундамента и на уровне</w:t>
      </w:r>
    </w:p>
    <w:p w:rsidR="00E35632" w:rsidRDefault="00E35632">
      <w:pPr>
        <w:pStyle w:val="ConsPlusNormal"/>
        <w:jc w:val="center"/>
      </w:pPr>
      <w:r>
        <w:t xml:space="preserve">подошвы; </w:t>
      </w:r>
      <w:r>
        <w:rPr>
          <w:i/>
        </w:rPr>
        <w:t>H</w:t>
      </w:r>
      <w:r>
        <w:rPr>
          <w:i/>
          <w:vertAlign w:val="subscript"/>
        </w:rPr>
        <w:t>c</w:t>
      </w:r>
      <w:r>
        <w:t xml:space="preserve"> - толщина сжимаемой зоны при </w:t>
      </w:r>
      <w:r>
        <w:rPr>
          <w:noProof/>
          <w:position w:val="-10"/>
        </w:rPr>
        <w:drawing>
          <wp:inline distT="0" distB="0" distL="0" distR="0">
            <wp:extent cx="912495" cy="267970"/>
            <wp:effectExtent l="0" t="0" r="0" b="0"/>
            <wp:docPr id="38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912495" cy="267970"/>
                    </a:xfrm>
                    <a:prstGeom prst="rect">
                      <a:avLst/>
                    </a:prstGeom>
                    <a:noFill/>
                    <a:ln>
                      <a:noFill/>
                    </a:ln>
                  </pic:spPr>
                </pic:pic>
              </a:graphicData>
            </a:graphic>
          </wp:inline>
        </w:drawing>
      </w:r>
      <w:r>
        <w:t>;</w:t>
      </w:r>
    </w:p>
    <w:p w:rsidR="00E35632" w:rsidRDefault="00E35632">
      <w:pPr>
        <w:pStyle w:val="ConsPlusNormal"/>
        <w:jc w:val="center"/>
      </w:pPr>
      <w:r>
        <w:rPr>
          <w:i/>
        </w:rPr>
        <w:t>p</w:t>
      </w:r>
      <w:r>
        <w:t>' - среднее суммарное давление на грунт от нагрузки</w:t>
      </w:r>
    </w:p>
    <w:p w:rsidR="00E35632" w:rsidRDefault="00E35632">
      <w:pPr>
        <w:pStyle w:val="ConsPlusNormal"/>
        <w:jc w:val="center"/>
      </w:pPr>
      <w:r>
        <w:t>на полы и фундаментов технологического оборудования;</w:t>
      </w:r>
    </w:p>
    <w:p w:rsidR="00E35632" w:rsidRDefault="00E35632">
      <w:pPr>
        <w:pStyle w:val="ConsPlusNormal"/>
        <w:jc w:val="center"/>
      </w:pPr>
      <w:r>
        <w:rPr>
          <w:noProof/>
          <w:position w:val="-10"/>
        </w:rPr>
        <w:drawing>
          <wp:inline distT="0" distB="0" distL="0" distR="0">
            <wp:extent cx="251460" cy="267970"/>
            <wp:effectExtent l="0" t="0" r="0" b="0"/>
            <wp:docPr id="39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r>
        <w:t xml:space="preserve"> - вертикальные напряжения на глубине </w:t>
      </w:r>
      <w:r>
        <w:rPr>
          <w:i/>
        </w:rPr>
        <w:t>z</w:t>
      </w:r>
      <w:r>
        <w:t xml:space="preserve"> от нагрузки </w:t>
      </w:r>
      <w:r>
        <w:rPr>
          <w:i/>
        </w:rPr>
        <w:t>p</w:t>
      </w:r>
      <w:r>
        <w:t>';</w:t>
      </w:r>
    </w:p>
    <w:p w:rsidR="00E35632" w:rsidRDefault="00E35632">
      <w:pPr>
        <w:pStyle w:val="ConsPlusNormal"/>
        <w:jc w:val="center"/>
      </w:pPr>
      <w:r>
        <w:rPr>
          <w:noProof/>
          <w:position w:val="-10"/>
        </w:rPr>
        <w:drawing>
          <wp:inline distT="0" distB="0" distL="0" distR="0">
            <wp:extent cx="351790" cy="267970"/>
            <wp:effectExtent l="0" t="0" r="0" b="0"/>
            <wp:docPr id="39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351790" cy="267970"/>
                    </a:xfrm>
                    <a:prstGeom prst="rect">
                      <a:avLst/>
                    </a:prstGeom>
                    <a:noFill/>
                    <a:ln>
                      <a:noFill/>
                    </a:ln>
                  </pic:spPr>
                </pic:pic>
              </a:graphicData>
            </a:graphic>
          </wp:inline>
        </w:drawing>
      </w:r>
      <w:r>
        <w:t xml:space="preserve"> - дополнительные вертикальные напряжения</w:t>
      </w:r>
    </w:p>
    <w:p w:rsidR="00E35632" w:rsidRDefault="00E35632">
      <w:pPr>
        <w:pStyle w:val="ConsPlusNormal"/>
        <w:jc w:val="center"/>
      </w:pPr>
      <w:r>
        <w:t>от собственного веса грунта при возможном повышении</w:t>
      </w:r>
    </w:p>
    <w:p w:rsidR="00E35632" w:rsidRDefault="00E35632">
      <w:pPr>
        <w:pStyle w:val="ConsPlusNormal"/>
        <w:jc w:val="center"/>
      </w:pPr>
      <w:r>
        <w:t xml:space="preserve">влажности грунта </w:t>
      </w:r>
      <w:r>
        <w:rPr>
          <w:noProof/>
          <w:position w:val="-1"/>
        </w:rPr>
        <w:drawing>
          <wp:inline distT="0" distB="0" distL="0" distR="0">
            <wp:extent cx="167640" cy="160020"/>
            <wp:effectExtent l="0" t="0" r="0" b="0"/>
            <wp:docPr id="39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167640" cy="160020"/>
                    </a:xfrm>
                    <a:prstGeom prst="rect">
                      <a:avLst/>
                    </a:prstGeom>
                    <a:noFill/>
                    <a:ln>
                      <a:noFill/>
                    </a:ln>
                  </pic:spPr>
                </pic:pic>
              </a:graphicData>
            </a:graphic>
          </wp:inline>
        </w:drawing>
      </w:r>
      <w:r>
        <w:t>, вызванного застройкой участка;</w:t>
      </w:r>
    </w:p>
    <w:p w:rsidR="00E35632" w:rsidRDefault="00E35632">
      <w:pPr>
        <w:pStyle w:val="ConsPlusNormal"/>
        <w:jc w:val="center"/>
      </w:pPr>
      <w:r>
        <w:t xml:space="preserve">I - зона сжимаемой толщи </w:t>
      </w:r>
      <w:r>
        <w:rPr>
          <w:i/>
        </w:rPr>
        <w:t>H</w:t>
      </w:r>
      <w:r>
        <w:rPr>
          <w:i/>
          <w:vertAlign w:val="subscript"/>
        </w:rPr>
        <w:t>c</w:t>
      </w:r>
      <w:r>
        <w:t xml:space="preserve"> от нагрузки фундамента;</w:t>
      </w:r>
    </w:p>
    <w:p w:rsidR="00E35632" w:rsidRDefault="00E35632">
      <w:pPr>
        <w:pStyle w:val="ConsPlusNormal"/>
        <w:jc w:val="center"/>
      </w:pPr>
      <w:r>
        <w:t>II - зона дополнительного самоуплотнения насыпных грунтов</w:t>
      </w:r>
    </w:p>
    <w:p w:rsidR="00E35632" w:rsidRDefault="00E35632">
      <w:pPr>
        <w:pStyle w:val="ConsPlusNormal"/>
        <w:jc w:val="center"/>
      </w:pPr>
      <w:r>
        <w:t>от их собственного веса и планировочной насыпи (при наличии</w:t>
      </w:r>
    </w:p>
    <w:p w:rsidR="00E35632" w:rsidRDefault="00E35632">
      <w:pPr>
        <w:pStyle w:val="ConsPlusNormal"/>
        <w:jc w:val="center"/>
      </w:pPr>
      <w:r>
        <w:t>ее); III - зона сжатия грунтов природного сложения</w:t>
      </w:r>
    </w:p>
    <w:p w:rsidR="00E35632" w:rsidRDefault="00E35632">
      <w:pPr>
        <w:pStyle w:val="ConsPlusNormal"/>
        <w:jc w:val="both"/>
      </w:pPr>
    </w:p>
    <w:p w:rsidR="00E35632" w:rsidRDefault="00E35632">
      <w:pPr>
        <w:pStyle w:val="ConsPlusNormal"/>
        <w:jc w:val="center"/>
      </w:pPr>
      <w:bookmarkStart w:id="179" w:name="P3174"/>
      <w:bookmarkEnd w:id="179"/>
      <w:r>
        <w:rPr>
          <w:b/>
          <w:i/>
        </w:rPr>
        <w:t>Рисунок 6.10</w:t>
      </w:r>
      <w:r>
        <w:t xml:space="preserve"> </w:t>
      </w:r>
      <w:r>
        <w:rPr>
          <w:b/>
        </w:rPr>
        <w:t>- Схемы напряженно-деформированного</w:t>
      </w:r>
    </w:p>
    <w:p w:rsidR="00E35632" w:rsidRDefault="00E35632">
      <w:pPr>
        <w:pStyle w:val="ConsPlusNormal"/>
        <w:jc w:val="center"/>
      </w:pPr>
      <w:r>
        <w:rPr>
          <w:b/>
        </w:rPr>
        <w:lastRenderedPageBreak/>
        <w:t>состояния оснований на насыпных грунтах при:</w:t>
      </w:r>
    </w:p>
    <w:p w:rsidR="00E35632" w:rsidRDefault="00E35632">
      <w:pPr>
        <w:pStyle w:val="ConsPlusNormal"/>
        <w:jc w:val="center"/>
      </w:pPr>
      <w:r>
        <w:rPr>
          <w:b/>
          <w:i/>
        </w:rPr>
        <w:t>а)</w:t>
      </w:r>
      <w:r>
        <w:t xml:space="preserve"> </w:t>
      </w:r>
      <w:r>
        <w:rPr>
          <w:b/>
        </w:rPr>
        <w:t>- существующей поверхности застраиваемого</w:t>
      </w:r>
    </w:p>
    <w:p w:rsidR="00E35632" w:rsidRDefault="00E35632">
      <w:pPr>
        <w:pStyle w:val="ConsPlusNormal"/>
        <w:jc w:val="center"/>
      </w:pPr>
      <w:r>
        <w:rPr>
          <w:b/>
        </w:rPr>
        <w:t>участка;</w:t>
      </w:r>
      <w:r>
        <w:t xml:space="preserve"> </w:t>
      </w:r>
      <w:r>
        <w:rPr>
          <w:b/>
          <w:i/>
        </w:rPr>
        <w:t>б)</w:t>
      </w:r>
      <w:r>
        <w:t xml:space="preserve"> </w:t>
      </w:r>
      <w:r>
        <w:rPr>
          <w:b/>
        </w:rPr>
        <w:t>- выполнении планировочной насыпи;</w:t>
      </w:r>
    </w:p>
    <w:p w:rsidR="00E35632" w:rsidRDefault="00E35632">
      <w:pPr>
        <w:pStyle w:val="ConsPlusNormal"/>
        <w:jc w:val="center"/>
      </w:pPr>
      <w:r>
        <w:rPr>
          <w:b/>
          <w:i/>
        </w:rPr>
        <w:t>в)</w:t>
      </w:r>
      <w:r>
        <w:t xml:space="preserve"> </w:t>
      </w:r>
      <w:r>
        <w:rPr>
          <w:b/>
        </w:rPr>
        <w:t>- частичной срезке насыпного грунта</w:t>
      </w:r>
    </w:p>
    <w:p w:rsidR="00E35632" w:rsidRDefault="00E35632">
      <w:pPr>
        <w:pStyle w:val="ConsPlusNormal"/>
        <w:jc w:val="both"/>
      </w:pPr>
    </w:p>
    <w:p w:rsidR="00E35632" w:rsidRDefault="00E35632">
      <w:pPr>
        <w:pStyle w:val="ConsPlusNormal"/>
        <w:jc w:val="right"/>
      </w:pPr>
      <w:bookmarkStart w:id="180" w:name="P3180"/>
      <w:bookmarkEnd w:id="180"/>
      <w:r>
        <w:t>Таблица 6.9</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80"/>
        <w:gridCol w:w="3480"/>
        <w:gridCol w:w="1272"/>
        <w:gridCol w:w="1128"/>
      </w:tblGrid>
      <w:tr w:rsidR="00E35632">
        <w:tc>
          <w:tcPr>
            <w:tcW w:w="3180" w:type="dxa"/>
            <w:vMerge w:val="restart"/>
            <w:vAlign w:val="center"/>
          </w:tcPr>
          <w:p w:rsidR="00E35632" w:rsidRDefault="00E35632">
            <w:pPr>
              <w:pStyle w:val="ConsPlusNormal"/>
              <w:jc w:val="center"/>
            </w:pPr>
            <w:r>
              <w:t>Виды насыпных грунтов и отходов производств</w:t>
            </w:r>
          </w:p>
        </w:tc>
        <w:tc>
          <w:tcPr>
            <w:tcW w:w="5880" w:type="dxa"/>
            <w:gridSpan w:val="3"/>
            <w:vAlign w:val="center"/>
          </w:tcPr>
          <w:p w:rsidR="00E35632" w:rsidRDefault="00E35632">
            <w:pPr>
              <w:pStyle w:val="ConsPlusNormal"/>
              <w:jc w:val="center"/>
            </w:pPr>
            <w:r>
              <w:t>Продолжительность самоуплотнения, год</w:t>
            </w:r>
          </w:p>
        </w:tc>
      </w:tr>
      <w:tr w:rsidR="00E35632">
        <w:tc>
          <w:tcPr>
            <w:tcW w:w="3180" w:type="dxa"/>
            <w:vMerge/>
          </w:tcPr>
          <w:p w:rsidR="00E35632" w:rsidRDefault="00E35632">
            <w:pPr>
              <w:pStyle w:val="ConsPlusNormal"/>
            </w:pPr>
          </w:p>
        </w:tc>
        <w:tc>
          <w:tcPr>
            <w:tcW w:w="3480" w:type="dxa"/>
            <w:vAlign w:val="center"/>
          </w:tcPr>
          <w:p w:rsidR="00E35632" w:rsidRDefault="00E35632">
            <w:pPr>
              <w:pStyle w:val="ConsPlusNormal"/>
              <w:jc w:val="center"/>
            </w:pPr>
            <w:r>
              <w:t>планомерно возведенных насыпей</w:t>
            </w:r>
          </w:p>
        </w:tc>
        <w:tc>
          <w:tcPr>
            <w:tcW w:w="1272" w:type="dxa"/>
            <w:vAlign w:val="center"/>
          </w:tcPr>
          <w:p w:rsidR="00E35632" w:rsidRDefault="00E35632">
            <w:pPr>
              <w:pStyle w:val="ConsPlusNormal"/>
              <w:jc w:val="center"/>
            </w:pPr>
            <w:r>
              <w:t>отвалов</w:t>
            </w:r>
          </w:p>
        </w:tc>
        <w:tc>
          <w:tcPr>
            <w:tcW w:w="1128" w:type="dxa"/>
            <w:vAlign w:val="center"/>
          </w:tcPr>
          <w:p w:rsidR="00E35632" w:rsidRDefault="00E35632">
            <w:pPr>
              <w:pStyle w:val="ConsPlusNormal"/>
              <w:jc w:val="center"/>
            </w:pPr>
            <w:r>
              <w:t>свалок</w:t>
            </w:r>
          </w:p>
        </w:tc>
      </w:tr>
      <w:tr w:rsidR="00E35632">
        <w:tc>
          <w:tcPr>
            <w:tcW w:w="3180" w:type="dxa"/>
          </w:tcPr>
          <w:p w:rsidR="00E35632" w:rsidRDefault="00E35632">
            <w:pPr>
              <w:pStyle w:val="ConsPlusNormal"/>
            </w:pPr>
            <w:r>
              <w:t>Крупнообломочные</w:t>
            </w:r>
          </w:p>
        </w:tc>
        <w:tc>
          <w:tcPr>
            <w:tcW w:w="3480" w:type="dxa"/>
          </w:tcPr>
          <w:p w:rsidR="00E35632" w:rsidRDefault="00E35632">
            <w:pPr>
              <w:pStyle w:val="ConsPlusNormal"/>
              <w:jc w:val="center"/>
            </w:pPr>
            <w:r>
              <w:t>0,2 - 1</w:t>
            </w:r>
          </w:p>
        </w:tc>
        <w:tc>
          <w:tcPr>
            <w:tcW w:w="1272" w:type="dxa"/>
          </w:tcPr>
          <w:p w:rsidR="00E35632" w:rsidRDefault="00E35632">
            <w:pPr>
              <w:pStyle w:val="ConsPlusNormal"/>
              <w:jc w:val="center"/>
            </w:pPr>
            <w:r>
              <w:t>1 - 3</w:t>
            </w:r>
          </w:p>
        </w:tc>
        <w:tc>
          <w:tcPr>
            <w:tcW w:w="1128" w:type="dxa"/>
          </w:tcPr>
          <w:p w:rsidR="00E35632" w:rsidRDefault="00E35632">
            <w:pPr>
              <w:pStyle w:val="ConsPlusNormal"/>
              <w:jc w:val="center"/>
            </w:pPr>
            <w:r>
              <w:t>2 - 5</w:t>
            </w:r>
          </w:p>
        </w:tc>
      </w:tr>
      <w:tr w:rsidR="00E35632">
        <w:tc>
          <w:tcPr>
            <w:tcW w:w="3180" w:type="dxa"/>
          </w:tcPr>
          <w:p w:rsidR="00E35632" w:rsidRDefault="00E35632">
            <w:pPr>
              <w:pStyle w:val="ConsPlusNormal"/>
            </w:pPr>
            <w:r>
              <w:t>Песчаные</w:t>
            </w:r>
          </w:p>
        </w:tc>
        <w:tc>
          <w:tcPr>
            <w:tcW w:w="3480" w:type="dxa"/>
          </w:tcPr>
          <w:p w:rsidR="00E35632" w:rsidRDefault="00E35632">
            <w:pPr>
              <w:pStyle w:val="ConsPlusNormal"/>
              <w:jc w:val="center"/>
            </w:pPr>
            <w:r>
              <w:t>0,5 - 1</w:t>
            </w:r>
          </w:p>
        </w:tc>
        <w:tc>
          <w:tcPr>
            <w:tcW w:w="1272" w:type="dxa"/>
          </w:tcPr>
          <w:p w:rsidR="00E35632" w:rsidRDefault="00E35632">
            <w:pPr>
              <w:pStyle w:val="ConsPlusNormal"/>
              <w:jc w:val="center"/>
            </w:pPr>
            <w:r>
              <w:t>2 - 5</w:t>
            </w:r>
          </w:p>
        </w:tc>
        <w:tc>
          <w:tcPr>
            <w:tcW w:w="1128" w:type="dxa"/>
          </w:tcPr>
          <w:p w:rsidR="00E35632" w:rsidRDefault="00E35632">
            <w:pPr>
              <w:pStyle w:val="ConsPlusNormal"/>
              <w:jc w:val="center"/>
            </w:pPr>
            <w:r>
              <w:t>5 - 10</w:t>
            </w:r>
          </w:p>
        </w:tc>
      </w:tr>
      <w:tr w:rsidR="00E35632">
        <w:tc>
          <w:tcPr>
            <w:tcW w:w="3180" w:type="dxa"/>
          </w:tcPr>
          <w:p w:rsidR="00E35632" w:rsidRDefault="00E35632">
            <w:pPr>
              <w:pStyle w:val="ConsPlusNormal"/>
            </w:pPr>
            <w:r>
              <w:t>Глинистые</w:t>
            </w:r>
          </w:p>
        </w:tc>
        <w:tc>
          <w:tcPr>
            <w:tcW w:w="3480" w:type="dxa"/>
          </w:tcPr>
          <w:p w:rsidR="00E35632" w:rsidRDefault="00E35632">
            <w:pPr>
              <w:pStyle w:val="ConsPlusNormal"/>
              <w:jc w:val="center"/>
            </w:pPr>
            <w:r>
              <w:t>2 - 5</w:t>
            </w:r>
          </w:p>
        </w:tc>
        <w:tc>
          <w:tcPr>
            <w:tcW w:w="1272" w:type="dxa"/>
          </w:tcPr>
          <w:p w:rsidR="00E35632" w:rsidRDefault="00E35632">
            <w:pPr>
              <w:pStyle w:val="ConsPlusNormal"/>
              <w:jc w:val="center"/>
            </w:pPr>
            <w:r>
              <w:t>10 - 15</w:t>
            </w:r>
          </w:p>
        </w:tc>
        <w:tc>
          <w:tcPr>
            <w:tcW w:w="1128" w:type="dxa"/>
          </w:tcPr>
          <w:p w:rsidR="00E35632" w:rsidRDefault="00E35632">
            <w:pPr>
              <w:pStyle w:val="ConsPlusNormal"/>
              <w:jc w:val="center"/>
            </w:pPr>
            <w:r>
              <w:t>20 - 30</w:t>
            </w:r>
          </w:p>
        </w:tc>
      </w:tr>
    </w:tbl>
    <w:p w:rsidR="00E35632" w:rsidRDefault="00E35632">
      <w:pPr>
        <w:pStyle w:val="ConsPlusNormal"/>
        <w:jc w:val="both"/>
      </w:pPr>
    </w:p>
    <w:p w:rsidR="00E35632" w:rsidRDefault="00E35632">
      <w:pPr>
        <w:pStyle w:val="ConsPlusNormal"/>
        <w:ind w:firstLine="540"/>
        <w:jc w:val="both"/>
      </w:pPr>
      <w:r>
        <w:t>6.6.6 В качестве естественных оснований допускается использовать:</w:t>
      </w:r>
    </w:p>
    <w:p w:rsidR="00E35632" w:rsidRDefault="00E35632">
      <w:pPr>
        <w:pStyle w:val="ConsPlusNormal"/>
        <w:spacing w:before="220"/>
        <w:ind w:firstLine="540"/>
        <w:jc w:val="both"/>
      </w:pPr>
      <w:r>
        <w:t>- планомерно возведенные насыпи из грунтов и отходов производств;</w:t>
      </w:r>
    </w:p>
    <w:p w:rsidR="00E35632" w:rsidRDefault="00E35632">
      <w:pPr>
        <w:pStyle w:val="ConsPlusNormal"/>
        <w:spacing w:before="220"/>
        <w:ind w:firstLine="540"/>
        <w:jc w:val="both"/>
      </w:pPr>
      <w:r>
        <w:t>- отвалы грунтов и отходов производств, состоящие из щебенистых и гравийных грунтов, крупных песков и шлаков.</w:t>
      </w:r>
    </w:p>
    <w:p w:rsidR="00E35632" w:rsidRDefault="00E35632">
      <w:pPr>
        <w:pStyle w:val="ConsPlusNormal"/>
        <w:spacing w:before="220"/>
        <w:ind w:firstLine="540"/>
        <w:jc w:val="both"/>
      </w:pPr>
      <w:r>
        <w:t>Свалки грунтов и отходов производств допускается использовать для строительства сооружений пониженного уровня ответственности при проведении расчета по деформациям. Использование свалок бытовых отходов в качестве естественных оснований не допускается.</w:t>
      </w:r>
    </w:p>
    <w:p w:rsidR="00E35632" w:rsidRDefault="00E35632">
      <w:pPr>
        <w:pStyle w:val="ConsPlusNormal"/>
        <w:spacing w:before="220"/>
        <w:ind w:firstLine="540"/>
        <w:jc w:val="both"/>
      </w:pPr>
      <w:r>
        <w:t>6.6.7 Дополнительные осадки фундаментов за счет разложения органических включений учитывают в пределах слоев, расположенных выше уровня подземных вод, при относительном содержании по массе органических веществ в насыпях из песков, хвостов обогатительных фабрик и шлаков более 0,03, а из глинистых грунтов и золошлаков - более 0,05.</w:t>
      </w:r>
    </w:p>
    <w:p w:rsidR="00E35632" w:rsidRDefault="00E35632">
      <w:pPr>
        <w:pStyle w:val="ConsPlusNormal"/>
        <w:spacing w:before="220"/>
        <w:ind w:firstLine="540"/>
        <w:jc w:val="both"/>
      </w:pPr>
      <w:r>
        <w:t>6.6.8 Дополнительные осадки, их неравномерность и время развития за счет уплотнения подстилающих грунтов от веса насыпи определяются толщиной слоя насыпных грунтов, а также сжимаемостью и условиями консолидации подстилающих насыпь грунтов.</w:t>
      </w:r>
    </w:p>
    <w:p w:rsidR="00E35632" w:rsidRDefault="00E35632">
      <w:pPr>
        <w:pStyle w:val="ConsPlusNormal"/>
        <w:spacing w:before="220"/>
        <w:ind w:firstLine="540"/>
        <w:jc w:val="both"/>
      </w:pPr>
      <w:r>
        <w:t>Примечание - Допускается принимать, что уплотнение подстилающих грунтов от веса насыпи практически заканчивается для грунтов: песков - через один год, глинистых, расположенных выше уровня подземных вод, - через два года, а находящихся ниже уровня подземных вод - через пять лет.</w:t>
      </w:r>
    </w:p>
    <w:p w:rsidR="00E35632" w:rsidRDefault="00E35632">
      <w:pPr>
        <w:pStyle w:val="ConsPlusNormal"/>
        <w:jc w:val="both"/>
      </w:pPr>
    </w:p>
    <w:p w:rsidR="00E35632" w:rsidRDefault="00E35632">
      <w:pPr>
        <w:pStyle w:val="ConsPlusNormal"/>
        <w:ind w:firstLine="540"/>
        <w:jc w:val="both"/>
      </w:pPr>
      <w:r>
        <w:t>6.6.9 Для сооружений 2-й и 3-й геотехнических категорий сжимаемость всех видов насыпных грунтов и отходов производств необходимо определять в полевых условиях статическими нагрузками.</w:t>
      </w:r>
    </w:p>
    <w:p w:rsidR="00E35632" w:rsidRDefault="00E35632">
      <w:pPr>
        <w:pStyle w:val="ConsPlusNormal"/>
        <w:spacing w:before="220"/>
        <w:ind w:firstLine="540"/>
        <w:jc w:val="both"/>
      </w:pPr>
      <w:r>
        <w:t>Число испытаний штампами в пределах проектируемого сооружения принимают не менее: для планомерно возведенных насыпей 2, для отвалов - 3 при застраиваемой площади участка строительства не более 300 м</w:t>
      </w:r>
      <w:r>
        <w:rPr>
          <w:vertAlign w:val="superscript"/>
        </w:rPr>
        <w:t>2</w:t>
      </w:r>
      <w:r>
        <w:t>. При большей площади необходимо пропорционально увеличивать количество испытаний.</w:t>
      </w:r>
    </w:p>
    <w:p w:rsidR="00E35632" w:rsidRDefault="00E35632">
      <w:pPr>
        <w:pStyle w:val="ConsPlusNormal"/>
        <w:spacing w:before="220"/>
        <w:ind w:firstLine="540"/>
        <w:jc w:val="both"/>
      </w:pPr>
      <w:r>
        <w:t>6.6.10 При использовании насыпных грунтов и отходов производств для устройства искусственных оснований, насыпей, подсыпок под полы, обратных засыпок котлованов и т.п. для назначения проектной плотности и диапазона изменения влажности необходимо предусматривать проведение испытаний грунтов.</w:t>
      </w:r>
    </w:p>
    <w:p w:rsidR="00E35632" w:rsidRDefault="00E35632">
      <w:pPr>
        <w:pStyle w:val="ConsPlusNormal"/>
        <w:spacing w:before="220"/>
        <w:ind w:firstLine="540"/>
        <w:jc w:val="both"/>
      </w:pPr>
      <w:r>
        <w:lastRenderedPageBreak/>
        <w:t xml:space="preserve">6.6.11 Основания, сложенные насыпными грунтами и отходами производств, следует рассчитывать в соответствии с требованиями </w:t>
      </w:r>
      <w:hyperlink w:anchor="P375">
        <w:r>
          <w:rPr>
            <w:color w:val="0000FF"/>
          </w:rPr>
          <w:t>раздела 5</w:t>
        </w:r>
      </w:hyperlink>
      <w:r>
        <w:t xml:space="preserve">. Если насыпные грунты являются просадочными, набухающими или имеют относительное содержание органического вещества </w:t>
      </w:r>
      <w:r>
        <w:rPr>
          <w:i/>
        </w:rPr>
        <w:t>I</w:t>
      </w:r>
      <w:r>
        <w:rPr>
          <w:i/>
          <w:vertAlign w:val="subscript"/>
        </w:rPr>
        <w:t>r</w:t>
      </w:r>
      <w:r>
        <w:t xml:space="preserve"> &gt; 0,1, следует учитывать соответственно требования </w:t>
      </w:r>
      <w:hyperlink w:anchor="P2323">
        <w:r>
          <w:rPr>
            <w:color w:val="0000FF"/>
          </w:rPr>
          <w:t>6.1</w:t>
        </w:r>
      </w:hyperlink>
      <w:r>
        <w:t xml:space="preserve">, </w:t>
      </w:r>
      <w:hyperlink w:anchor="P2504">
        <w:r>
          <w:rPr>
            <w:color w:val="0000FF"/>
          </w:rPr>
          <w:t>6.2</w:t>
        </w:r>
      </w:hyperlink>
      <w:r>
        <w:t xml:space="preserve"> и </w:t>
      </w:r>
      <w:hyperlink w:anchor="P2875">
        <w:r>
          <w:rPr>
            <w:color w:val="0000FF"/>
          </w:rPr>
          <w:t>6.4</w:t>
        </w:r>
      </w:hyperlink>
      <w:r>
        <w:t>. Полную деформацию основания следует определять суммированием осадок основания от внешней нагрузки и дополнительных осадок от самоуплотнения насыпных грунтов и разложения органических включений, а также осадок (просадок) подстилающих грунтов от веса насыпи и нагрузок от фундамента.</w:t>
      </w:r>
    </w:p>
    <w:p w:rsidR="00E35632" w:rsidRDefault="00E35632">
      <w:pPr>
        <w:pStyle w:val="ConsPlusNormal"/>
        <w:spacing w:before="220"/>
        <w:ind w:firstLine="540"/>
        <w:jc w:val="both"/>
      </w:pPr>
      <w:r>
        <w:t xml:space="preserve">6.6.12 Для учета самоуплотнения неслежавшихся насыпных грунтов и отходов производств к значениям дополнительного вертикального напряжения от внешней нагрузки </w:t>
      </w:r>
      <w:r>
        <w:rPr>
          <w:noProof/>
          <w:position w:val="-10"/>
        </w:rPr>
        <w:drawing>
          <wp:inline distT="0" distB="0" distL="0" distR="0">
            <wp:extent cx="251460" cy="267970"/>
            <wp:effectExtent l="0" t="0" r="0" b="0"/>
            <wp:docPr id="39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r>
        <w:t xml:space="preserve"> по </w:t>
      </w:r>
      <w:hyperlink w:anchor="P1339">
        <w:r>
          <w:rPr>
            <w:color w:val="0000FF"/>
          </w:rPr>
          <w:t>5.6.32</w:t>
        </w:r>
      </w:hyperlink>
      <w:r>
        <w:t xml:space="preserve"> в пределах насыпного слоя добавляют вертикальное напряжение от собственного веса грунта, равное произведению </w:t>
      </w:r>
      <w:r>
        <w:rPr>
          <w:noProof/>
          <w:position w:val="-10"/>
        </w:rPr>
        <w:drawing>
          <wp:inline distT="0" distB="0" distL="0" distR="0">
            <wp:extent cx="419100" cy="267970"/>
            <wp:effectExtent l="0" t="0" r="0" b="0"/>
            <wp:docPr id="39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419100" cy="267970"/>
                    </a:xfrm>
                    <a:prstGeom prst="rect">
                      <a:avLst/>
                    </a:prstGeom>
                    <a:noFill/>
                    <a:ln>
                      <a:noFill/>
                    </a:ln>
                  </pic:spPr>
                </pic:pic>
              </a:graphicData>
            </a:graphic>
          </wp:inline>
        </w:drawing>
      </w:r>
      <w:r>
        <w:t xml:space="preserve">, где </w:t>
      </w:r>
      <w:r>
        <w:rPr>
          <w:i/>
        </w:rPr>
        <w:t>k</w:t>
      </w:r>
      <w:r>
        <w:rPr>
          <w:i/>
          <w:vertAlign w:val="subscript"/>
        </w:rPr>
        <w:t>ss</w:t>
      </w:r>
      <w:r>
        <w:t xml:space="preserve"> = 0,4 - для неслежавшихся насыпей из песков (кроме пылеватых), шлаков и т.п. и </w:t>
      </w:r>
      <w:r>
        <w:rPr>
          <w:i/>
        </w:rPr>
        <w:t>k</w:t>
      </w:r>
      <w:r>
        <w:rPr>
          <w:i/>
          <w:vertAlign w:val="subscript"/>
        </w:rPr>
        <w:t>ss</w:t>
      </w:r>
      <w:r>
        <w:t xml:space="preserve"> = 0,6 - из пылеватых песков, глинистых грунтов, золошлаков и т.п.</w:t>
      </w:r>
    </w:p>
    <w:p w:rsidR="00E35632" w:rsidRDefault="00E35632">
      <w:pPr>
        <w:pStyle w:val="ConsPlusNormal"/>
        <w:spacing w:before="220"/>
        <w:ind w:firstLine="540"/>
        <w:jc w:val="both"/>
      </w:pPr>
      <w:r>
        <w:t xml:space="preserve">При расчете осадок основания фундаментов учитывают осадку подстилающих грунтов от веса насыпи путем добавления к значениям </w:t>
      </w:r>
      <w:r>
        <w:rPr>
          <w:noProof/>
          <w:position w:val="-10"/>
        </w:rPr>
        <w:drawing>
          <wp:inline distT="0" distB="0" distL="0" distR="0">
            <wp:extent cx="251460" cy="267970"/>
            <wp:effectExtent l="0" t="0" r="0" b="0"/>
            <wp:docPr id="3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r>
        <w:t>, ниже кровли подстилающих грунтов вертикального напряжения от веса вышележащих слоев.</w:t>
      </w:r>
    </w:p>
    <w:p w:rsidR="00E35632" w:rsidRDefault="00E35632">
      <w:pPr>
        <w:pStyle w:val="ConsPlusNormal"/>
        <w:spacing w:before="220"/>
        <w:ind w:firstLine="540"/>
        <w:jc w:val="both"/>
      </w:pPr>
      <w:r>
        <w:t>Примечание - Допускается не учитывать дополнительную осадку подстилающих грунтов при давности отсыпки насыпей из песков и шлаков более двух лет и из глинистых грунтов, хвостов обогатительных фабрик, зол, золошлаков и шламов более пяти лет.</w:t>
      </w:r>
    </w:p>
    <w:p w:rsidR="00E35632" w:rsidRDefault="00E35632">
      <w:pPr>
        <w:pStyle w:val="ConsPlusNormal"/>
        <w:jc w:val="both"/>
      </w:pPr>
    </w:p>
    <w:p w:rsidR="00E35632" w:rsidRDefault="00E35632">
      <w:pPr>
        <w:pStyle w:val="ConsPlusNormal"/>
        <w:ind w:firstLine="540"/>
        <w:jc w:val="both"/>
      </w:pPr>
      <w:bookmarkStart w:id="181" w:name="P3216"/>
      <w:bookmarkEnd w:id="181"/>
      <w:r>
        <w:t xml:space="preserve">6.6.13 Расчетное сопротивление основания </w:t>
      </w:r>
      <w:r>
        <w:rPr>
          <w:i/>
        </w:rPr>
        <w:t>R</w:t>
      </w:r>
      <w:r>
        <w:t xml:space="preserve">, сложенного насыпными грунтами и отходами производств, определяют в соответствии с требованиями </w:t>
      </w:r>
      <w:hyperlink w:anchor="P805">
        <w:r>
          <w:rPr>
            <w:color w:val="0000FF"/>
          </w:rPr>
          <w:t>5.6</w:t>
        </w:r>
      </w:hyperlink>
      <w:r>
        <w:t>.</w:t>
      </w:r>
    </w:p>
    <w:p w:rsidR="00E35632" w:rsidRDefault="00E35632">
      <w:pPr>
        <w:pStyle w:val="ConsPlusNormal"/>
        <w:spacing w:before="220"/>
        <w:ind w:firstLine="540"/>
        <w:jc w:val="both"/>
      </w:pPr>
      <w:r>
        <w:t xml:space="preserve">При определении расчетных сопротивлений грунтов по </w:t>
      </w:r>
      <w:hyperlink w:anchor="P851">
        <w:r>
          <w:rPr>
            <w:color w:val="0000FF"/>
          </w:rPr>
          <w:t>формуле (5.7)</w:t>
        </w:r>
      </w:hyperlink>
      <w:r>
        <w:t xml:space="preserve"> значения коэффициентов </w:t>
      </w:r>
      <w:r>
        <w:rPr>
          <w:noProof/>
          <w:position w:val="-8"/>
        </w:rPr>
        <w:drawing>
          <wp:inline distT="0" distB="0" distL="0" distR="0">
            <wp:extent cx="219075" cy="251460"/>
            <wp:effectExtent l="0" t="0" r="0" b="0"/>
            <wp:docPr id="39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и </w:t>
      </w:r>
      <w:r>
        <w:rPr>
          <w:noProof/>
          <w:position w:val="-8"/>
        </w:rPr>
        <w:drawing>
          <wp:inline distT="0" distB="0" distL="0" distR="0">
            <wp:extent cx="241935" cy="251460"/>
            <wp:effectExtent l="0" t="0" r="0" b="0"/>
            <wp:docPr id="39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принимают равными для планомерно возведенных насыпей по </w:t>
      </w:r>
      <w:hyperlink w:anchor="P878">
        <w:r>
          <w:rPr>
            <w:color w:val="0000FF"/>
          </w:rPr>
          <w:t>таблице 5.4</w:t>
        </w:r>
      </w:hyperlink>
      <w:r>
        <w:t xml:space="preserve">; отвалов - </w:t>
      </w:r>
      <w:r>
        <w:rPr>
          <w:noProof/>
          <w:position w:val="-8"/>
        </w:rPr>
        <w:drawing>
          <wp:inline distT="0" distB="0" distL="0" distR="0">
            <wp:extent cx="621030" cy="251460"/>
            <wp:effectExtent l="0" t="0" r="0" b="0"/>
            <wp:docPr id="39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621030" cy="251460"/>
                    </a:xfrm>
                    <a:prstGeom prst="rect">
                      <a:avLst/>
                    </a:prstGeom>
                    <a:noFill/>
                    <a:ln>
                      <a:noFill/>
                    </a:ln>
                  </pic:spPr>
                </pic:pic>
              </a:graphicData>
            </a:graphic>
          </wp:inline>
        </w:drawing>
      </w:r>
      <w:r>
        <w:t xml:space="preserve"> и </w:t>
      </w:r>
      <w:r>
        <w:rPr>
          <w:noProof/>
          <w:position w:val="-8"/>
        </w:rPr>
        <w:drawing>
          <wp:inline distT="0" distB="0" distL="0" distR="0">
            <wp:extent cx="636270" cy="251460"/>
            <wp:effectExtent l="0" t="0" r="0" b="0"/>
            <wp:docPr id="39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636270" cy="251460"/>
                    </a:xfrm>
                    <a:prstGeom prst="rect">
                      <a:avLst/>
                    </a:prstGeom>
                    <a:noFill/>
                    <a:ln>
                      <a:noFill/>
                    </a:ln>
                  </pic:spPr>
                </pic:pic>
              </a:graphicData>
            </a:graphic>
          </wp:inline>
        </w:drawing>
      </w:r>
      <w:r>
        <w:t xml:space="preserve">; свалок - </w:t>
      </w:r>
      <w:r>
        <w:rPr>
          <w:noProof/>
          <w:position w:val="-8"/>
        </w:rPr>
        <w:drawing>
          <wp:inline distT="0" distB="0" distL="0" distR="0">
            <wp:extent cx="628650" cy="251460"/>
            <wp:effectExtent l="0" t="0" r="0" b="0"/>
            <wp:docPr id="40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628650" cy="251460"/>
                    </a:xfrm>
                    <a:prstGeom prst="rect">
                      <a:avLst/>
                    </a:prstGeom>
                    <a:noFill/>
                    <a:ln>
                      <a:noFill/>
                    </a:ln>
                  </pic:spPr>
                </pic:pic>
              </a:graphicData>
            </a:graphic>
          </wp:inline>
        </w:drawing>
      </w:r>
      <w:r>
        <w:t xml:space="preserve"> и </w:t>
      </w:r>
      <w:r>
        <w:rPr>
          <w:noProof/>
          <w:position w:val="-8"/>
        </w:rPr>
        <w:drawing>
          <wp:inline distT="0" distB="0" distL="0" distR="0">
            <wp:extent cx="636270" cy="251460"/>
            <wp:effectExtent l="0" t="0" r="0" b="0"/>
            <wp:docPr id="40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636270" cy="25146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Предварительные размеры фундаментов сооружений геотехнической категории 2 и 3, возводимых на слежавшихся насыпных грунтах, допускается назначать исходя из значений расчетных сопротивлений грунтов основания </w:t>
      </w:r>
      <w:r>
        <w:rPr>
          <w:i/>
        </w:rPr>
        <w:t>R</w:t>
      </w:r>
      <w:r>
        <w:rPr>
          <w:vertAlign w:val="subscript"/>
        </w:rPr>
        <w:t>0</w:t>
      </w:r>
      <w:r>
        <w:t xml:space="preserve"> по </w:t>
      </w:r>
      <w:hyperlink w:anchor="P6435">
        <w:r>
          <w:rPr>
            <w:color w:val="0000FF"/>
          </w:rPr>
          <w:t>таблице Б.9</w:t>
        </w:r>
      </w:hyperlink>
      <w:r>
        <w:t xml:space="preserve"> приложения Б. Эти значения </w:t>
      </w:r>
      <w:r>
        <w:rPr>
          <w:i/>
        </w:rPr>
        <w:t>R</w:t>
      </w:r>
      <w:r>
        <w:rPr>
          <w:vertAlign w:val="subscript"/>
        </w:rPr>
        <w:t>0</w:t>
      </w:r>
      <w:r>
        <w:t xml:space="preserve"> допускается использовать также для назначения окончательных размеров фундаментов сооружений геотехнической категории 1.</w:t>
      </w:r>
    </w:p>
    <w:p w:rsidR="00E35632" w:rsidRDefault="00E35632">
      <w:pPr>
        <w:pStyle w:val="ConsPlusNormal"/>
        <w:spacing w:before="220"/>
        <w:ind w:firstLine="540"/>
        <w:jc w:val="both"/>
      </w:pPr>
      <w:r>
        <w:t xml:space="preserve">6.6.14 При проведении уплотнения, устройстве песчаных, гравийных и т.п. подушек расчетные сопротивления </w:t>
      </w:r>
      <w:r>
        <w:rPr>
          <w:i/>
        </w:rPr>
        <w:t>R</w:t>
      </w:r>
      <w:r>
        <w:rPr>
          <w:vertAlign w:val="subscript"/>
        </w:rPr>
        <w:t>0</w:t>
      </w:r>
      <w:r>
        <w:t xml:space="preserve"> уточняют из условия, чтобы полное вертикальное напряжение от нагрузки на фундамент и от собственного веса уплотненного грунта на подстилающие насыпные (неуплотненные) или природные грунты не превышало расчетные сопротивления этих грунтов в соответствии с требованиями </w:t>
      </w:r>
      <w:hyperlink w:anchor="P1219">
        <w:r>
          <w:rPr>
            <w:color w:val="0000FF"/>
          </w:rPr>
          <w:t>5.6.25</w:t>
        </w:r>
      </w:hyperlink>
      <w:r>
        <w:t>.</w:t>
      </w:r>
    </w:p>
    <w:p w:rsidR="00E35632" w:rsidRDefault="00E35632">
      <w:pPr>
        <w:pStyle w:val="ConsPlusNormal"/>
        <w:spacing w:before="220"/>
        <w:ind w:firstLine="540"/>
        <w:jc w:val="both"/>
      </w:pPr>
      <w:r>
        <w:t xml:space="preserve">6.6.15 При расчетных деформациях основания, сложенного насыпными грунтами, больше предельных или недостаточной несущей способности основания необходимо предусматривать следующие мероприятия в соответствии с требованиями </w:t>
      </w:r>
      <w:hyperlink w:anchor="P2257">
        <w:r>
          <w:rPr>
            <w:color w:val="0000FF"/>
          </w:rPr>
          <w:t>5.9</w:t>
        </w:r>
      </w:hyperlink>
      <w:r>
        <w:t>:</w:t>
      </w:r>
    </w:p>
    <w:p w:rsidR="00E35632" w:rsidRDefault="00E35632">
      <w:pPr>
        <w:pStyle w:val="ConsPlusNormal"/>
        <w:spacing w:before="220"/>
        <w:ind w:firstLine="540"/>
        <w:jc w:val="both"/>
      </w:pPr>
      <w:r>
        <w:t>- поверхностное уплотнение оснований тяжелыми трамбовками, вибрационными машинами, катками, сваевдавливающими установками;</w:t>
      </w:r>
    </w:p>
    <w:p w:rsidR="00E35632" w:rsidRDefault="00E35632">
      <w:pPr>
        <w:pStyle w:val="ConsPlusNormal"/>
        <w:jc w:val="both"/>
      </w:pPr>
      <w:r>
        <w:t xml:space="preserve">(в ред. </w:t>
      </w:r>
      <w:hyperlink r:id="rId640">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 глубинное уплотнение грунтовыми сваями, гидровиброуплотнение;</w:t>
      </w:r>
    </w:p>
    <w:p w:rsidR="00E35632" w:rsidRDefault="00E35632">
      <w:pPr>
        <w:pStyle w:val="ConsPlusNormal"/>
        <w:spacing w:before="220"/>
        <w:ind w:firstLine="540"/>
        <w:jc w:val="both"/>
      </w:pPr>
      <w:r>
        <w:t>- устройство грунтовых подушек;</w:t>
      </w:r>
    </w:p>
    <w:p w:rsidR="00E35632" w:rsidRDefault="00E35632">
      <w:pPr>
        <w:pStyle w:val="ConsPlusNormal"/>
        <w:spacing w:before="220"/>
        <w:ind w:firstLine="540"/>
        <w:jc w:val="both"/>
      </w:pPr>
      <w:r>
        <w:lastRenderedPageBreak/>
        <w:t>- прорезка насыпных грунтов фундаментами, в том числе свайными;</w:t>
      </w:r>
    </w:p>
    <w:p w:rsidR="00E35632" w:rsidRDefault="00E35632">
      <w:pPr>
        <w:pStyle w:val="ConsPlusNormal"/>
        <w:spacing w:before="220"/>
        <w:ind w:firstLine="540"/>
        <w:jc w:val="both"/>
      </w:pPr>
      <w:r>
        <w:t>- конструктивные мероприятия.</w:t>
      </w:r>
    </w:p>
    <w:p w:rsidR="00E35632" w:rsidRDefault="00E35632">
      <w:pPr>
        <w:pStyle w:val="ConsPlusNormal"/>
        <w:spacing w:before="220"/>
        <w:ind w:firstLine="540"/>
        <w:jc w:val="both"/>
      </w:pPr>
      <w:r>
        <w:t>6.6.16 В проекте основания, уплотняемого тяжелыми трамбовками, должны быть указаны:</w:t>
      </w:r>
    </w:p>
    <w:p w:rsidR="00E35632" w:rsidRDefault="00E35632">
      <w:pPr>
        <w:pStyle w:val="ConsPlusNormal"/>
        <w:spacing w:before="220"/>
        <w:ind w:firstLine="540"/>
        <w:jc w:val="both"/>
      </w:pPr>
      <w:r>
        <w:t>- размеры уплотняемой площади и глубина уплотнения;</w:t>
      </w:r>
    </w:p>
    <w:p w:rsidR="00E35632" w:rsidRDefault="00E35632">
      <w:pPr>
        <w:pStyle w:val="ConsPlusNormal"/>
        <w:spacing w:before="220"/>
        <w:ind w:firstLine="540"/>
        <w:jc w:val="both"/>
      </w:pPr>
      <w:r>
        <w:t>- параметры трамбования (масса и диаметр трамбовки, высота сбрасывания, число ударов);</w:t>
      </w:r>
    </w:p>
    <w:p w:rsidR="00E35632" w:rsidRDefault="00E35632">
      <w:pPr>
        <w:pStyle w:val="ConsPlusNormal"/>
        <w:spacing w:before="220"/>
        <w:ind w:firstLine="540"/>
        <w:jc w:val="both"/>
      </w:pPr>
      <w:r>
        <w:t>- величина недобора грунта до проектной отметки заложения фундаментов (понижение уплотняемой поверхности);</w:t>
      </w:r>
    </w:p>
    <w:p w:rsidR="00E35632" w:rsidRDefault="00E35632">
      <w:pPr>
        <w:pStyle w:val="ConsPlusNormal"/>
        <w:spacing w:before="220"/>
        <w:ind w:firstLine="540"/>
        <w:jc w:val="both"/>
      </w:pPr>
      <w:r>
        <w:t>- плотность уплотненного грунта и оптимальная влажность.</w:t>
      </w:r>
    </w:p>
    <w:p w:rsidR="00E35632" w:rsidRDefault="00E35632">
      <w:pPr>
        <w:pStyle w:val="ConsPlusNormal"/>
        <w:spacing w:before="220"/>
        <w:ind w:firstLine="540"/>
        <w:jc w:val="both"/>
      </w:pPr>
      <w:r>
        <w:t>6.6.16а В проекте основания, уплотняемого сваевдавливающими установками, должны быть указаны:</w:t>
      </w:r>
    </w:p>
    <w:p w:rsidR="00E35632" w:rsidRDefault="00E35632">
      <w:pPr>
        <w:pStyle w:val="ConsPlusNormal"/>
        <w:spacing w:before="220"/>
        <w:ind w:firstLine="540"/>
        <w:jc w:val="both"/>
      </w:pPr>
      <w:r>
        <w:t>- размеры уплотняемой площади и глубина уплотнения;</w:t>
      </w:r>
    </w:p>
    <w:p w:rsidR="00E35632" w:rsidRDefault="00E35632">
      <w:pPr>
        <w:pStyle w:val="ConsPlusNormal"/>
        <w:spacing w:before="220"/>
        <w:ind w:firstLine="540"/>
        <w:jc w:val="both"/>
      </w:pPr>
      <w:r>
        <w:t>- параметры уплотняющей плиты-штампа (размеры, число ступеней уплотнения, давление уплотнения на каждой ступени, время выдержки на каждой ступени);</w:t>
      </w:r>
    </w:p>
    <w:p w:rsidR="00E35632" w:rsidRDefault="00E35632">
      <w:pPr>
        <w:pStyle w:val="ConsPlusNormal"/>
        <w:spacing w:before="220"/>
        <w:ind w:firstLine="540"/>
        <w:jc w:val="both"/>
      </w:pPr>
      <w:r>
        <w:t>- значение недобора грунта до проектной отметки заложения фундаментов (понижение уплотняемой поверхности);</w:t>
      </w:r>
    </w:p>
    <w:p w:rsidR="00E35632" w:rsidRDefault="00E35632">
      <w:pPr>
        <w:pStyle w:val="ConsPlusNormal"/>
        <w:spacing w:before="220"/>
        <w:ind w:firstLine="540"/>
        <w:jc w:val="both"/>
      </w:pPr>
      <w:r>
        <w:t>- плотность уплотненного грунта и оптимальная влажность.</w:t>
      </w:r>
    </w:p>
    <w:p w:rsidR="00E35632" w:rsidRDefault="00E35632">
      <w:pPr>
        <w:pStyle w:val="ConsPlusNormal"/>
        <w:jc w:val="both"/>
      </w:pPr>
      <w:r>
        <w:t xml:space="preserve">(п. 6.6.16а введен </w:t>
      </w:r>
      <w:hyperlink r:id="rId641">
        <w:r>
          <w:rPr>
            <w:color w:val="0000FF"/>
          </w:rPr>
          <w:t>Изменением N 1</w:t>
        </w:r>
      </w:hyperlink>
      <w:r>
        <w:t>, утв. Приказом Минстроя России от 20.11.2018 N 736/пр)</w:t>
      </w:r>
    </w:p>
    <w:p w:rsidR="00E35632" w:rsidRDefault="00E35632">
      <w:pPr>
        <w:pStyle w:val="ConsPlusNormal"/>
        <w:spacing w:before="220"/>
        <w:ind w:firstLine="540"/>
        <w:jc w:val="both"/>
      </w:pPr>
      <w:r>
        <w:t xml:space="preserve">6.6.17 Вибрационные машины и катки используют при уплотнении на глубину до 1,5 м и для уплотнения отдельных слоев при возведении насыпей из грунтов и отходов производств, имеющих коэффициент водонасыщения </w:t>
      </w:r>
      <w:r>
        <w:rPr>
          <w:i/>
        </w:rPr>
        <w:t>S</w:t>
      </w:r>
      <w:r>
        <w:rPr>
          <w:i/>
          <w:vertAlign w:val="subscript"/>
        </w:rPr>
        <w:t>r</w:t>
      </w:r>
      <w:r>
        <w:t xml:space="preserve"> &lt;= 0,7.</w:t>
      </w:r>
    </w:p>
    <w:p w:rsidR="00E35632" w:rsidRDefault="00E35632">
      <w:pPr>
        <w:pStyle w:val="ConsPlusNormal"/>
        <w:spacing w:before="220"/>
        <w:ind w:firstLine="540"/>
        <w:jc w:val="both"/>
      </w:pPr>
      <w:r>
        <w:t xml:space="preserve">6.6.18 Гидровиброуплотнение применяют для уплотнения на глубину до 6 м насыпных грунтов и отходов производств (хвостов, формовочной земли, золошлаков) с содержанием по массе глинистых частиц не более 0,05 и коэффициенте водонасыщения </w:t>
      </w:r>
      <w:r>
        <w:rPr>
          <w:i/>
        </w:rPr>
        <w:t>S</w:t>
      </w:r>
      <w:r>
        <w:rPr>
          <w:i/>
          <w:vertAlign w:val="subscript"/>
        </w:rPr>
        <w:t>r</w:t>
      </w:r>
      <w:r>
        <w:t xml:space="preserve"> &gt; 0,7.</w:t>
      </w:r>
    </w:p>
    <w:p w:rsidR="00E35632" w:rsidRDefault="00E35632">
      <w:pPr>
        <w:pStyle w:val="ConsPlusNormal"/>
        <w:spacing w:before="220"/>
        <w:ind w:firstLine="540"/>
        <w:jc w:val="both"/>
      </w:pPr>
      <w:r>
        <w:t>6.6.19 Грунтовые подушки применяют при замене сильно- и неравномерно сжимаемых насыпных грунтов. Они могут устраиваться как из природных грунтов (щебеночных, гравийных, песчаных и т.п.), так и из отходов производств (шлаков, золошлаков).</w:t>
      </w:r>
    </w:p>
    <w:p w:rsidR="00E35632" w:rsidRDefault="00E35632">
      <w:pPr>
        <w:pStyle w:val="ConsPlusNormal"/>
        <w:spacing w:before="220"/>
        <w:ind w:firstLine="540"/>
        <w:jc w:val="both"/>
      </w:pPr>
      <w:r>
        <w:t>Плотность подушек назначают в зависимости от вида применяемых грунтов и отходов производств и уровня ответственности сооружения.</w:t>
      </w:r>
    </w:p>
    <w:p w:rsidR="00E35632" w:rsidRDefault="00E35632">
      <w:pPr>
        <w:pStyle w:val="ConsPlusNormal"/>
        <w:spacing w:before="220"/>
        <w:ind w:firstLine="540"/>
        <w:jc w:val="both"/>
      </w:pPr>
      <w:r>
        <w:t>6.6.20 Модули деформации подушек и оснований из насыпных грунтов, уплотненных тяжелыми трамбовками, вибрационными машинами, катками и гидровиброметодом принимают по результатам полевых испытаний статическими нагрузками.</w:t>
      </w:r>
    </w:p>
    <w:p w:rsidR="00E35632" w:rsidRDefault="00E35632">
      <w:pPr>
        <w:pStyle w:val="ConsPlusNormal"/>
        <w:spacing w:before="220"/>
        <w:ind w:firstLine="540"/>
        <w:jc w:val="both"/>
      </w:pPr>
      <w:r>
        <w:t xml:space="preserve">6.6.21 Конструктивные мероприятия при строительстве сооружений на насыпных грунтах и отходах производств применяют в соответствии с </w:t>
      </w:r>
      <w:hyperlink w:anchor="P2257">
        <w:r>
          <w:rPr>
            <w:color w:val="0000FF"/>
          </w:rPr>
          <w:t>5.9</w:t>
        </w:r>
      </w:hyperlink>
      <w:r>
        <w:t>.</w:t>
      </w:r>
    </w:p>
    <w:p w:rsidR="00E35632" w:rsidRDefault="00E35632">
      <w:pPr>
        <w:pStyle w:val="ConsPlusTitle"/>
        <w:spacing w:before="220"/>
        <w:ind w:firstLine="540"/>
        <w:jc w:val="both"/>
        <w:outlineLvl w:val="2"/>
      </w:pPr>
      <w:r>
        <w:t>6.7 Намывные грунты</w:t>
      </w:r>
    </w:p>
    <w:p w:rsidR="00E35632" w:rsidRDefault="00E35632">
      <w:pPr>
        <w:pStyle w:val="ConsPlusNormal"/>
        <w:spacing w:before="220"/>
        <w:ind w:firstLine="540"/>
        <w:jc w:val="both"/>
      </w:pPr>
      <w:r>
        <w:t xml:space="preserve">6.7.1 Основания, сложенные намывными грунтами, следует проектировать с учетом их неоднородности (многослойности, изменчивости состава и свойств в плане и по глубине), способности изменять физико-механические свойства со временем (в том числе за счет колебаний уровня подземных вод), чувствительности к вибрационным воздействиям, а также возможных </w:t>
      </w:r>
      <w:r>
        <w:lastRenderedPageBreak/>
        <w:t>осадок подстилающих слоев.</w:t>
      </w:r>
    </w:p>
    <w:p w:rsidR="00E35632" w:rsidRDefault="00E35632">
      <w:pPr>
        <w:pStyle w:val="ConsPlusNormal"/>
        <w:spacing w:before="220"/>
        <w:ind w:firstLine="540"/>
        <w:jc w:val="both"/>
      </w:pPr>
      <w:r>
        <w:t>Для намыва следует использовать пески различной крупности, а также супеси при соответствующем обосновании.</w:t>
      </w:r>
    </w:p>
    <w:p w:rsidR="00E35632" w:rsidRDefault="00E35632">
      <w:pPr>
        <w:pStyle w:val="ConsPlusNormal"/>
        <w:spacing w:before="220"/>
        <w:ind w:firstLine="540"/>
        <w:jc w:val="both"/>
      </w:pPr>
      <w:r>
        <w:t>Примечание - Намыв грунта на просадочные (в грунтовых условиях типа I), набухающие и засоленные грунты допускается при соответствующем обосновании. Намыв на просадочные грунты типа II не допускается.</w:t>
      </w:r>
    </w:p>
    <w:p w:rsidR="00E35632" w:rsidRDefault="00E35632">
      <w:pPr>
        <w:pStyle w:val="ConsPlusNormal"/>
        <w:jc w:val="both"/>
      </w:pPr>
    </w:p>
    <w:p w:rsidR="00E35632" w:rsidRDefault="00E35632">
      <w:pPr>
        <w:pStyle w:val="ConsPlusNormal"/>
        <w:ind w:firstLine="540"/>
        <w:jc w:val="both"/>
      </w:pPr>
      <w:r>
        <w:t>6.7.2 Проектирование оснований и фундаментов следует проводить по результатам инженерно-геологических изысканий, выполненных не ранее чем через три месяца после окончания намыва песчаных грунтов.</w:t>
      </w:r>
    </w:p>
    <w:p w:rsidR="00E35632" w:rsidRDefault="00E35632">
      <w:pPr>
        <w:pStyle w:val="ConsPlusNormal"/>
        <w:spacing w:before="220"/>
        <w:ind w:firstLine="540"/>
        <w:jc w:val="both"/>
      </w:pPr>
      <w:r>
        <w:t>6.7.3 Прочностные и деформационные характеристики намывных грунтов следует устанавливать по результатам полевых и лабораторных исследований грунтов ненарушенного сложения с учетом возраста намывного грунта, т.е. времени, прошедшего от окончания намыва, а также разницы во времени между периодом инженерно-геологических изысканий и началом строительства.</w:t>
      </w:r>
    </w:p>
    <w:p w:rsidR="00E35632" w:rsidRDefault="00E35632">
      <w:pPr>
        <w:pStyle w:val="ConsPlusNormal"/>
        <w:spacing w:before="220"/>
        <w:ind w:firstLine="540"/>
        <w:jc w:val="both"/>
      </w:pPr>
      <w:r>
        <w:t>6.7.4 Намывные грунты обладают способностью после намыва интенсивно менять свои физико-механические свойства вследствие протекания в них процессов уплотнения и упрочнения. В связи с этим, на расчетные значения характеристик намывных грунтов должна вводиться поправка, учитывающая разницу во времени между периодом инженерно-геологических изысканий и моментом устройства фундаментов.</w:t>
      </w:r>
    </w:p>
    <w:p w:rsidR="00E35632" w:rsidRDefault="00E35632">
      <w:pPr>
        <w:pStyle w:val="ConsPlusNormal"/>
        <w:spacing w:before="220"/>
        <w:ind w:firstLine="540"/>
        <w:jc w:val="both"/>
      </w:pPr>
      <w:r>
        <w:t>Ориентировочное время самоуплотнения и упрочнения намывных грунтов следует оценивать в зависимости от их состава и вида подстилающих грунтов естественного основания с учетом рекомендуемых данных таблицы 6.10.</w:t>
      </w:r>
    </w:p>
    <w:p w:rsidR="00E35632" w:rsidRDefault="00E35632">
      <w:pPr>
        <w:pStyle w:val="ConsPlusNormal"/>
        <w:jc w:val="both"/>
      </w:pPr>
    </w:p>
    <w:p w:rsidR="00E35632" w:rsidRDefault="00E35632">
      <w:pPr>
        <w:pStyle w:val="ConsPlusNormal"/>
        <w:jc w:val="right"/>
      </w:pPr>
      <w:r>
        <w:t>Таблица 6.10</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494"/>
        <w:gridCol w:w="2182"/>
        <w:gridCol w:w="1560"/>
        <w:gridCol w:w="1440"/>
        <w:gridCol w:w="1363"/>
      </w:tblGrid>
      <w:tr w:rsidR="00E35632">
        <w:tc>
          <w:tcPr>
            <w:tcW w:w="2494" w:type="dxa"/>
            <w:vMerge w:val="restart"/>
            <w:vAlign w:val="center"/>
          </w:tcPr>
          <w:p w:rsidR="00E35632" w:rsidRDefault="00E35632">
            <w:pPr>
              <w:pStyle w:val="ConsPlusNormal"/>
              <w:jc w:val="center"/>
            </w:pPr>
            <w:r>
              <w:t>Грунты естественного основания</w:t>
            </w:r>
          </w:p>
        </w:tc>
        <w:tc>
          <w:tcPr>
            <w:tcW w:w="6545" w:type="dxa"/>
            <w:gridSpan w:val="4"/>
            <w:vAlign w:val="center"/>
          </w:tcPr>
          <w:p w:rsidR="00E35632" w:rsidRDefault="00E35632">
            <w:pPr>
              <w:pStyle w:val="ConsPlusNormal"/>
              <w:jc w:val="center"/>
            </w:pPr>
            <w:r>
              <w:t>Ориентировочное время самоуплотнения и упрочнения намывных грунтов, месяцы</w:t>
            </w:r>
          </w:p>
        </w:tc>
      </w:tr>
      <w:tr w:rsidR="00E35632">
        <w:tc>
          <w:tcPr>
            <w:tcW w:w="2494" w:type="dxa"/>
            <w:vMerge/>
          </w:tcPr>
          <w:p w:rsidR="00E35632" w:rsidRDefault="00E35632">
            <w:pPr>
              <w:pStyle w:val="ConsPlusNormal"/>
            </w:pPr>
          </w:p>
        </w:tc>
        <w:tc>
          <w:tcPr>
            <w:tcW w:w="2182" w:type="dxa"/>
            <w:vAlign w:val="center"/>
          </w:tcPr>
          <w:p w:rsidR="00E35632" w:rsidRDefault="00E35632">
            <w:pPr>
              <w:pStyle w:val="ConsPlusNormal"/>
              <w:jc w:val="center"/>
            </w:pPr>
            <w:r>
              <w:t>Пески крупные и средней крупности</w:t>
            </w:r>
          </w:p>
        </w:tc>
        <w:tc>
          <w:tcPr>
            <w:tcW w:w="1560" w:type="dxa"/>
            <w:vAlign w:val="center"/>
          </w:tcPr>
          <w:p w:rsidR="00E35632" w:rsidRDefault="00E35632">
            <w:pPr>
              <w:pStyle w:val="ConsPlusNormal"/>
              <w:jc w:val="center"/>
            </w:pPr>
            <w:r>
              <w:t>Пески мелкие</w:t>
            </w:r>
          </w:p>
        </w:tc>
        <w:tc>
          <w:tcPr>
            <w:tcW w:w="1440" w:type="dxa"/>
            <w:vAlign w:val="center"/>
          </w:tcPr>
          <w:p w:rsidR="00E35632" w:rsidRDefault="00E35632">
            <w:pPr>
              <w:pStyle w:val="ConsPlusNormal"/>
              <w:jc w:val="center"/>
            </w:pPr>
            <w:r>
              <w:t>Пески пылеватые</w:t>
            </w:r>
          </w:p>
        </w:tc>
        <w:tc>
          <w:tcPr>
            <w:tcW w:w="1363" w:type="dxa"/>
            <w:vAlign w:val="center"/>
          </w:tcPr>
          <w:p w:rsidR="00E35632" w:rsidRDefault="00E35632">
            <w:pPr>
              <w:pStyle w:val="ConsPlusNormal"/>
              <w:jc w:val="center"/>
            </w:pPr>
            <w:r>
              <w:t>Супеси</w:t>
            </w:r>
          </w:p>
        </w:tc>
      </w:tr>
      <w:tr w:rsidR="00E35632">
        <w:tc>
          <w:tcPr>
            <w:tcW w:w="2494" w:type="dxa"/>
          </w:tcPr>
          <w:p w:rsidR="00E35632" w:rsidRDefault="00E35632">
            <w:pPr>
              <w:pStyle w:val="ConsPlusNormal"/>
            </w:pPr>
            <w:r>
              <w:t>Песчано-гравийные</w:t>
            </w:r>
          </w:p>
        </w:tc>
        <w:tc>
          <w:tcPr>
            <w:tcW w:w="2182" w:type="dxa"/>
          </w:tcPr>
          <w:p w:rsidR="00E35632" w:rsidRDefault="00E35632">
            <w:pPr>
              <w:pStyle w:val="ConsPlusNormal"/>
              <w:jc w:val="center"/>
            </w:pPr>
            <w:r>
              <w:t>0,5</w:t>
            </w:r>
          </w:p>
        </w:tc>
        <w:tc>
          <w:tcPr>
            <w:tcW w:w="1560" w:type="dxa"/>
          </w:tcPr>
          <w:p w:rsidR="00E35632" w:rsidRDefault="00E35632">
            <w:pPr>
              <w:pStyle w:val="ConsPlusNormal"/>
              <w:jc w:val="center"/>
            </w:pPr>
            <w:r>
              <w:t>1,0</w:t>
            </w:r>
          </w:p>
        </w:tc>
        <w:tc>
          <w:tcPr>
            <w:tcW w:w="1440" w:type="dxa"/>
          </w:tcPr>
          <w:p w:rsidR="00E35632" w:rsidRDefault="00E35632">
            <w:pPr>
              <w:pStyle w:val="ConsPlusNormal"/>
              <w:jc w:val="center"/>
            </w:pPr>
            <w:r>
              <w:t>2,0</w:t>
            </w:r>
          </w:p>
        </w:tc>
        <w:tc>
          <w:tcPr>
            <w:tcW w:w="1363" w:type="dxa"/>
          </w:tcPr>
          <w:p w:rsidR="00E35632" w:rsidRDefault="00E35632">
            <w:pPr>
              <w:pStyle w:val="ConsPlusNormal"/>
              <w:jc w:val="center"/>
            </w:pPr>
            <w:r>
              <w:t>3,0</w:t>
            </w:r>
          </w:p>
        </w:tc>
      </w:tr>
      <w:tr w:rsidR="00E35632">
        <w:tc>
          <w:tcPr>
            <w:tcW w:w="2494" w:type="dxa"/>
          </w:tcPr>
          <w:p w:rsidR="00E35632" w:rsidRDefault="00E35632">
            <w:pPr>
              <w:pStyle w:val="ConsPlusNormal"/>
            </w:pPr>
            <w:r>
              <w:t>Песчаные</w:t>
            </w:r>
          </w:p>
        </w:tc>
        <w:tc>
          <w:tcPr>
            <w:tcW w:w="2182" w:type="dxa"/>
          </w:tcPr>
          <w:p w:rsidR="00E35632" w:rsidRDefault="00E35632">
            <w:pPr>
              <w:pStyle w:val="ConsPlusNormal"/>
              <w:jc w:val="center"/>
            </w:pPr>
            <w:r>
              <w:t>1,0</w:t>
            </w:r>
          </w:p>
        </w:tc>
        <w:tc>
          <w:tcPr>
            <w:tcW w:w="1560" w:type="dxa"/>
          </w:tcPr>
          <w:p w:rsidR="00E35632" w:rsidRDefault="00E35632">
            <w:pPr>
              <w:pStyle w:val="ConsPlusNormal"/>
              <w:jc w:val="center"/>
            </w:pPr>
            <w:r>
              <w:t>2,0</w:t>
            </w:r>
          </w:p>
        </w:tc>
        <w:tc>
          <w:tcPr>
            <w:tcW w:w="1440" w:type="dxa"/>
          </w:tcPr>
          <w:p w:rsidR="00E35632" w:rsidRDefault="00E35632">
            <w:pPr>
              <w:pStyle w:val="ConsPlusNormal"/>
              <w:jc w:val="center"/>
            </w:pPr>
            <w:r>
              <w:t>3,0</w:t>
            </w:r>
          </w:p>
        </w:tc>
        <w:tc>
          <w:tcPr>
            <w:tcW w:w="1363" w:type="dxa"/>
          </w:tcPr>
          <w:p w:rsidR="00E35632" w:rsidRDefault="00E35632">
            <w:pPr>
              <w:pStyle w:val="ConsPlusNormal"/>
              <w:jc w:val="center"/>
            </w:pPr>
            <w:r>
              <w:t>6,0</w:t>
            </w:r>
          </w:p>
        </w:tc>
      </w:tr>
      <w:tr w:rsidR="00E35632">
        <w:tc>
          <w:tcPr>
            <w:tcW w:w="2494" w:type="dxa"/>
          </w:tcPr>
          <w:p w:rsidR="00E35632" w:rsidRDefault="00E35632">
            <w:pPr>
              <w:pStyle w:val="ConsPlusNormal"/>
            </w:pPr>
            <w:r>
              <w:t>Органоминеральные и органические</w:t>
            </w:r>
          </w:p>
        </w:tc>
        <w:tc>
          <w:tcPr>
            <w:tcW w:w="2182" w:type="dxa"/>
          </w:tcPr>
          <w:p w:rsidR="00E35632" w:rsidRDefault="00E35632">
            <w:pPr>
              <w:pStyle w:val="ConsPlusNormal"/>
              <w:jc w:val="center"/>
            </w:pPr>
            <w:r>
              <w:t>2,0</w:t>
            </w:r>
          </w:p>
        </w:tc>
        <w:tc>
          <w:tcPr>
            <w:tcW w:w="1560" w:type="dxa"/>
          </w:tcPr>
          <w:p w:rsidR="00E35632" w:rsidRDefault="00E35632">
            <w:pPr>
              <w:pStyle w:val="ConsPlusNormal"/>
              <w:jc w:val="center"/>
            </w:pPr>
            <w:r>
              <w:t>3,0</w:t>
            </w:r>
          </w:p>
        </w:tc>
        <w:tc>
          <w:tcPr>
            <w:tcW w:w="1440" w:type="dxa"/>
          </w:tcPr>
          <w:p w:rsidR="00E35632" w:rsidRDefault="00E35632">
            <w:pPr>
              <w:pStyle w:val="ConsPlusNormal"/>
              <w:jc w:val="center"/>
            </w:pPr>
            <w:r>
              <w:t>6,0</w:t>
            </w:r>
          </w:p>
        </w:tc>
        <w:tc>
          <w:tcPr>
            <w:tcW w:w="1363" w:type="dxa"/>
          </w:tcPr>
          <w:p w:rsidR="00E35632" w:rsidRDefault="00E35632">
            <w:pPr>
              <w:pStyle w:val="ConsPlusNormal"/>
              <w:jc w:val="center"/>
            </w:pPr>
            <w:r>
              <w:t>12,0</w:t>
            </w:r>
          </w:p>
        </w:tc>
      </w:tr>
      <w:tr w:rsidR="00E35632">
        <w:tc>
          <w:tcPr>
            <w:tcW w:w="2494" w:type="dxa"/>
          </w:tcPr>
          <w:p w:rsidR="00E35632" w:rsidRDefault="00E35632">
            <w:pPr>
              <w:pStyle w:val="ConsPlusNormal"/>
            </w:pPr>
            <w:r>
              <w:t>Глинистые</w:t>
            </w:r>
          </w:p>
        </w:tc>
        <w:tc>
          <w:tcPr>
            <w:tcW w:w="2182" w:type="dxa"/>
          </w:tcPr>
          <w:p w:rsidR="00E35632" w:rsidRDefault="00E35632">
            <w:pPr>
              <w:pStyle w:val="ConsPlusNormal"/>
              <w:jc w:val="center"/>
            </w:pPr>
            <w:r>
              <w:t>3,0</w:t>
            </w:r>
          </w:p>
        </w:tc>
        <w:tc>
          <w:tcPr>
            <w:tcW w:w="1560" w:type="dxa"/>
          </w:tcPr>
          <w:p w:rsidR="00E35632" w:rsidRDefault="00E35632">
            <w:pPr>
              <w:pStyle w:val="ConsPlusNormal"/>
              <w:jc w:val="center"/>
            </w:pPr>
            <w:r>
              <w:t>6,0</w:t>
            </w:r>
          </w:p>
        </w:tc>
        <w:tc>
          <w:tcPr>
            <w:tcW w:w="1440" w:type="dxa"/>
          </w:tcPr>
          <w:p w:rsidR="00E35632" w:rsidRDefault="00E35632">
            <w:pPr>
              <w:pStyle w:val="ConsPlusNormal"/>
              <w:jc w:val="center"/>
            </w:pPr>
            <w:r>
              <w:t>12,0</w:t>
            </w:r>
          </w:p>
        </w:tc>
        <w:tc>
          <w:tcPr>
            <w:tcW w:w="1363" w:type="dxa"/>
          </w:tcPr>
          <w:p w:rsidR="00E35632" w:rsidRDefault="00E35632">
            <w:pPr>
              <w:pStyle w:val="ConsPlusNormal"/>
              <w:jc w:val="center"/>
            </w:pPr>
            <w:r>
              <w:t>24,0</w:t>
            </w:r>
          </w:p>
        </w:tc>
      </w:tr>
    </w:tbl>
    <w:p w:rsidR="00E35632" w:rsidRDefault="00E35632">
      <w:pPr>
        <w:pStyle w:val="ConsPlusNormal"/>
        <w:jc w:val="both"/>
      </w:pPr>
    </w:p>
    <w:p w:rsidR="00E35632" w:rsidRDefault="00E35632">
      <w:pPr>
        <w:pStyle w:val="ConsPlusNormal"/>
        <w:ind w:firstLine="540"/>
        <w:jc w:val="both"/>
      </w:pPr>
      <w:r>
        <w:t xml:space="preserve">6.7.5 Для предварительных расчетов оснований сооружений геотехнических категорий 2 и 3, а также окончательных расчетов оснований сооружений геотехнической категории 1 допускается пользоваться значениями прочностных и деформационных характеристик грунтов по </w:t>
      </w:r>
      <w:hyperlink w:anchor="P6046">
        <w:r>
          <w:rPr>
            <w:color w:val="0000FF"/>
          </w:rPr>
          <w:t>таблице А.8</w:t>
        </w:r>
      </w:hyperlink>
      <w:r>
        <w:t xml:space="preserve"> приложения А, составленной для намывных грунтов в возрасте не менее четырех лет.</w:t>
      </w:r>
    </w:p>
    <w:p w:rsidR="00E35632" w:rsidRDefault="00E35632">
      <w:pPr>
        <w:pStyle w:val="ConsPlusNormal"/>
        <w:spacing w:before="220"/>
        <w:ind w:firstLine="540"/>
        <w:jc w:val="both"/>
      </w:pPr>
      <w:r>
        <w:t xml:space="preserve">6.7.6 Численные значения механических характеристик намывных грунтов для конкретных строительных площадок следует определять по эмпирическим зависимостям. Параметры в этих зависимостях следует находить в результате последовательных двукратных испытаний грунтов на строительной площадке, при этом сроки испытаний намывных грунтов следует выбирать такими, </w:t>
      </w:r>
      <w:r>
        <w:lastRenderedPageBreak/>
        <w:t>чтобы от завершения гидронамыва и до начала строительства зданий или сооружений обеспечить последовательные двукратные испытания через равные промежутки времени.</w:t>
      </w:r>
    </w:p>
    <w:p w:rsidR="00E35632" w:rsidRDefault="00E35632">
      <w:pPr>
        <w:pStyle w:val="ConsPlusNormal"/>
        <w:spacing w:before="220"/>
        <w:ind w:firstLine="540"/>
        <w:jc w:val="both"/>
      </w:pPr>
      <w:r>
        <w:t xml:space="preserve">6.7.7 Нормативное значение модуля деформации </w:t>
      </w:r>
      <w:r>
        <w:rPr>
          <w:i/>
        </w:rPr>
        <w:t>E</w:t>
      </w:r>
      <w:r>
        <w:t xml:space="preserve"> пылеватых, мелких и среднезернистых намывных песков для их возраста </w:t>
      </w:r>
      <w:r>
        <w:rPr>
          <w:i/>
        </w:rPr>
        <w:t>t</w:t>
      </w:r>
      <w:r>
        <w:t>, годы, после гидронамыва в пределах от 0,5 до 4,5 следует вычислять по эмпирической формуле</w:t>
      </w:r>
    </w:p>
    <w:p w:rsidR="00E35632" w:rsidRDefault="00E35632">
      <w:pPr>
        <w:pStyle w:val="ConsPlusNormal"/>
        <w:jc w:val="both"/>
      </w:pPr>
    </w:p>
    <w:p w:rsidR="00E35632" w:rsidRDefault="00E35632">
      <w:pPr>
        <w:pStyle w:val="ConsPlusNormal"/>
        <w:jc w:val="center"/>
      </w:pPr>
      <w:bookmarkStart w:id="182" w:name="P3287"/>
      <w:bookmarkEnd w:id="182"/>
      <w:r>
        <w:rPr>
          <w:noProof/>
          <w:position w:val="-26"/>
        </w:rPr>
        <w:drawing>
          <wp:inline distT="0" distB="0" distL="0" distR="0">
            <wp:extent cx="1005840" cy="479425"/>
            <wp:effectExtent l="0" t="0" r="0" b="0"/>
            <wp:docPr id="40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05840" cy="479425"/>
                    </a:xfrm>
                    <a:prstGeom prst="rect">
                      <a:avLst/>
                    </a:prstGeom>
                    <a:noFill/>
                    <a:ln>
                      <a:noFill/>
                    </a:ln>
                  </pic:spPr>
                </pic:pic>
              </a:graphicData>
            </a:graphic>
          </wp:inline>
        </w:drawing>
      </w:r>
      <w:r>
        <w:t xml:space="preserve"> (6.25)</w:t>
      </w:r>
    </w:p>
    <w:p w:rsidR="00E35632" w:rsidRDefault="00E35632">
      <w:pPr>
        <w:pStyle w:val="ConsPlusNormal"/>
        <w:jc w:val="both"/>
      </w:pPr>
    </w:p>
    <w:p w:rsidR="00E35632" w:rsidRDefault="00E35632">
      <w:pPr>
        <w:pStyle w:val="ConsPlusNormal"/>
        <w:ind w:firstLine="540"/>
        <w:jc w:val="both"/>
      </w:pPr>
      <w:r>
        <w:t xml:space="preserve">где </w:t>
      </w:r>
      <w:r>
        <w:rPr>
          <w:i/>
        </w:rPr>
        <w:t>K</w:t>
      </w:r>
      <w:r>
        <w:t xml:space="preserve"> - коэффициент, равный 1 МПа;</w:t>
      </w:r>
    </w:p>
    <w:p w:rsidR="00E35632" w:rsidRDefault="00E35632">
      <w:pPr>
        <w:pStyle w:val="ConsPlusNormal"/>
        <w:spacing w:before="220"/>
        <w:ind w:firstLine="540"/>
        <w:jc w:val="both"/>
      </w:pPr>
      <w:r>
        <w:rPr>
          <w:i/>
        </w:rPr>
        <w:t>K</w:t>
      </w:r>
      <w:r>
        <w:rPr>
          <w:vertAlign w:val="subscript"/>
        </w:rPr>
        <w:t>1</w:t>
      </w:r>
      <w:r>
        <w:t xml:space="preserve"> - коэффициент, равный 1/год;</w:t>
      </w:r>
    </w:p>
    <w:p w:rsidR="00E35632" w:rsidRDefault="00E35632">
      <w:pPr>
        <w:pStyle w:val="ConsPlusNormal"/>
        <w:spacing w:before="220"/>
        <w:ind w:firstLine="540"/>
        <w:jc w:val="both"/>
      </w:pPr>
      <w:r>
        <w:rPr>
          <w:i/>
        </w:rPr>
        <w:t>A</w:t>
      </w:r>
      <w:r>
        <w:t xml:space="preserve">, </w:t>
      </w:r>
      <w:r>
        <w:rPr>
          <w:i/>
        </w:rPr>
        <w:t>B</w:t>
      </w:r>
      <w:r>
        <w:t xml:space="preserve"> - безразмерные параметры, вычисляемые по формулам:</w:t>
      </w:r>
    </w:p>
    <w:p w:rsidR="00E35632" w:rsidRDefault="00E35632">
      <w:pPr>
        <w:pStyle w:val="ConsPlusNormal"/>
        <w:jc w:val="both"/>
      </w:pPr>
    </w:p>
    <w:p w:rsidR="00E35632" w:rsidRDefault="00E35632">
      <w:pPr>
        <w:pStyle w:val="ConsPlusNormal"/>
        <w:jc w:val="center"/>
      </w:pPr>
      <w:r>
        <w:rPr>
          <w:noProof/>
          <w:position w:val="-26"/>
        </w:rPr>
        <w:drawing>
          <wp:inline distT="0" distB="0" distL="0" distR="0">
            <wp:extent cx="1327150" cy="479425"/>
            <wp:effectExtent l="0" t="0" r="0" b="0"/>
            <wp:docPr id="40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327150" cy="479425"/>
                    </a:xfrm>
                    <a:prstGeom prst="rect">
                      <a:avLst/>
                    </a:prstGeom>
                    <a:noFill/>
                    <a:ln>
                      <a:noFill/>
                    </a:ln>
                  </pic:spPr>
                </pic:pic>
              </a:graphicData>
            </a:graphic>
          </wp:inline>
        </w:drawing>
      </w:r>
      <w:r>
        <w:t xml:space="preserve"> (6.26)</w:t>
      </w:r>
    </w:p>
    <w:p w:rsidR="00E35632" w:rsidRDefault="00E35632">
      <w:pPr>
        <w:pStyle w:val="ConsPlusNormal"/>
        <w:jc w:val="both"/>
      </w:pPr>
    </w:p>
    <w:p w:rsidR="00E35632" w:rsidRDefault="00E35632">
      <w:pPr>
        <w:pStyle w:val="ConsPlusNormal"/>
        <w:jc w:val="center"/>
      </w:pPr>
      <w:r>
        <w:rPr>
          <w:noProof/>
          <w:position w:val="-26"/>
        </w:rPr>
        <w:drawing>
          <wp:inline distT="0" distB="0" distL="0" distR="0">
            <wp:extent cx="1383030" cy="479425"/>
            <wp:effectExtent l="0" t="0" r="0" b="0"/>
            <wp:docPr id="40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383030" cy="479425"/>
                    </a:xfrm>
                    <a:prstGeom prst="rect">
                      <a:avLst/>
                    </a:prstGeom>
                    <a:noFill/>
                    <a:ln>
                      <a:noFill/>
                    </a:ln>
                  </pic:spPr>
                </pic:pic>
              </a:graphicData>
            </a:graphic>
          </wp:inline>
        </w:drawing>
      </w:r>
      <w:r>
        <w:t xml:space="preserve"> (6.27)</w:t>
      </w:r>
    </w:p>
    <w:p w:rsidR="00E35632" w:rsidRDefault="00E35632">
      <w:pPr>
        <w:pStyle w:val="ConsPlusNormal"/>
        <w:jc w:val="both"/>
      </w:pPr>
    </w:p>
    <w:p w:rsidR="00E35632" w:rsidRDefault="00E35632">
      <w:pPr>
        <w:pStyle w:val="ConsPlusNormal"/>
        <w:ind w:firstLine="540"/>
        <w:jc w:val="both"/>
      </w:pPr>
      <w:r>
        <w:rPr>
          <w:i/>
        </w:rPr>
        <w:t>E</w:t>
      </w:r>
      <w:r>
        <w:rPr>
          <w:vertAlign w:val="subscript"/>
        </w:rPr>
        <w:t>1</w:t>
      </w:r>
      <w:r>
        <w:t xml:space="preserve">, </w:t>
      </w:r>
      <w:r>
        <w:rPr>
          <w:i/>
        </w:rPr>
        <w:t>E</w:t>
      </w:r>
      <w:r>
        <w:rPr>
          <w:vertAlign w:val="subscript"/>
        </w:rPr>
        <w:t>2</w:t>
      </w:r>
      <w:r>
        <w:t xml:space="preserve"> - модули деформации, МПа, полученные в результате последовательных во времени двукратных испытаний намывных грунтов на одной и той же строительной площадке в период времени </w:t>
      </w:r>
      <w:r>
        <w:rPr>
          <w:i/>
        </w:rPr>
        <w:t>t</w:t>
      </w:r>
      <w:r>
        <w:rPr>
          <w:vertAlign w:val="subscript"/>
        </w:rPr>
        <w:t>1</w:t>
      </w:r>
      <w:r>
        <w:t xml:space="preserve"> и </w:t>
      </w:r>
      <w:r>
        <w:rPr>
          <w:i/>
        </w:rPr>
        <w:t>t</w:t>
      </w:r>
      <w:r>
        <w:rPr>
          <w:i/>
          <w:vertAlign w:val="subscript"/>
        </w:rPr>
        <w:t>2</w:t>
      </w:r>
      <w:r>
        <w:t xml:space="preserve"> (в годах) после гидронамыва.</w:t>
      </w:r>
    </w:p>
    <w:p w:rsidR="00E35632" w:rsidRDefault="00E35632">
      <w:pPr>
        <w:pStyle w:val="ConsPlusNormal"/>
        <w:spacing w:before="220"/>
        <w:ind w:firstLine="540"/>
        <w:jc w:val="both"/>
      </w:pPr>
      <w:bookmarkStart w:id="183" w:name="P3298"/>
      <w:bookmarkEnd w:id="183"/>
      <w:r>
        <w:t xml:space="preserve">6.7.8 Нормативное значение удельного сцепления </w:t>
      </w:r>
      <w:r>
        <w:rPr>
          <w:i/>
        </w:rPr>
        <w:t>c</w:t>
      </w:r>
      <w:r>
        <w:rPr>
          <w:i/>
          <w:vertAlign w:val="subscript"/>
        </w:rPr>
        <w:t>n</w:t>
      </w:r>
      <w:r>
        <w:t xml:space="preserve"> пылеватых, мелких и среднезернистых намывных грунтов для их возраста </w:t>
      </w:r>
      <w:r>
        <w:rPr>
          <w:i/>
        </w:rPr>
        <w:t>t</w:t>
      </w:r>
      <w:r>
        <w:t>, годы, после гидронамыва в пределах от 0,5 до 4,5 следует вычислять по эмпирической формуле</w:t>
      </w:r>
    </w:p>
    <w:p w:rsidR="00E35632" w:rsidRDefault="00E35632">
      <w:pPr>
        <w:pStyle w:val="ConsPlusNormal"/>
        <w:jc w:val="both"/>
      </w:pPr>
    </w:p>
    <w:p w:rsidR="00E35632" w:rsidRDefault="00E35632">
      <w:pPr>
        <w:pStyle w:val="ConsPlusNormal"/>
        <w:jc w:val="center"/>
      </w:pPr>
      <w:r>
        <w:rPr>
          <w:noProof/>
          <w:position w:val="-26"/>
        </w:rPr>
        <w:drawing>
          <wp:inline distT="0" distB="0" distL="0" distR="0">
            <wp:extent cx="1075690" cy="479425"/>
            <wp:effectExtent l="0" t="0" r="0" b="0"/>
            <wp:docPr id="40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1075690" cy="479425"/>
                    </a:xfrm>
                    <a:prstGeom prst="rect">
                      <a:avLst/>
                    </a:prstGeom>
                    <a:noFill/>
                    <a:ln>
                      <a:noFill/>
                    </a:ln>
                  </pic:spPr>
                </pic:pic>
              </a:graphicData>
            </a:graphic>
          </wp:inline>
        </w:drawing>
      </w:r>
      <w:r>
        <w:t xml:space="preserve"> (6.28)</w:t>
      </w:r>
    </w:p>
    <w:p w:rsidR="00E35632" w:rsidRDefault="00E35632">
      <w:pPr>
        <w:pStyle w:val="ConsPlusNormal"/>
        <w:jc w:val="both"/>
      </w:pPr>
    </w:p>
    <w:p w:rsidR="00E35632" w:rsidRDefault="00E35632">
      <w:pPr>
        <w:pStyle w:val="ConsPlusNormal"/>
        <w:ind w:firstLine="540"/>
        <w:jc w:val="both"/>
      </w:pPr>
      <w:r>
        <w:t xml:space="preserve">где </w:t>
      </w:r>
      <w:r>
        <w:rPr>
          <w:i/>
        </w:rPr>
        <w:t>K</w:t>
      </w:r>
      <w:r>
        <w:rPr>
          <w:vertAlign w:val="subscript"/>
        </w:rPr>
        <w:t>1</w:t>
      </w:r>
      <w:r>
        <w:t xml:space="preserve">, </w:t>
      </w:r>
      <w:r>
        <w:rPr>
          <w:i/>
        </w:rPr>
        <w:t>K</w:t>
      </w:r>
      <w:r>
        <w:rPr>
          <w:vertAlign w:val="subscript"/>
        </w:rPr>
        <w:t>2</w:t>
      </w:r>
      <w:r>
        <w:t xml:space="preserve"> - коэффициенты, то же, что и в </w:t>
      </w:r>
      <w:hyperlink w:anchor="P3287">
        <w:r>
          <w:rPr>
            <w:color w:val="0000FF"/>
          </w:rPr>
          <w:t>формуле (6.25)</w:t>
        </w:r>
      </w:hyperlink>
      <w:r>
        <w:t>;</w:t>
      </w:r>
    </w:p>
    <w:p w:rsidR="00E35632" w:rsidRDefault="00E35632">
      <w:pPr>
        <w:pStyle w:val="ConsPlusNormal"/>
        <w:spacing w:before="220"/>
        <w:ind w:firstLine="540"/>
        <w:jc w:val="both"/>
      </w:pPr>
      <w:r>
        <w:rPr>
          <w:i/>
        </w:rPr>
        <w:t>A</w:t>
      </w:r>
      <w:r>
        <w:rPr>
          <w:vertAlign w:val="subscript"/>
        </w:rPr>
        <w:t>1</w:t>
      </w:r>
      <w:r>
        <w:t xml:space="preserve">, </w:t>
      </w:r>
      <w:r>
        <w:rPr>
          <w:i/>
        </w:rPr>
        <w:t>B</w:t>
      </w:r>
      <w:r>
        <w:rPr>
          <w:vertAlign w:val="subscript"/>
        </w:rPr>
        <w:t>1</w:t>
      </w:r>
      <w:r>
        <w:t xml:space="preserve"> - безразмерные параметры, вычисляемые по формулам:</w:t>
      </w:r>
    </w:p>
    <w:p w:rsidR="00E35632" w:rsidRDefault="00E35632">
      <w:pPr>
        <w:pStyle w:val="ConsPlusNormal"/>
        <w:jc w:val="both"/>
      </w:pPr>
    </w:p>
    <w:p w:rsidR="00E35632" w:rsidRDefault="00E35632">
      <w:pPr>
        <w:pStyle w:val="ConsPlusNormal"/>
        <w:jc w:val="center"/>
      </w:pPr>
      <w:r>
        <w:rPr>
          <w:noProof/>
          <w:position w:val="-26"/>
        </w:rPr>
        <w:drawing>
          <wp:inline distT="0" distB="0" distL="0" distR="0">
            <wp:extent cx="1311275" cy="479425"/>
            <wp:effectExtent l="0" t="0" r="0" b="0"/>
            <wp:docPr id="40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1311275" cy="479425"/>
                    </a:xfrm>
                    <a:prstGeom prst="rect">
                      <a:avLst/>
                    </a:prstGeom>
                    <a:noFill/>
                    <a:ln>
                      <a:noFill/>
                    </a:ln>
                  </pic:spPr>
                </pic:pic>
              </a:graphicData>
            </a:graphic>
          </wp:inline>
        </w:drawing>
      </w:r>
      <w:r>
        <w:t xml:space="preserve"> (6.29)</w:t>
      </w:r>
    </w:p>
    <w:p w:rsidR="00E35632" w:rsidRDefault="00E35632">
      <w:pPr>
        <w:pStyle w:val="ConsPlusNormal"/>
        <w:jc w:val="both"/>
      </w:pPr>
    </w:p>
    <w:p w:rsidR="00E35632" w:rsidRDefault="00E35632">
      <w:pPr>
        <w:pStyle w:val="ConsPlusNormal"/>
        <w:jc w:val="center"/>
      </w:pPr>
      <w:r>
        <w:rPr>
          <w:noProof/>
          <w:position w:val="-26"/>
        </w:rPr>
        <w:drawing>
          <wp:inline distT="0" distB="0" distL="0" distR="0">
            <wp:extent cx="1354455" cy="479425"/>
            <wp:effectExtent l="0" t="0" r="0" b="0"/>
            <wp:docPr id="40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354455" cy="479425"/>
                    </a:xfrm>
                    <a:prstGeom prst="rect">
                      <a:avLst/>
                    </a:prstGeom>
                    <a:noFill/>
                    <a:ln>
                      <a:noFill/>
                    </a:ln>
                  </pic:spPr>
                </pic:pic>
              </a:graphicData>
            </a:graphic>
          </wp:inline>
        </w:drawing>
      </w:r>
      <w:r>
        <w:t xml:space="preserve"> (6.30)</w:t>
      </w:r>
    </w:p>
    <w:p w:rsidR="00E35632" w:rsidRDefault="00E35632">
      <w:pPr>
        <w:pStyle w:val="ConsPlusNormal"/>
        <w:jc w:val="both"/>
      </w:pPr>
    </w:p>
    <w:p w:rsidR="00E35632" w:rsidRDefault="00E35632">
      <w:pPr>
        <w:pStyle w:val="ConsPlusNormal"/>
        <w:ind w:firstLine="540"/>
        <w:jc w:val="both"/>
      </w:pPr>
      <w:r>
        <w:rPr>
          <w:i/>
        </w:rPr>
        <w:t>c</w:t>
      </w:r>
      <w:r>
        <w:rPr>
          <w:vertAlign w:val="subscript"/>
        </w:rPr>
        <w:t>1</w:t>
      </w:r>
      <w:r>
        <w:t xml:space="preserve">, </w:t>
      </w:r>
      <w:r>
        <w:rPr>
          <w:i/>
        </w:rPr>
        <w:t>c</w:t>
      </w:r>
      <w:r>
        <w:rPr>
          <w:vertAlign w:val="subscript"/>
        </w:rPr>
        <w:t>2</w:t>
      </w:r>
      <w:r>
        <w:t xml:space="preserve"> - нормативные удельные сцепления, полученные в результате испытаний намывных грунтов на одной и той же строительной площадке в период времени </w:t>
      </w:r>
      <w:r>
        <w:rPr>
          <w:i/>
        </w:rPr>
        <w:t>t</w:t>
      </w:r>
      <w:r>
        <w:rPr>
          <w:vertAlign w:val="subscript"/>
        </w:rPr>
        <w:t>1</w:t>
      </w:r>
      <w:r>
        <w:t xml:space="preserve"> и </w:t>
      </w:r>
      <w:r>
        <w:rPr>
          <w:i/>
        </w:rPr>
        <w:t>t</w:t>
      </w:r>
      <w:r>
        <w:rPr>
          <w:i/>
          <w:vertAlign w:val="subscript"/>
        </w:rPr>
        <w:t>2</w:t>
      </w:r>
      <w:r>
        <w:t xml:space="preserve"> (в годах) после гидронамыва.</w:t>
      </w:r>
    </w:p>
    <w:p w:rsidR="00E35632" w:rsidRDefault="00E35632">
      <w:pPr>
        <w:pStyle w:val="ConsPlusNormal"/>
        <w:spacing w:before="220"/>
        <w:ind w:firstLine="540"/>
        <w:jc w:val="both"/>
      </w:pPr>
      <w:bookmarkStart w:id="184" w:name="P3310"/>
      <w:bookmarkEnd w:id="184"/>
      <w:r>
        <w:t xml:space="preserve">6.7.9 Нормативный угол внутреннего трения </w:t>
      </w:r>
      <w:r>
        <w:rPr>
          <w:noProof/>
          <w:position w:val="-8"/>
        </w:rPr>
        <w:drawing>
          <wp:inline distT="0" distB="0" distL="0" distR="0">
            <wp:extent cx="200660" cy="250825"/>
            <wp:effectExtent l="0" t="0" r="0" b="0"/>
            <wp:docPr id="40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xml:space="preserve"> пылеватых, мелких и среднезернистых намывных песков для их возраста </w:t>
      </w:r>
      <w:r>
        <w:rPr>
          <w:i/>
        </w:rPr>
        <w:t>t</w:t>
      </w:r>
      <w:r>
        <w:t xml:space="preserve">, годы, после гидронамыва в пределах от 0,5 до 4,5 следует </w:t>
      </w:r>
      <w:r>
        <w:lastRenderedPageBreak/>
        <w:t>вычислять по эмпирической формуле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1941830" cy="276860"/>
            <wp:effectExtent l="0" t="0" r="0" b="0"/>
            <wp:docPr id="40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1941830" cy="276860"/>
                    </a:xfrm>
                    <a:prstGeom prst="rect">
                      <a:avLst/>
                    </a:prstGeom>
                    <a:noFill/>
                    <a:ln>
                      <a:noFill/>
                    </a:ln>
                  </pic:spPr>
                </pic:pic>
              </a:graphicData>
            </a:graphic>
          </wp:inline>
        </w:drawing>
      </w:r>
      <w:r>
        <w:t xml:space="preserve"> (6.31)</w:t>
      </w:r>
    </w:p>
    <w:p w:rsidR="00E35632" w:rsidRDefault="00E35632">
      <w:pPr>
        <w:pStyle w:val="ConsPlusNormal"/>
        <w:jc w:val="both"/>
      </w:pPr>
    </w:p>
    <w:p w:rsidR="00E35632" w:rsidRDefault="00E35632">
      <w:pPr>
        <w:pStyle w:val="ConsPlusNormal"/>
        <w:ind w:firstLine="540"/>
        <w:jc w:val="both"/>
      </w:pPr>
      <w:r>
        <w:t>где</w:t>
      </w:r>
    </w:p>
    <w:p w:rsidR="00E35632" w:rsidRDefault="00E35632">
      <w:pPr>
        <w:pStyle w:val="ConsPlusNormal"/>
        <w:jc w:val="both"/>
      </w:pPr>
    </w:p>
    <w:p w:rsidR="00E35632" w:rsidRDefault="00E35632">
      <w:pPr>
        <w:pStyle w:val="ConsPlusNormal"/>
        <w:jc w:val="center"/>
      </w:pPr>
      <w:r>
        <w:rPr>
          <w:noProof/>
          <w:position w:val="-46"/>
        </w:rPr>
        <w:drawing>
          <wp:inline distT="0" distB="0" distL="0" distR="0">
            <wp:extent cx="2025650" cy="726440"/>
            <wp:effectExtent l="0" t="0" r="0" b="0"/>
            <wp:docPr id="4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2025650" cy="726440"/>
                    </a:xfrm>
                    <a:prstGeom prst="rect">
                      <a:avLst/>
                    </a:prstGeom>
                    <a:noFill/>
                    <a:ln>
                      <a:noFill/>
                    </a:ln>
                  </pic:spPr>
                </pic:pic>
              </a:graphicData>
            </a:graphic>
          </wp:inline>
        </w:drawing>
      </w:r>
      <w:r>
        <w:t xml:space="preserve"> (6.32)</w:t>
      </w:r>
    </w:p>
    <w:p w:rsidR="00E35632" w:rsidRDefault="00E35632">
      <w:pPr>
        <w:pStyle w:val="ConsPlusNormal"/>
        <w:jc w:val="both"/>
      </w:pPr>
    </w:p>
    <w:p w:rsidR="00E35632" w:rsidRDefault="00E35632">
      <w:pPr>
        <w:pStyle w:val="ConsPlusNormal"/>
        <w:jc w:val="center"/>
      </w:pPr>
      <w:bookmarkStart w:id="185" w:name="P3318"/>
      <w:bookmarkEnd w:id="185"/>
      <w:r>
        <w:rPr>
          <w:noProof/>
          <w:position w:val="-48"/>
        </w:rPr>
        <w:drawing>
          <wp:inline distT="0" distB="0" distL="0" distR="0">
            <wp:extent cx="2235200" cy="754380"/>
            <wp:effectExtent l="0" t="0" r="0" b="0"/>
            <wp:docPr id="4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235200" cy="754380"/>
                    </a:xfrm>
                    <a:prstGeom prst="rect">
                      <a:avLst/>
                    </a:prstGeom>
                    <a:noFill/>
                    <a:ln>
                      <a:noFill/>
                    </a:ln>
                  </pic:spPr>
                </pic:pic>
              </a:graphicData>
            </a:graphic>
          </wp:inline>
        </w:drawing>
      </w:r>
      <w:r>
        <w:t xml:space="preserve"> (6.33)</w:t>
      </w:r>
    </w:p>
    <w:p w:rsidR="00E35632" w:rsidRDefault="00E35632">
      <w:pPr>
        <w:pStyle w:val="ConsPlusNormal"/>
        <w:jc w:val="both"/>
      </w:pPr>
    </w:p>
    <w:p w:rsidR="00E35632" w:rsidRDefault="00E35632">
      <w:pPr>
        <w:pStyle w:val="ConsPlusNormal"/>
        <w:ind w:firstLine="540"/>
        <w:jc w:val="both"/>
      </w:pPr>
      <w:r>
        <w:rPr>
          <w:noProof/>
          <w:position w:val="-8"/>
        </w:rPr>
        <w:drawing>
          <wp:inline distT="0" distB="0" distL="0" distR="0">
            <wp:extent cx="219075" cy="251460"/>
            <wp:effectExtent l="0" t="0" r="0" b="0"/>
            <wp:docPr id="4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 стабилизированное значение угла внутреннего трения намывных песков, которое допускается определять как </w:t>
      </w:r>
      <w:r>
        <w:rPr>
          <w:noProof/>
          <w:position w:val="-8"/>
        </w:rPr>
        <w:drawing>
          <wp:inline distT="0" distB="0" distL="0" distR="0">
            <wp:extent cx="200660" cy="250825"/>
            <wp:effectExtent l="0" t="0" r="0" b="0"/>
            <wp:docPr id="4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xml:space="preserve"> по </w:t>
      </w:r>
      <w:hyperlink w:anchor="P6046">
        <w:r>
          <w:rPr>
            <w:color w:val="0000FF"/>
          </w:rPr>
          <w:t>таблице А.8</w:t>
        </w:r>
      </w:hyperlink>
      <w:r>
        <w:t xml:space="preserve"> приложения А;</w:t>
      </w:r>
    </w:p>
    <w:p w:rsidR="00E35632" w:rsidRDefault="00E35632">
      <w:pPr>
        <w:pStyle w:val="ConsPlusNormal"/>
        <w:spacing w:before="220"/>
        <w:ind w:firstLine="540"/>
        <w:jc w:val="both"/>
      </w:pPr>
      <w:r>
        <w:rPr>
          <w:noProof/>
          <w:position w:val="-8"/>
        </w:rPr>
        <w:drawing>
          <wp:inline distT="0" distB="0" distL="0" distR="0">
            <wp:extent cx="175895" cy="251460"/>
            <wp:effectExtent l="0" t="0" r="0" b="0"/>
            <wp:docPr id="4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175895" cy="251460"/>
                    </a:xfrm>
                    <a:prstGeom prst="rect">
                      <a:avLst/>
                    </a:prstGeom>
                    <a:noFill/>
                    <a:ln>
                      <a:noFill/>
                    </a:ln>
                  </pic:spPr>
                </pic:pic>
              </a:graphicData>
            </a:graphic>
          </wp:inline>
        </w:drawing>
      </w:r>
      <w:r>
        <w:t xml:space="preserve">, </w:t>
      </w:r>
      <w:r>
        <w:rPr>
          <w:noProof/>
          <w:position w:val="-8"/>
        </w:rPr>
        <w:drawing>
          <wp:inline distT="0" distB="0" distL="0" distR="0">
            <wp:extent cx="200660" cy="250825"/>
            <wp:effectExtent l="0" t="0" r="0" b="0"/>
            <wp:docPr id="4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xml:space="preserve"> - нормативные значения углов внутреннего трения, полученные в результате испытаний намывных грунтов на одной и той же строительной площадке в период времени </w:t>
      </w:r>
      <w:r>
        <w:rPr>
          <w:i/>
        </w:rPr>
        <w:t>t</w:t>
      </w:r>
      <w:r>
        <w:rPr>
          <w:vertAlign w:val="subscript"/>
        </w:rPr>
        <w:t>1</w:t>
      </w:r>
      <w:r>
        <w:t xml:space="preserve"> и </w:t>
      </w:r>
      <w:r>
        <w:rPr>
          <w:i/>
        </w:rPr>
        <w:t>t</w:t>
      </w:r>
      <w:r>
        <w:rPr>
          <w:vertAlign w:val="subscript"/>
        </w:rPr>
        <w:t>2</w:t>
      </w:r>
      <w:r>
        <w:t xml:space="preserve"> после гидронамыва.</w:t>
      </w:r>
    </w:p>
    <w:p w:rsidR="00E35632" w:rsidRDefault="00E35632">
      <w:pPr>
        <w:pStyle w:val="ConsPlusNormal"/>
        <w:spacing w:before="220"/>
        <w:ind w:firstLine="540"/>
        <w:jc w:val="both"/>
      </w:pPr>
      <w:r>
        <w:t xml:space="preserve">6.7.10 Для предварительных расчетов допускается принимать значения параметров </w:t>
      </w:r>
      <w:r>
        <w:rPr>
          <w:i/>
        </w:rPr>
        <w:t>A</w:t>
      </w:r>
      <w:r>
        <w:t xml:space="preserve">, </w:t>
      </w:r>
      <w:r>
        <w:rPr>
          <w:i/>
        </w:rPr>
        <w:t>B</w:t>
      </w:r>
      <w:r>
        <w:t xml:space="preserve">, </w:t>
      </w:r>
      <w:r>
        <w:rPr>
          <w:i/>
        </w:rPr>
        <w:t>A</w:t>
      </w:r>
      <w:r>
        <w:rPr>
          <w:vertAlign w:val="subscript"/>
        </w:rPr>
        <w:t>1</w:t>
      </w:r>
      <w:r>
        <w:t xml:space="preserve">, </w:t>
      </w:r>
      <w:r>
        <w:rPr>
          <w:i/>
        </w:rPr>
        <w:t>B</w:t>
      </w:r>
      <w:r>
        <w:rPr>
          <w:vertAlign w:val="subscript"/>
        </w:rPr>
        <w:t>1</w:t>
      </w:r>
      <w:r>
        <w:t xml:space="preserve">, </w:t>
      </w:r>
      <w:r>
        <w:rPr>
          <w:i/>
        </w:rPr>
        <w:t>C</w:t>
      </w:r>
      <w:r>
        <w:t xml:space="preserve">, </w:t>
      </w:r>
      <w:r>
        <w:rPr>
          <w:i/>
        </w:rPr>
        <w:t>D</w:t>
      </w:r>
      <w:r>
        <w:t xml:space="preserve">, </w:t>
      </w:r>
      <w:r>
        <w:rPr>
          <w:noProof/>
          <w:position w:val="-8"/>
        </w:rPr>
        <w:drawing>
          <wp:inline distT="0" distB="0" distL="0" distR="0">
            <wp:extent cx="219075" cy="251460"/>
            <wp:effectExtent l="0" t="0" r="0" b="0"/>
            <wp:docPr id="4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по таблице 6.11.</w:t>
      </w:r>
    </w:p>
    <w:p w:rsidR="00E35632" w:rsidRDefault="00E35632">
      <w:pPr>
        <w:pStyle w:val="ConsPlusNormal"/>
        <w:jc w:val="both"/>
      </w:pPr>
    </w:p>
    <w:p w:rsidR="00E35632" w:rsidRDefault="00E35632">
      <w:pPr>
        <w:pStyle w:val="ConsPlusNormal"/>
        <w:jc w:val="right"/>
      </w:pPr>
      <w:r>
        <w:t>Таблица 6.11</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387"/>
        <w:gridCol w:w="1417"/>
        <w:gridCol w:w="1464"/>
        <w:gridCol w:w="1190"/>
        <w:gridCol w:w="1195"/>
        <w:gridCol w:w="1190"/>
        <w:gridCol w:w="1186"/>
      </w:tblGrid>
      <w:tr w:rsidR="00E35632">
        <w:tc>
          <w:tcPr>
            <w:tcW w:w="1387" w:type="dxa"/>
            <w:vMerge w:val="restart"/>
            <w:tcBorders>
              <w:top w:val="single" w:sz="4" w:space="0" w:color="auto"/>
              <w:bottom w:val="single" w:sz="4" w:space="0" w:color="auto"/>
            </w:tcBorders>
            <w:vAlign w:val="center"/>
          </w:tcPr>
          <w:p w:rsidR="00E35632" w:rsidRDefault="00E35632">
            <w:pPr>
              <w:pStyle w:val="ConsPlusNormal"/>
              <w:jc w:val="center"/>
            </w:pPr>
            <w:r>
              <w:t>Пески намывные</w:t>
            </w:r>
          </w:p>
        </w:tc>
        <w:tc>
          <w:tcPr>
            <w:tcW w:w="1417" w:type="dxa"/>
            <w:vMerge w:val="restart"/>
            <w:tcBorders>
              <w:top w:val="single" w:sz="4" w:space="0" w:color="auto"/>
              <w:bottom w:val="single" w:sz="4" w:space="0" w:color="auto"/>
            </w:tcBorders>
            <w:vAlign w:val="center"/>
          </w:tcPr>
          <w:p w:rsidR="00E35632" w:rsidRDefault="00E35632">
            <w:pPr>
              <w:pStyle w:val="ConsPlusNormal"/>
              <w:jc w:val="center"/>
            </w:pPr>
            <w:r>
              <w:t>Параметры грунта</w:t>
            </w:r>
          </w:p>
        </w:tc>
        <w:tc>
          <w:tcPr>
            <w:tcW w:w="6225" w:type="dxa"/>
            <w:gridSpan w:val="5"/>
            <w:tcBorders>
              <w:top w:val="single" w:sz="4" w:space="0" w:color="auto"/>
              <w:bottom w:val="single" w:sz="4" w:space="0" w:color="auto"/>
            </w:tcBorders>
            <w:vAlign w:val="center"/>
          </w:tcPr>
          <w:p w:rsidR="00E35632" w:rsidRDefault="00E35632">
            <w:pPr>
              <w:pStyle w:val="ConsPlusNormal"/>
              <w:jc w:val="center"/>
            </w:pPr>
            <w:r>
              <w:t>Коэффициенты пористости</w:t>
            </w:r>
          </w:p>
        </w:tc>
      </w:tr>
      <w:tr w:rsidR="00E35632">
        <w:tc>
          <w:tcPr>
            <w:tcW w:w="1387" w:type="dxa"/>
            <w:vMerge/>
            <w:tcBorders>
              <w:top w:val="single" w:sz="4" w:space="0" w:color="auto"/>
              <w:bottom w:val="single" w:sz="4" w:space="0" w:color="auto"/>
            </w:tcBorders>
          </w:tcPr>
          <w:p w:rsidR="00E35632" w:rsidRDefault="00E35632">
            <w:pPr>
              <w:pStyle w:val="ConsPlusNormal"/>
            </w:pPr>
          </w:p>
        </w:tc>
        <w:tc>
          <w:tcPr>
            <w:tcW w:w="1417" w:type="dxa"/>
            <w:vMerge/>
            <w:tcBorders>
              <w:top w:val="single" w:sz="4" w:space="0" w:color="auto"/>
              <w:bottom w:val="single" w:sz="4" w:space="0" w:color="auto"/>
            </w:tcBorders>
          </w:tcPr>
          <w:p w:rsidR="00E35632" w:rsidRDefault="00E35632">
            <w:pPr>
              <w:pStyle w:val="ConsPlusNormal"/>
            </w:pPr>
          </w:p>
        </w:tc>
        <w:tc>
          <w:tcPr>
            <w:tcW w:w="1464" w:type="dxa"/>
            <w:tcBorders>
              <w:top w:val="single" w:sz="4" w:space="0" w:color="auto"/>
              <w:bottom w:val="single" w:sz="4" w:space="0" w:color="auto"/>
            </w:tcBorders>
            <w:vAlign w:val="center"/>
          </w:tcPr>
          <w:p w:rsidR="00E35632" w:rsidRDefault="00E35632">
            <w:pPr>
              <w:pStyle w:val="ConsPlusNormal"/>
              <w:jc w:val="center"/>
            </w:pPr>
            <w:r>
              <w:t>0,50</w:t>
            </w:r>
          </w:p>
        </w:tc>
        <w:tc>
          <w:tcPr>
            <w:tcW w:w="1190" w:type="dxa"/>
            <w:tcBorders>
              <w:top w:val="single" w:sz="4" w:space="0" w:color="auto"/>
              <w:bottom w:val="single" w:sz="4" w:space="0" w:color="auto"/>
            </w:tcBorders>
            <w:vAlign w:val="center"/>
          </w:tcPr>
          <w:p w:rsidR="00E35632" w:rsidRDefault="00E35632">
            <w:pPr>
              <w:pStyle w:val="ConsPlusNormal"/>
              <w:jc w:val="center"/>
            </w:pPr>
            <w:r>
              <w:t>0,55</w:t>
            </w:r>
          </w:p>
        </w:tc>
        <w:tc>
          <w:tcPr>
            <w:tcW w:w="1195" w:type="dxa"/>
            <w:tcBorders>
              <w:top w:val="single" w:sz="4" w:space="0" w:color="auto"/>
              <w:bottom w:val="single" w:sz="4" w:space="0" w:color="auto"/>
            </w:tcBorders>
            <w:vAlign w:val="center"/>
          </w:tcPr>
          <w:p w:rsidR="00E35632" w:rsidRDefault="00E35632">
            <w:pPr>
              <w:pStyle w:val="ConsPlusNormal"/>
              <w:jc w:val="center"/>
            </w:pPr>
            <w:r>
              <w:t>0,60</w:t>
            </w:r>
          </w:p>
        </w:tc>
        <w:tc>
          <w:tcPr>
            <w:tcW w:w="1190" w:type="dxa"/>
            <w:tcBorders>
              <w:top w:val="single" w:sz="4" w:space="0" w:color="auto"/>
              <w:bottom w:val="single" w:sz="4" w:space="0" w:color="auto"/>
            </w:tcBorders>
            <w:vAlign w:val="center"/>
          </w:tcPr>
          <w:p w:rsidR="00E35632" w:rsidRDefault="00E35632">
            <w:pPr>
              <w:pStyle w:val="ConsPlusNormal"/>
              <w:jc w:val="center"/>
            </w:pPr>
            <w:r>
              <w:t>0,65</w:t>
            </w:r>
          </w:p>
        </w:tc>
        <w:tc>
          <w:tcPr>
            <w:tcW w:w="1186" w:type="dxa"/>
            <w:tcBorders>
              <w:top w:val="single" w:sz="4" w:space="0" w:color="auto"/>
              <w:bottom w:val="single" w:sz="4" w:space="0" w:color="auto"/>
            </w:tcBorders>
            <w:vAlign w:val="center"/>
          </w:tcPr>
          <w:p w:rsidR="00E35632" w:rsidRDefault="00E35632">
            <w:pPr>
              <w:pStyle w:val="ConsPlusNormal"/>
              <w:jc w:val="center"/>
            </w:pPr>
            <w:r>
              <w:t>0,70</w:t>
            </w:r>
          </w:p>
        </w:tc>
      </w:tr>
      <w:tr w:rsidR="00E35632">
        <w:tc>
          <w:tcPr>
            <w:tcW w:w="1387" w:type="dxa"/>
            <w:vMerge/>
            <w:tcBorders>
              <w:top w:val="single" w:sz="4" w:space="0" w:color="auto"/>
              <w:bottom w:val="single" w:sz="4" w:space="0" w:color="auto"/>
            </w:tcBorders>
          </w:tcPr>
          <w:p w:rsidR="00E35632" w:rsidRDefault="00E35632">
            <w:pPr>
              <w:pStyle w:val="ConsPlusNormal"/>
            </w:pPr>
          </w:p>
        </w:tc>
        <w:tc>
          <w:tcPr>
            <w:tcW w:w="1417" w:type="dxa"/>
            <w:vMerge/>
            <w:tcBorders>
              <w:top w:val="single" w:sz="4" w:space="0" w:color="auto"/>
              <w:bottom w:val="single" w:sz="4" w:space="0" w:color="auto"/>
            </w:tcBorders>
          </w:tcPr>
          <w:p w:rsidR="00E35632" w:rsidRDefault="00E35632">
            <w:pPr>
              <w:pStyle w:val="ConsPlusNormal"/>
            </w:pPr>
          </w:p>
        </w:tc>
        <w:tc>
          <w:tcPr>
            <w:tcW w:w="6225" w:type="dxa"/>
            <w:gridSpan w:val="5"/>
            <w:tcBorders>
              <w:top w:val="single" w:sz="4" w:space="0" w:color="auto"/>
              <w:bottom w:val="single" w:sz="4" w:space="0" w:color="auto"/>
            </w:tcBorders>
            <w:vAlign w:val="center"/>
          </w:tcPr>
          <w:p w:rsidR="00E35632" w:rsidRDefault="00E35632">
            <w:pPr>
              <w:pStyle w:val="ConsPlusNormal"/>
              <w:jc w:val="center"/>
            </w:pPr>
            <w:r>
              <w:t>Значения параметров</w:t>
            </w:r>
          </w:p>
        </w:tc>
      </w:tr>
      <w:tr w:rsidR="00E35632">
        <w:tc>
          <w:tcPr>
            <w:tcW w:w="1387" w:type="dxa"/>
            <w:vMerge w:val="restart"/>
            <w:tcBorders>
              <w:top w:val="single" w:sz="4" w:space="0" w:color="auto"/>
              <w:bottom w:val="single" w:sz="4" w:space="0" w:color="auto"/>
            </w:tcBorders>
          </w:tcPr>
          <w:p w:rsidR="00E35632" w:rsidRDefault="00E35632">
            <w:pPr>
              <w:pStyle w:val="ConsPlusNormal"/>
            </w:pPr>
            <w:r>
              <w:t>Средней крупности</w:t>
            </w:r>
          </w:p>
        </w:tc>
        <w:tc>
          <w:tcPr>
            <w:tcW w:w="1417" w:type="dxa"/>
            <w:tcBorders>
              <w:top w:val="single" w:sz="4" w:space="0" w:color="auto"/>
              <w:bottom w:val="nil"/>
            </w:tcBorders>
          </w:tcPr>
          <w:p w:rsidR="00E35632" w:rsidRDefault="00E35632">
            <w:pPr>
              <w:pStyle w:val="ConsPlusNormal"/>
              <w:jc w:val="center"/>
            </w:pPr>
            <w:r>
              <w:rPr>
                <w:i/>
              </w:rPr>
              <w:t>A</w:t>
            </w:r>
          </w:p>
        </w:tc>
        <w:tc>
          <w:tcPr>
            <w:tcW w:w="1464" w:type="dxa"/>
            <w:tcBorders>
              <w:top w:val="single" w:sz="4" w:space="0" w:color="auto"/>
              <w:bottom w:val="nil"/>
            </w:tcBorders>
          </w:tcPr>
          <w:p w:rsidR="00E35632" w:rsidRDefault="00E35632">
            <w:pPr>
              <w:pStyle w:val="ConsPlusNormal"/>
              <w:jc w:val="center"/>
            </w:pPr>
            <w:r>
              <w:t>48</w:t>
            </w:r>
          </w:p>
        </w:tc>
        <w:tc>
          <w:tcPr>
            <w:tcW w:w="1190" w:type="dxa"/>
            <w:tcBorders>
              <w:top w:val="single" w:sz="4" w:space="0" w:color="auto"/>
              <w:bottom w:val="nil"/>
            </w:tcBorders>
          </w:tcPr>
          <w:p w:rsidR="00E35632" w:rsidRDefault="00E35632">
            <w:pPr>
              <w:pStyle w:val="ConsPlusNormal"/>
              <w:jc w:val="center"/>
            </w:pPr>
            <w:r>
              <w:t>43</w:t>
            </w:r>
          </w:p>
        </w:tc>
        <w:tc>
          <w:tcPr>
            <w:tcW w:w="1195" w:type="dxa"/>
            <w:tcBorders>
              <w:top w:val="single" w:sz="4" w:space="0" w:color="auto"/>
              <w:bottom w:val="nil"/>
            </w:tcBorders>
          </w:tcPr>
          <w:p w:rsidR="00E35632" w:rsidRDefault="00E35632">
            <w:pPr>
              <w:pStyle w:val="ConsPlusNormal"/>
              <w:jc w:val="center"/>
            </w:pPr>
            <w:r>
              <w:t>36</w:t>
            </w:r>
          </w:p>
        </w:tc>
        <w:tc>
          <w:tcPr>
            <w:tcW w:w="1190" w:type="dxa"/>
            <w:tcBorders>
              <w:top w:val="single" w:sz="4" w:space="0" w:color="auto"/>
              <w:bottom w:val="nil"/>
            </w:tcBorders>
          </w:tcPr>
          <w:p w:rsidR="00E35632" w:rsidRDefault="00E35632">
            <w:pPr>
              <w:pStyle w:val="ConsPlusNormal"/>
              <w:jc w:val="center"/>
            </w:pPr>
            <w:r>
              <w:t>28</w:t>
            </w:r>
          </w:p>
        </w:tc>
        <w:tc>
          <w:tcPr>
            <w:tcW w:w="1186" w:type="dxa"/>
            <w:tcBorders>
              <w:top w:val="single" w:sz="4" w:space="0" w:color="auto"/>
              <w:bottom w:val="nil"/>
            </w:tcBorders>
          </w:tcPr>
          <w:p w:rsidR="00E35632" w:rsidRDefault="00E35632">
            <w:pPr>
              <w:pStyle w:val="ConsPlusNormal"/>
              <w:jc w:val="center"/>
            </w:pPr>
            <w:r>
              <w:t>27</w:t>
            </w:r>
          </w:p>
        </w:tc>
      </w:tr>
      <w:tr w:rsidR="00E35632">
        <w:tblPrEx>
          <w:tblBorders>
            <w:insideH w:val="none" w:sz="0" w:space="0" w:color="auto"/>
          </w:tblBorders>
        </w:tblPrEx>
        <w:tc>
          <w:tcPr>
            <w:tcW w:w="1387" w:type="dxa"/>
            <w:vMerge/>
            <w:tcBorders>
              <w:top w:val="single" w:sz="4" w:space="0" w:color="auto"/>
              <w:bottom w:val="single" w:sz="4" w:space="0" w:color="auto"/>
            </w:tcBorders>
          </w:tcPr>
          <w:p w:rsidR="00E35632" w:rsidRDefault="00E35632">
            <w:pPr>
              <w:pStyle w:val="ConsPlusNormal"/>
            </w:pPr>
          </w:p>
        </w:tc>
        <w:tc>
          <w:tcPr>
            <w:tcW w:w="1417" w:type="dxa"/>
            <w:tcBorders>
              <w:top w:val="nil"/>
              <w:bottom w:val="nil"/>
            </w:tcBorders>
          </w:tcPr>
          <w:p w:rsidR="00E35632" w:rsidRDefault="00E35632">
            <w:pPr>
              <w:pStyle w:val="ConsPlusNormal"/>
              <w:jc w:val="center"/>
            </w:pPr>
            <w:r>
              <w:rPr>
                <w:i/>
              </w:rPr>
              <w:t>B</w:t>
            </w:r>
          </w:p>
        </w:tc>
        <w:tc>
          <w:tcPr>
            <w:tcW w:w="1464" w:type="dxa"/>
            <w:tcBorders>
              <w:top w:val="nil"/>
              <w:bottom w:val="nil"/>
            </w:tcBorders>
          </w:tcPr>
          <w:p w:rsidR="00E35632" w:rsidRDefault="00E35632">
            <w:pPr>
              <w:pStyle w:val="ConsPlusNormal"/>
              <w:jc w:val="center"/>
            </w:pPr>
            <w:r>
              <w:t>1,2</w:t>
            </w:r>
          </w:p>
        </w:tc>
        <w:tc>
          <w:tcPr>
            <w:tcW w:w="1190" w:type="dxa"/>
            <w:tcBorders>
              <w:top w:val="nil"/>
              <w:bottom w:val="nil"/>
            </w:tcBorders>
          </w:tcPr>
          <w:p w:rsidR="00E35632" w:rsidRDefault="00E35632">
            <w:pPr>
              <w:pStyle w:val="ConsPlusNormal"/>
              <w:jc w:val="center"/>
            </w:pPr>
            <w:r>
              <w:t>1,1</w:t>
            </w:r>
          </w:p>
        </w:tc>
        <w:tc>
          <w:tcPr>
            <w:tcW w:w="1195" w:type="dxa"/>
            <w:tcBorders>
              <w:top w:val="nil"/>
              <w:bottom w:val="nil"/>
            </w:tcBorders>
          </w:tcPr>
          <w:p w:rsidR="00E35632" w:rsidRDefault="00E35632">
            <w:pPr>
              <w:pStyle w:val="ConsPlusNormal"/>
              <w:jc w:val="center"/>
            </w:pPr>
            <w:r>
              <w:t>0,9</w:t>
            </w:r>
          </w:p>
        </w:tc>
        <w:tc>
          <w:tcPr>
            <w:tcW w:w="1190" w:type="dxa"/>
            <w:tcBorders>
              <w:top w:val="nil"/>
              <w:bottom w:val="nil"/>
            </w:tcBorders>
          </w:tcPr>
          <w:p w:rsidR="00E35632" w:rsidRDefault="00E35632">
            <w:pPr>
              <w:pStyle w:val="ConsPlusNormal"/>
              <w:jc w:val="center"/>
            </w:pPr>
            <w:r>
              <w:t>0,9</w:t>
            </w:r>
          </w:p>
        </w:tc>
        <w:tc>
          <w:tcPr>
            <w:tcW w:w="1186" w:type="dxa"/>
            <w:tcBorders>
              <w:top w:val="nil"/>
              <w:bottom w:val="nil"/>
            </w:tcBorders>
          </w:tcPr>
          <w:p w:rsidR="00E35632" w:rsidRDefault="00E35632">
            <w:pPr>
              <w:pStyle w:val="ConsPlusNormal"/>
              <w:jc w:val="center"/>
            </w:pPr>
            <w:r>
              <w:t>0,9</w:t>
            </w:r>
          </w:p>
        </w:tc>
      </w:tr>
      <w:tr w:rsidR="00E35632">
        <w:tblPrEx>
          <w:tblBorders>
            <w:insideH w:val="none" w:sz="0" w:space="0" w:color="auto"/>
          </w:tblBorders>
        </w:tblPrEx>
        <w:tc>
          <w:tcPr>
            <w:tcW w:w="1387" w:type="dxa"/>
            <w:vMerge/>
            <w:tcBorders>
              <w:top w:val="single" w:sz="4" w:space="0" w:color="auto"/>
              <w:bottom w:val="single" w:sz="4" w:space="0" w:color="auto"/>
            </w:tcBorders>
          </w:tcPr>
          <w:p w:rsidR="00E35632" w:rsidRDefault="00E35632">
            <w:pPr>
              <w:pStyle w:val="ConsPlusNormal"/>
            </w:pPr>
          </w:p>
        </w:tc>
        <w:tc>
          <w:tcPr>
            <w:tcW w:w="1417" w:type="dxa"/>
            <w:tcBorders>
              <w:top w:val="nil"/>
              <w:bottom w:val="nil"/>
            </w:tcBorders>
          </w:tcPr>
          <w:p w:rsidR="00E35632" w:rsidRDefault="00E35632">
            <w:pPr>
              <w:pStyle w:val="ConsPlusNormal"/>
              <w:jc w:val="center"/>
            </w:pPr>
            <w:r>
              <w:rPr>
                <w:i/>
              </w:rPr>
              <w:t>A</w:t>
            </w:r>
            <w:r>
              <w:rPr>
                <w:vertAlign w:val="subscript"/>
              </w:rPr>
              <w:t>1</w:t>
            </w:r>
          </w:p>
        </w:tc>
        <w:tc>
          <w:tcPr>
            <w:tcW w:w="1464" w:type="dxa"/>
            <w:tcBorders>
              <w:top w:val="nil"/>
              <w:bottom w:val="nil"/>
            </w:tcBorders>
          </w:tcPr>
          <w:p w:rsidR="00E35632" w:rsidRDefault="00E35632">
            <w:pPr>
              <w:pStyle w:val="ConsPlusNormal"/>
              <w:jc w:val="center"/>
            </w:pPr>
            <w:r>
              <w:t>0,007</w:t>
            </w:r>
          </w:p>
        </w:tc>
        <w:tc>
          <w:tcPr>
            <w:tcW w:w="1190" w:type="dxa"/>
            <w:tcBorders>
              <w:top w:val="nil"/>
              <w:bottom w:val="nil"/>
            </w:tcBorders>
          </w:tcPr>
          <w:p w:rsidR="00E35632" w:rsidRDefault="00E35632">
            <w:pPr>
              <w:pStyle w:val="ConsPlusNormal"/>
              <w:jc w:val="center"/>
            </w:pPr>
            <w:r>
              <w:t>0,006</w:t>
            </w:r>
          </w:p>
        </w:tc>
        <w:tc>
          <w:tcPr>
            <w:tcW w:w="1195" w:type="dxa"/>
            <w:tcBorders>
              <w:top w:val="nil"/>
              <w:bottom w:val="nil"/>
            </w:tcBorders>
          </w:tcPr>
          <w:p w:rsidR="00E35632" w:rsidRDefault="00E35632">
            <w:pPr>
              <w:pStyle w:val="ConsPlusNormal"/>
              <w:jc w:val="center"/>
            </w:pPr>
            <w:r>
              <w:t>0,005</w:t>
            </w:r>
          </w:p>
        </w:tc>
        <w:tc>
          <w:tcPr>
            <w:tcW w:w="1190" w:type="dxa"/>
            <w:tcBorders>
              <w:top w:val="nil"/>
              <w:bottom w:val="nil"/>
            </w:tcBorders>
          </w:tcPr>
          <w:p w:rsidR="00E35632" w:rsidRDefault="00E35632">
            <w:pPr>
              <w:pStyle w:val="ConsPlusNormal"/>
              <w:jc w:val="center"/>
            </w:pPr>
            <w:r>
              <w:t>0,004</w:t>
            </w:r>
          </w:p>
        </w:tc>
        <w:tc>
          <w:tcPr>
            <w:tcW w:w="1186" w:type="dxa"/>
            <w:tcBorders>
              <w:top w:val="nil"/>
              <w:bottom w:val="nil"/>
            </w:tcBorders>
          </w:tcPr>
          <w:p w:rsidR="00E35632" w:rsidRDefault="00E35632">
            <w:pPr>
              <w:pStyle w:val="ConsPlusNormal"/>
              <w:jc w:val="center"/>
            </w:pPr>
            <w:r>
              <w:t>0,003</w:t>
            </w:r>
          </w:p>
        </w:tc>
      </w:tr>
      <w:tr w:rsidR="00E35632">
        <w:tblPrEx>
          <w:tblBorders>
            <w:insideH w:val="none" w:sz="0" w:space="0" w:color="auto"/>
          </w:tblBorders>
        </w:tblPrEx>
        <w:tc>
          <w:tcPr>
            <w:tcW w:w="1387" w:type="dxa"/>
            <w:vMerge/>
            <w:tcBorders>
              <w:top w:val="single" w:sz="4" w:space="0" w:color="auto"/>
              <w:bottom w:val="single" w:sz="4" w:space="0" w:color="auto"/>
            </w:tcBorders>
          </w:tcPr>
          <w:p w:rsidR="00E35632" w:rsidRDefault="00E35632">
            <w:pPr>
              <w:pStyle w:val="ConsPlusNormal"/>
            </w:pPr>
          </w:p>
        </w:tc>
        <w:tc>
          <w:tcPr>
            <w:tcW w:w="1417" w:type="dxa"/>
            <w:tcBorders>
              <w:top w:val="nil"/>
              <w:bottom w:val="nil"/>
            </w:tcBorders>
          </w:tcPr>
          <w:p w:rsidR="00E35632" w:rsidRDefault="00E35632">
            <w:pPr>
              <w:pStyle w:val="ConsPlusNormal"/>
              <w:jc w:val="center"/>
            </w:pPr>
            <w:r>
              <w:rPr>
                <w:i/>
              </w:rPr>
              <w:t>B</w:t>
            </w:r>
            <w:r>
              <w:rPr>
                <w:vertAlign w:val="subscript"/>
              </w:rPr>
              <w:t>1</w:t>
            </w:r>
          </w:p>
        </w:tc>
        <w:tc>
          <w:tcPr>
            <w:tcW w:w="1464" w:type="dxa"/>
            <w:tcBorders>
              <w:top w:val="nil"/>
              <w:bottom w:val="nil"/>
            </w:tcBorders>
          </w:tcPr>
          <w:p w:rsidR="00E35632" w:rsidRDefault="00E35632">
            <w:pPr>
              <w:pStyle w:val="ConsPlusNormal"/>
              <w:jc w:val="center"/>
            </w:pPr>
            <w:r>
              <w:t>1,3</w:t>
            </w:r>
          </w:p>
        </w:tc>
        <w:tc>
          <w:tcPr>
            <w:tcW w:w="1190" w:type="dxa"/>
            <w:tcBorders>
              <w:top w:val="nil"/>
              <w:bottom w:val="nil"/>
            </w:tcBorders>
          </w:tcPr>
          <w:p w:rsidR="00E35632" w:rsidRDefault="00E35632">
            <w:pPr>
              <w:pStyle w:val="ConsPlusNormal"/>
              <w:jc w:val="center"/>
            </w:pPr>
            <w:r>
              <w:t>1,3</w:t>
            </w:r>
          </w:p>
        </w:tc>
        <w:tc>
          <w:tcPr>
            <w:tcW w:w="1195" w:type="dxa"/>
            <w:tcBorders>
              <w:top w:val="nil"/>
              <w:bottom w:val="nil"/>
            </w:tcBorders>
          </w:tcPr>
          <w:p w:rsidR="00E35632" w:rsidRDefault="00E35632">
            <w:pPr>
              <w:pStyle w:val="ConsPlusNormal"/>
              <w:jc w:val="center"/>
            </w:pPr>
            <w:r>
              <w:t>1,2</w:t>
            </w:r>
          </w:p>
        </w:tc>
        <w:tc>
          <w:tcPr>
            <w:tcW w:w="1190" w:type="dxa"/>
            <w:tcBorders>
              <w:top w:val="nil"/>
              <w:bottom w:val="nil"/>
            </w:tcBorders>
          </w:tcPr>
          <w:p w:rsidR="00E35632" w:rsidRDefault="00E35632">
            <w:pPr>
              <w:pStyle w:val="ConsPlusNormal"/>
              <w:jc w:val="center"/>
            </w:pPr>
            <w:r>
              <w:t>1,2</w:t>
            </w:r>
          </w:p>
        </w:tc>
        <w:tc>
          <w:tcPr>
            <w:tcW w:w="1186" w:type="dxa"/>
            <w:tcBorders>
              <w:top w:val="nil"/>
              <w:bottom w:val="nil"/>
            </w:tcBorders>
          </w:tcPr>
          <w:p w:rsidR="00E35632" w:rsidRDefault="00E35632">
            <w:pPr>
              <w:pStyle w:val="ConsPlusNormal"/>
              <w:jc w:val="center"/>
            </w:pPr>
            <w:r>
              <w:t>1,1</w:t>
            </w:r>
          </w:p>
        </w:tc>
      </w:tr>
      <w:tr w:rsidR="00E35632">
        <w:tblPrEx>
          <w:tblBorders>
            <w:insideH w:val="none" w:sz="0" w:space="0" w:color="auto"/>
          </w:tblBorders>
        </w:tblPrEx>
        <w:tc>
          <w:tcPr>
            <w:tcW w:w="1387" w:type="dxa"/>
            <w:vMerge/>
            <w:tcBorders>
              <w:top w:val="single" w:sz="4" w:space="0" w:color="auto"/>
              <w:bottom w:val="single" w:sz="4" w:space="0" w:color="auto"/>
            </w:tcBorders>
          </w:tcPr>
          <w:p w:rsidR="00E35632" w:rsidRDefault="00E35632">
            <w:pPr>
              <w:pStyle w:val="ConsPlusNormal"/>
            </w:pPr>
          </w:p>
        </w:tc>
        <w:tc>
          <w:tcPr>
            <w:tcW w:w="1417" w:type="dxa"/>
            <w:tcBorders>
              <w:top w:val="nil"/>
              <w:bottom w:val="nil"/>
            </w:tcBorders>
          </w:tcPr>
          <w:p w:rsidR="00E35632" w:rsidRDefault="00E35632">
            <w:pPr>
              <w:pStyle w:val="ConsPlusNormal"/>
              <w:jc w:val="center"/>
            </w:pPr>
            <w:r>
              <w:rPr>
                <w:noProof/>
                <w:position w:val="-8"/>
              </w:rPr>
              <w:drawing>
                <wp:inline distT="0" distB="0" distL="0" distR="0">
                  <wp:extent cx="219075" cy="251460"/>
                  <wp:effectExtent l="0" t="0" r="0" b="0"/>
                  <wp:docPr id="4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(град)</w:t>
            </w:r>
          </w:p>
        </w:tc>
        <w:tc>
          <w:tcPr>
            <w:tcW w:w="1464" w:type="dxa"/>
            <w:tcBorders>
              <w:top w:val="nil"/>
              <w:bottom w:val="nil"/>
            </w:tcBorders>
          </w:tcPr>
          <w:p w:rsidR="00E35632" w:rsidRDefault="00E35632">
            <w:pPr>
              <w:pStyle w:val="ConsPlusNormal"/>
              <w:jc w:val="center"/>
            </w:pPr>
            <w:r>
              <w:t>39</w:t>
            </w:r>
          </w:p>
        </w:tc>
        <w:tc>
          <w:tcPr>
            <w:tcW w:w="1190" w:type="dxa"/>
            <w:tcBorders>
              <w:top w:val="nil"/>
              <w:bottom w:val="nil"/>
            </w:tcBorders>
          </w:tcPr>
          <w:p w:rsidR="00E35632" w:rsidRDefault="00E35632">
            <w:pPr>
              <w:pStyle w:val="ConsPlusNormal"/>
              <w:jc w:val="center"/>
            </w:pPr>
            <w:r>
              <w:t>38</w:t>
            </w:r>
          </w:p>
        </w:tc>
        <w:tc>
          <w:tcPr>
            <w:tcW w:w="1195" w:type="dxa"/>
            <w:tcBorders>
              <w:top w:val="nil"/>
              <w:bottom w:val="nil"/>
            </w:tcBorders>
          </w:tcPr>
          <w:p w:rsidR="00E35632" w:rsidRDefault="00E35632">
            <w:pPr>
              <w:pStyle w:val="ConsPlusNormal"/>
              <w:jc w:val="center"/>
            </w:pPr>
            <w:r>
              <w:t>36,5</w:t>
            </w:r>
          </w:p>
        </w:tc>
        <w:tc>
          <w:tcPr>
            <w:tcW w:w="1190" w:type="dxa"/>
            <w:tcBorders>
              <w:top w:val="nil"/>
              <w:bottom w:val="nil"/>
            </w:tcBorders>
          </w:tcPr>
          <w:p w:rsidR="00E35632" w:rsidRDefault="00E35632">
            <w:pPr>
              <w:pStyle w:val="ConsPlusNormal"/>
              <w:jc w:val="center"/>
            </w:pPr>
            <w:r>
              <w:t>35</w:t>
            </w:r>
          </w:p>
        </w:tc>
        <w:tc>
          <w:tcPr>
            <w:tcW w:w="1186" w:type="dxa"/>
            <w:tcBorders>
              <w:top w:val="nil"/>
              <w:bottom w:val="nil"/>
            </w:tcBorders>
          </w:tcPr>
          <w:p w:rsidR="00E35632" w:rsidRDefault="00E35632">
            <w:pPr>
              <w:pStyle w:val="ConsPlusNormal"/>
              <w:jc w:val="center"/>
            </w:pPr>
            <w:r>
              <w:t>33</w:t>
            </w:r>
          </w:p>
        </w:tc>
      </w:tr>
      <w:tr w:rsidR="00E35632">
        <w:tblPrEx>
          <w:tblBorders>
            <w:insideH w:val="none" w:sz="0" w:space="0" w:color="auto"/>
          </w:tblBorders>
        </w:tblPrEx>
        <w:tc>
          <w:tcPr>
            <w:tcW w:w="1387" w:type="dxa"/>
            <w:vMerge/>
            <w:tcBorders>
              <w:top w:val="single" w:sz="4" w:space="0" w:color="auto"/>
              <w:bottom w:val="single" w:sz="4" w:space="0" w:color="auto"/>
            </w:tcBorders>
          </w:tcPr>
          <w:p w:rsidR="00E35632" w:rsidRDefault="00E35632">
            <w:pPr>
              <w:pStyle w:val="ConsPlusNormal"/>
            </w:pPr>
          </w:p>
        </w:tc>
        <w:tc>
          <w:tcPr>
            <w:tcW w:w="1417" w:type="dxa"/>
            <w:tcBorders>
              <w:top w:val="nil"/>
              <w:bottom w:val="nil"/>
            </w:tcBorders>
          </w:tcPr>
          <w:p w:rsidR="00E35632" w:rsidRDefault="00E35632">
            <w:pPr>
              <w:pStyle w:val="ConsPlusNormal"/>
              <w:jc w:val="center"/>
            </w:pPr>
            <w:r>
              <w:rPr>
                <w:i/>
              </w:rPr>
              <w:t>C</w:t>
            </w:r>
          </w:p>
        </w:tc>
        <w:tc>
          <w:tcPr>
            <w:tcW w:w="1464" w:type="dxa"/>
            <w:tcBorders>
              <w:top w:val="nil"/>
              <w:bottom w:val="nil"/>
            </w:tcBorders>
          </w:tcPr>
          <w:p w:rsidR="00E35632" w:rsidRDefault="00E35632">
            <w:pPr>
              <w:pStyle w:val="ConsPlusNormal"/>
              <w:jc w:val="center"/>
            </w:pPr>
            <w:r>
              <w:t>1,6</w:t>
            </w:r>
          </w:p>
        </w:tc>
        <w:tc>
          <w:tcPr>
            <w:tcW w:w="1190" w:type="dxa"/>
            <w:tcBorders>
              <w:top w:val="nil"/>
              <w:bottom w:val="nil"/>
            </w:tcBorders>
          </w:tcPr>
          <w:p w:rsidR="00E35632" w:rsidRDefault="00E35632">
            <w:pPr>
              <w:pStyle w:val="ConsPlusNormal"/>
              <w:jc w:val="center"/>
            </w:pPr>
            <w:r>
              <w:t>1,6</w:t>
            </w:r>
          </w:p>
        </w:tc>
        <w:tc>
          <w:tcPr>
            <w:tcW w:w="1195" w:type="dxa"/>
            <w:tcBorders>
              <w:top w:val="nil"/>
              <w:bottom w:val="nil"/>
            </w:tcBorders>
          </w:tcPr>
          <w:p w:rsidR="00E35632" w:rsidRDefault="00E35632">
            <w:pPr>
              <w:pStyle w:val="ConsPlusNormal"/>
              <w:jc w:val="center"/>
            </w:pPr>
            <w:r>
              <w:t>1,7</w:t>
            </w:r>
          </w:p>
        </w:tc>
        <w:tc>
          <w:tcPr>
            <w:tcW w:w="1190" w:type="dxa"/>
            <w:tcBorders>
              <w:top w:val="nil"/>
              <w:bottom w:val="nil"/>
            </w:tcBorders>
          </w:tcPr>
          <w:p w:rsidR="00E35632" w:rsidRDefault="00E35632">
            <w:pPr>
              <w:pStyle w:val="ConsPlusNormal"/>
              <w:jc w:val="center"/>
            </w:pPr>
            <w:r>
              <w:t>1,8</w:t>
            </w:r>
          </w:p>
        </w:tc>
        <w:tc>
          <w:tcPr>
            <w:tcW w:w="1186" w:type="dxa"/>
            <w:tcBorders>
              <w:top w:val="nil"/>
              <w:bottom w:val="nil"/>
            </w:tcBorders>
          </w:tcPr>
          <w:p w:rsidR="00E35632" w:rsidRDefault="00E35632">
            <w:pPr>
              <w:pStyle w:val="ConsPlusNormal"/>
              <w:jc w:val="center"/>
            </w:pPr>
            <w:r>
              <w:t>1,9</w:t>
            </w:r>
          </w:p>
        </w:tc>
      </w:tr>
      <w:tr w:rsidR="00E35632">
        <w:tc>
          <w:tcPr>
            <w:tcW w:w="1387" w:type="dxa"/>
            <w:vMerge/>
            <w:tcBorders>
              <w:top w:val="single" w:sz="4" w:space="0" w:color="auto"/>
              <w:bottom w:val="single" w:sz="4" w:space="0" w:color="auto"/>
            </w:tcBorders>
          </w:tcPr>
          <w:p w:rsidR="00E35632" w:rsidRDefault="00E35632">
            <w:pPr>
              <w:pStyle w:val="ConsPlusNormal"/>
            </w:pPr>
          </w:p>
        </w:tc>
        <w:tc>
          <w:tcPr>
            <w:tcW w:w="1417" w:type="dxa"/>
            <w:tcBorders>
              <w:top w:val="nil"/>
              <w:bottom w:val="single" w:sz="4" w:space="0" w:color="auto"/>
            </w:tcBorders>
          </w:tcPr>
          <w:p w:rsidR="00E35632" w:rsidRDefault="00E35632">
            <w:pPr>
              <w:pStyle w:val="ConsPlusNormal"/>
              <w:jc w:val="center"/>
            </w:pPr>
            <w:r>
              <w:rPr>
                <w:i/>
              </w:rPr>
              <w:t>D</w:t>
            </w:r>
          </w:p>
        </w:tc>
        <w:tc>
          <w:tcPr>
            <w:tcW w:w="1464" w:type="dxa"/>
            <w:tcBorders>
              <w:top w:val="nil"/>
              <w:bottom w:val="single" w:sz="4" w:space="0" w:color="auto"/>
            </w:tcBorders>
          </w:tcPr>
          <w:p w:rsidR="00E35632" w:rsidRDefault="00E35632">
            <w:pPr>
              <w:pStyle w:val="ConsPlusNormal"/>
              <w:jc w:val="center"/>
            </w:pPr>
            <w:r>
              <w:t>2,1</w:t>
            </w:r>
          </w:p>
        </w:tc>
        <w:tc>
          <w:tcPr>
            <w:tcW w:w="1190" w:type="dxa"/>
            <w:tcBorders>
              <w:top w:val="nil"/>
              <w:bottom w:val="single" w:sz="4" w:space="0" w:color="auto"/>
            </w:tcBorders>
          </w:tcPr>
          <w:p w:rsidR="00E35632" w:rsidRDefault="00E35632">
            <w:pPr>
              <w:pStyle w:val="ConsPlusNormal"/>
              <w:jc w:val="center"/>
            </w:pPr>
            <w:r>
              <w:t>2,0</w:t>
            </w:r>
          </w:p>
        </w:tc>
        <w:tc>
          <w:tcPr>
            <w:tcW w:w="1195" w:type="dxa"/>
            <w:tcBorders>
              <w:top w:val="nil"/>
              <w:bottom w:val="single" w:sz="4" w:space="0" w:color="auto"/>
            </w:tcBorders>
          </w:tcPr>
          <w:p w:rsidR="00E35632" w:rsidRDefault="00E35632">
            <w:pPr>
              <w:pStyle w:val="ConsPlusNormal"/>
              <w:jc w:val="center"/>
            </w:pPr>
            <w:r>
              <w:t>2,0</w:t>
            </w:r>
          </w:p>
        </w:tc>
        <w:tc>
          <w:tcPr>
            <w:tcW w:w="1190" w:type="dxa"/>
            <w:tcBorders>
              <w:top w:val="nil"/>
              <w:bottom w:val="single" w:sz="4" w:space="0" w:color="auto"/>
            </w:tcBorders>
          </w:tcPr>
          <w:p w:rsidR="00E35632" w:rsidRDefault="00E35632">
            <w:pPr>
              <w:pStyle w:val="ConsPlusNormal"/>
              <w:jc w:val="center"/>
            </w:pPr>
            <w:r>
              <w:t>1,9</w:t>
            </w:r>
          </w:p>
        </w:tc>
        <w:tc>
          <w:tcPr>
            <w:tcW w:w="1186" w:type="dxa"/>
            <w:tcBorders>
              <w:top w:val="nil"/>
              <w:bottom w:val="single" w:sz="4" w:space="0" w:color="auto"/>
            </w:tcBorders>
          </w:tcPr>
          <w:p w:rsidR="00E35632" w:rsidRDefault="00E35632">
            <w:pPr>
              <w:pStyle w:val="ConsPlusNormal"/>
              <w:jc w:val="center"/>
            </w:pPr>
            <w:r>
              <w:t>1,9</w:t>
            </w:r>
          </w:p>
        </w:tc>
      </w:tr>
      <w:tr w:rsidR="00E35632">
        <w:tc>
          <w:tcPr>
            <w:tcW w:w="1387" w:type="dxa"/>
            <w:vMerge w:val="restart"/>
            <w:tcBorders>
              <w:top w:val="single" w:sz="4" w:space="0" w:color="auto"/>
              <w:bottom w:val="single" w:sz="4" w:space="0" w:color="auto"/>
            </w:tcBorders>
          </w:tcPr>
          <w:p w:rsidR="00E35632" w:rsidRDefault="00E35632">
            <w:pPr>
              <w:pStyle w:val="ConsPlusNormal"/>
            </w:pPr>
            <w:r>
              <w:t>Мелкие</w:t>
            </w:r>
          </w:p>
        </w:tc>
        <w:tc>
          <w:tcPr>
            <w:tcW w:w="1417" w:type="dxa"/>
            <w:tcBorders>
              <w:top w:val="single" w:sz="4" w:space="0" w:color="auto"/>
              <w:bottom w:val="nil"/>
            </w:tcBorders>
          </w:tcPr>
          <w:p w:rsidR="00E35632" w:rsidRDefault="00E35632">
            <w:pPr>
              <w:pStyle w:val="ConsPlusNormal"/>
              <w:jc w:val="center"/>
            </w:pPr>
            <w:r>
              <w:rPr>
                <w:i/>
              </w:rPr>
              <w:t>A</w:t>
            </w:r>
          </w:p>
        </w:tc>
        <w:tc>
          <w:tcPr>
            <w:tcW w:w="1464" w:type="dxa"/>
            <w:tcBorders>
              <w:top w:val="single" w:sz="4" w:space="0" w:color="auto"/>
              <w:bottom w:val="nil"/>
            </w:tcBorders>
          </w:tcPr>
          <w:p w:rsidR="00E35632" w:rsidRDefault="00E35632">
            <w:pPr>
              <w:pStyle w:val="ConsPlusNormal"/>
              <w:jc w:val="center"/>
            </w:pPr>
            <w:r>
              <w:t>41</w:t>
            </w:r>
          </w:p>
        </w:tc>
        <w:tc>
          <w:tcPr>
            <w:tcW w:w="1190" w:type="dxa"/>
            <w:tcBorders>
              <w:top w:val="single" w:sz="4" w:space="0" w:color="auto"/>
              <w:bottom w:val="nil"/>
            </w:tcBorders>
          </w:tcPr>
          <w:p w:rsidR="00E35632" w:rsidRDefault="00E35632">
            <w:pPr>
              <w:pStyle w:val="ConsPlusNormal"/>
              <w:jc w:val="center"/>
            </w:pPr>
            <w:r>
              <w:t>36</w:t>
            </w:r>
          </w:p>
        </w:tc>
        <w:tc>
          <w:tcPr>
            <w:tcW w:w="1195" w:type="dxa"/>
            <w:tcBorders>
              <w:top w:val="single" w:sz="4" w:space="0" w:color="auto"/>
              <w:bottom w:val="nil"/>
            </w:tcBorders>
          </w:tcPr>
          <w:p w:rsidR="00E35632" w:rsidRDefault="00E35632">
            <w:pPr>
              <w:pStyle w:val="ConsPlusNormal"/>
              <w:jc w:val="center"/>
            </w:pPr>
            <w:r>
              <w:t>30</w:t>
            </w:r>
          </w:p>
        </w:tc>
        <w:tc>
          <w:tcPr>
            <w:tcW w:w="1190" w:type="dxa"/>
            <w:tcBorders>
              <w:top w:val="single" w:sz="4" w:space="0" w:color="auto"/>
              <w:bottom w:val="nil"/>
            </w:tcBorders>
          </w:tcPr>
          <w:p w:rsidR="00E35632" w:rsidRDefault="00E35632">
            <w:pPr>
              <w:pStyle w:val="ConsPlusNormal"/>
              <w:jc w:val="center"/>
            </w:pPr>
            <w:r>
              <w:t>23</w:t>
            </w:r>
          </w:p>
        </w:tc>
        <w:tc>
          <w:tcPr>
            <w:tcW w:w="1186" w:type="dxa"/>
            <w:tcBorders>
              <w:top w:val="single" w:sz="4" w:space="0" w:color="auto"/>
              <w:bottom w:val="nil"/>
            </w:tcBorders>
          </w:tcPr>
          <w:p w:rsidR="00E35632" w:rsidRDefault="00E35632">
            <w:pPr>
              <w:pStyle w:val="ConsPlusNormal"/>
              <w:jc w:val="center"/>
            </w:pPr>
            <w:r>
              <w:t>19</w:t>
            </w:r>
          </w:p>
        </w:tc>
      </w:tr>
      <w:tr w:rsidR="00E35632">
        <w:tblPrEx>
          <w:tblBorders>
            <w:insideH w:val="none" w:sz="0" w:space="0" w:color="auto"/>
          </w:tblBorders>
        </w:tblPrEx>
        <w:tc>
          <w:tcPr>
            <w:tcW w:w="1387" w:type="dxa"/>
            <w:vMerge/>
            <w:tcBorders>
              <w:top w:val="single" w:sz="4" w:space="0" w:color="auto"/>
              <w:bottom w:val="single" w:sz="4" w:space="0" w:color="auto"/>
            </w:tcBorders>
          </w:tcPr>
          <w:p w:rsidR="00E35632" w:rsidRDefault="00E35632">
            <w:pPr>
              <w:pStyle w:val="ConsPlusNormal"/>
            </w:pPr>
          </w:p>
        </w:tc>
        <w:tc>
          <w:tcPr>
            <w:tcW w:w="1417" w:type="dxa"/>
            <w:tcBorders>
              <w:top w:val="nil"/>
              <w:bottom w:val="nil"/>
            </w:tcBorders>
          </w:tcPr>
          <w:p w:rsidR="00E35632" w:rsidRDefault="00E35632">
            <w:pPr>
              <w:pStyle w:val="ConsPlusNormal"/>
              <w:jc w:val="center"/>
            </w:pPr>
            <w:r>
              <w:rPr>
                <w:i/>
              </w:rPr>
              <w:t>B</w:t>
            </w:r>
          </w:p>
        </w:tc>
        <w:tc>
          <w:tcPr>
            <w:tcW w:w="1464" w:type="dxa"/>
            <w:tcBorders>
              <w:top w:val="nil"/>
              <w:bottom w:val="nil"/>
            </w:tcBorders>
          </w:tcPr>
          <w:p w:rsidR="00E35632" w:rsidRDefault="00E35632">
            <w:pPr>
              <w:pStyle w:val="ConsPlusNormal"/>
              <w:jc w:val="center"/>
            </w:pPr>
            <w:r>
              <w:t>1,5</w:t>
            </w:r>
          </w:p>
        </w:tc>
        <w:tc>
          <w:tcPr>
            <w:tcW w:w="1190" w:type="dxa"/>
            <w:tcBorders>
              <w:top w:val="nil"/>
              <w:bottom w:val="nil"/>
            </w:tcBorders>
          </w:tcPr>
          <w:p w:rsidR="00E35632" w:rsidRDefault="00E35632">
            <w:pPr>
              <w:pStyle w:val="ConsPlusNormal"/>
              <w:jc w:val="center"/>
            </w:pPr>
            <w:r>
              <w:t>1,3</w:t>
            </w:r>
          </w:p>
        </w:tc>
        <w:tc>
          <w:tcPr>
            <w:tcW w:w="1195" w:type="dxa"/>
            <w:tcBorders>
              <w:top w:val="nil"/>
              <w:bottom w:val="nil"/>
            </w:tcBorders>
          </w:tcPr>
          <w:p w:rsidR="00E35632" w:rsidRDefault="00E35632">
            <w:pPr>
              <w:pStyle w:val="ConsPlusNormal"/>
              <w:jc w:val="center"/>
            </w:pPr>
            <w:r>
              <w:t>1,1</w:t>
            </w:r>
          </w:p>
        </w:tc>
        <w:tc>
          <w:tcPr>
            <w:tcW w:w="1190" w:type="dxa"/>
            <w:tcBorders>
              <w:top w:val="nil"/>
              <w:bottom w:val="nil"/>
            </w:tcBorders>
          </w:tcPr>
          <w:p w:rsidR="00E35632" w:rsidRDefault="00E35632">
            <w:pPr>
              <w:pStyle w:val="ConsPlusNormal"/>
              <w:jc w:val="center"/>
            </w:pPr>
            <w:r>
              <w:t>1,0</w:t>
            </w:r>
          </w:p>
        </w:tc>
        <w:tc>
          <w:tcPr>
            <w:tcW w:w="1186" w:type="dxa"/>
            <w:tcBorders>
              <w:top w:val="nil"/>
              <w:bottom w:val="nil"/>
            </w:tcBorders>
          </w:tcPr>
          <w:p w:rsidR="00E35632" w:rsidRDefault="00E35632">
            <w:pPr>
              <w:pStyle w:val="ConsPlusNormal"/>
              <w:jc w:val="center"/>
            </w:pPr>
            <w:r>
              <w:t>0,9</w:t>
            </w:r>
          </w:p>
        </w:tc>
      </w:tr>
      <w:tr w:rsidR="00E35632">
        <w:tblPrEx>
          <w:tblBorders>
            <w:insideH w:val="none" w:sz="0" w:space="0" w:color="auto"/>
          </w:tblBorders>
        </w:tblPrEx>
        <w:tc>
          <w:tcPr>
            <w:tcW w:w="1387" w:type="dxa"/>
            <w:vMerge/>
            <w:tcBorders>
              <w:top w:val="single" w:sz="4" w:space="0" w:color="auto"/>
              <w:bottom w:val="single" w:sz="4" w:space="0" w:color="auto"/>
            </w:tcBorders>
          </w:tcPr>
          <w:p w:rsidR="00E35632" w:rsidRDefault="00E35632">
            <w:pPr>
              <w:pStyle w:val="ConsPlusNormal"/>
            </w:pPr>
          </w:p>
        </w:tc>
        <w:tc>
          <w:tcPr>
            <w:tcW w:w="1417" w:type="dxa"/>
            <w:tcBorders>
              <w:top w:val="nil"/>
              <w:bottom w:val="nil"/>
            </w:tcBorders>
          </w:tcPr>
          <w:p w:rsidR="00E35632" w:rsidRDefault="00E35632">
            <w:pPr>
              <w:pStyle w:val="ConsPlusNormal"/>
              <w:jc w:val="center"/>
            </w:pPr>
            <w:r>
              <w:rPr>
                <w:i/>
              </w:rPr>
              <w:t>A</w:t>
            </w:r>
            <w:r>
              <w:rPr>
                <w:vertAlign w:val="subscript"/>
              </w:rPr>
              <w:t>1</w:t>
            </w:r>
          </w:p>
        </w:tc>
        <w:tc>
          <w:tcPr>
            <w:tcW w:w="1464" w:type="dxa"/>
            <w:tcBorders>
              <w:top w:val="nil"/>
              <w:bottom w:val="nil"/>
            </w:tcBorders>
          </w:tcPr>
          <w:p w:rsidR="00E35632" w:rsidRDefault="00E35632">
            <w:pPr>
              <w:pStyle w:val="ConsPlusNormal"/>
              <w:jc w:val="center"/>
            </w:pPr>
            <w:r>
              <w:t>0,009</w:t>
            </w:r>
          </w:p>
        </w:tc>
        <w:tc>
          <w:tcPr>
            <w:tcW w:w="1190" w:type="dxa"/>
            <w:tcBorders>
              <w:top w:val="nil"/>
              <w:bottom w:val="nil"/>
            </w:tcBorders>
          </w:tcPr>
          <w:p w:rsidR="00E35632" w:rsidRDefault="00E35632">
            <w:pPr>
              <w:pStyle w:val="ConsPlusNormal"/>
              <w:jc w:val="center"/>
            </w:pPr>
            <w:r>
              <w:t>0,007</w:t>
            </w:r>
          </w:p>
        </w:tc>
        <w:tc>
          <w:tcPr>
            <w:tcW w:w="1195" w:type="dxa"/>
            <w:tcBorders>
              <w:top w:val="nil"/>
              <w:bottom w:val="nil"/>
            </w:tcBorders>
          </w:tcPr>
          <w:p w:rsidR="00E35632" w:rsidRDefault="00E35632">
            <w:pPr>
              <w:pStyle w:val="ConsPlusNormal"/>
              <w:jc w:val="center"/>
            </w:pPr>
            <w:r>
              <w:t>0,005</w:t>
            </w:r>
          </w:p>
        </w:tc>
        <w:tc>
          <w:tcPr>
            <w:tcW w:w="1190" w:type="dxa"/>
            <w:tcBorders>
              <w:top w:val="nil"/>
              <w:bottom w:val="nil"/>
            </w:tcBorders>
          </w:tcPr>
          <w:p w:rsidR="00E35632" w:rsidRDefault="00E35632">
            <w:pPr>
              <w:pStyle w:val="ConsPlusNormal"/>
              <w:jc w:val="center"/>
            </w:pPr>
            <w:r>
              <w:t>0,004</w:t>
            </w:r>
          </w:p>
        </w:tc>
        <w:tc>
          <w:tcPr>
            <w:tcW w:w="1186" w:type="dxa"/>
            <w:tcBorders>
              <w:top w:val="nil"/>
              <w:bottom w:val="nil"/>
            </w:tcBorders>
          </w:tcPr>
          <w:p w:rsidR="00E35632" w:rsidRDefault="00E35632">
            <w:pPr>
              <w:pStyle w:val="ConsPlusNormal"/>
              <w:jc w:val="center"/>
            </w:pPr>
            <w:r>
              <w:t>0,003</w:t>
            </w:r>
          </w:p>
        </w:tc>
      </w:tr>
      <w:tr w:rsidR="00E35632">
        <w:tblPrEx>
          <w:tblBorders>
            <w:insideH w:val="none" w:sz="0" w:space="0" w:color="auto"/>
          </w:tblBorders>
        </w:tblPrEx>
        <w:tc>
          <w:tcPr>
            <w:tcW w:w="1387" w:type="dxa"/>
            <w:vMerge/>
            <w:tcBorders>
              <w:top w:val="single" w:sz="4" w:space="0" w:color="auto"/>
              <w:bottom w:val="single" w:sz="4" w:space="0" w:color="auto"/>
            </w:tcBorders>
          </w:tcPr>
          <w:p w:rsidR="00E35632" w:rsidRDefault="00E35632">
            <w:pPr>
              <w:pStyle w:val="ConsPlusNormal"/>
            </w:pPr>
          </w:p>
        </w:tc>
        <w:tc>
          <w:tcPr>
            <w:tcW w:w="1417" w:type="dxa"/>
            <w:tcBorders>
              <w:top w:val="nil"/>
              <w:bottom w:val="nil"/>
            </w:tcBorders>
          </w:tcPr>
          <w:p w:rsidR="00E35632" w:rsidRDefault="00E35632">
            <w:pPr>
              <w:pStyle w:val="ConsPlusNormal"/>
              <w:jc w:val="center"/>
            </w:pPr>
            <w:r>
              <w:rPr>
                <w:i/>
              </w:rPr>
              <w:t>B</w:t>
            </w:r>
            <w:r>
              <w:rPr>
                <w:vertAlign w:val="subscript"/>
              </w:rPr>
              <w:t>1</w:t>
            </w:r>
          </w:p>
        </w:tc>
        <w:tc>
          <w:tcPr>
            <w:tcW w:w="1464" w:type="dxa"/>
            <w:tcBorders>
              <w:top w:val="nil"/>
              <w:bottom w:val="nil"/>
            </w:tcBorders>
          </w:tcPr>
          <w:p w:rsidR="00E35632" w:rsidRDefault="00E35632">
            <w:pPr>
              <w:pStyle w:val="ConsPlusNormal"/>
              <w:jc w:val="center"/>
            </w:pPr>
            <w:r>
              <w:t>1,0</w:t>
            </w:r>
          </w:p>
        </w:tc>
        <w:tc>
          <w:tcPr>
            <w:tcW w:w="1190" w:type="dxa"/>
            <w:tcBorders>
              <w:top w:val="nil"/>
              <w:bottom w:val="nil"/>
            </w:tcBorders>
          </w:tcPr>
          <w:p w:rsidR="00E35632" w:rsidRDefault="00E35632">
            <w:pPr>
              <w:pStyle w:val="ConsPlusNormal"/>
              <w:jc w:val="center"/>
            </w:pPr>
            <w:r>
              <w:t>0,8</w:t>
            </w:r>
          </w:p>
        </w:tc>
        <w:tc>
          <w:tcPr>
            <w:tcW w:w="1195" w:type="dxa"/>
            <w:tcBorders>
              <w:top w:val="nil"/>
              <w:bottom w:val="nil"/>
            </w:tcBorders>
          </w:tcPr>
          <w:p w:rsidR="00E35632" w:rsidRDefault="00E35632">
            <w:pPr>
              <w:pStyle w:val="ConsPlusNormal"/>
              <w:jc w:val="center"/>
            </w:pPr>
            <w:r>
              <w:t>0,8</w:t>
            </w:r>
          </w:p>
        </w:tc>
        <w:tc>
          <w:tcPr>
            <w:tcW w:w="1190" w:type="dxa"/>
            <w:tcBorders>
              <w:top w:val="nil"/>
              <w:bottom w:val="nil"/>
            </w:tcBorders>
          </w:tcPr>
          <w:p w:rsidR="00E35632" w:rsidRDefault="00E35632">
            <w:pPr>
              <w:pStyle w:val="ConsPlusNormal"/>
              <w:jc w:val="center"/>
            </w:pPr>
            <w:r>
              <w:t>0,7</w:t>
            </w:r>
          </w:p>
        </w:tc>
        <w:tc>
          <w:tcPr>
            <w:tcW w:w="1186" w:type="dxa"/>
            <w:tcBorders>
              <w:top w:val="nil"/>
              <w:bottom w:val="nil"/>
            </w:tcBorders>
          </w:tcPr>
          <w:p w:rsidR="00E35632" w:rsidRDefault="00E35632">
            <w:pPr>
              <w:pStyle w:val="ConsPlusNormal"/>
              <w:jc w:val="center"/>
            </w:pPr>
            <w:r>
              <w:t>0,6</w:t>
            </w:r>
          </w:p>
        </w:tc>
      </w:tr>
      <w:tr w:rsidR="00E35632">
        <w:tblPrEx>
          <w:tblBorders>
            <w:insideH w:val="none" w:sz="0" w:space="0" w:color="auto"/>
          </w:tblBorders>
        </w:tblPrEx>
        <w:tc>
          <w:tcPr>
            <w:tcW w:w="1387" w:type="dxa"/>
            <w:vMerge/>
            <w:tcBorders>
              <w:top w:val="single" w:sz="4" w:space="0" w:color="auto"/>
              <w:bottom w:val="single" w:sz="4" w:space="0" w:color="auto"/>
            </w:tcBorders>
          </w:tcPr>
          <w:p w:rsidR="00E35632" w:rsidRDefault="00E35632">
            <w:pPr>
              <w:pStyle w:val="ConsPlusNormal"/>
            </w:pPr>
          </w:p>
        </w:tc>
        <w:tc>
          <w:tcPr>
            <w:tcW w:w="1417" w:type="dxa"/>
            <w:tcBorders>
              <w:top w:val="nil"/>
              <w:bottom w:val="nil"/>
            </w:tcBorders>
          </w:tcPr>
          <w:p w:rsidR="00E35632" w:rsidRDefault="00E35632">
            <w:pPr>
              <w:pStyle w:val="ConsPlusNormal"/>
              <w:jc w:val="center"/>
            </w:pPr>
            <w:r>
              <w:rPr>
                <w:noProof/>
                <w:position w:val="-8"/>
              </w:rPr>
              <w:drawing>
                <wp:inline distT="0" distB="0" distL="0" distR="0">
                  <wp:extent cx="219075" cy="251460"/>
                  <wp:effectExtent l="0" t="0" r="0" b="0"/>
                  <wp:docPr id="4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(град)</w:t>
            </w:r>
          </w:p>
        </w:tc>
        <w:tc>
          <w:tcPr>
            <w:tcW w:w="1464" w:type="dxa"/>
            <w:tcBorders>
              <w:top w:val="nil"/>
              <w:bottom w:val="nil"/>
            </w:tcBorders>
          </w:tcPr>
          <w:p w:rsidR="00E35632" w:rsidRDefault="00E35632">
            <w:pPr>
              <w:pStyle w:val="ConsPlusNormal"/>
              <w:jc w:val="center"/>
            </w:pPr>
            <w:r>
              <w:t>36</w:t>
            </w:r>
          </w:p>
        </w:tc>
        <w:tc>
          <w:tcPr>
            <w:tcW w:w="1190" w:type="dxa"/>
            <w:tcBorders>
              <w:top w:val="nil"/>
              <w:bottom w:val="nil"/>
            </w:tcBorders>
          </w:tcPr>
          <w:p w:rsidR="00E35632" w:rsidRDefault="00E35632">
            <w:pPr>
              <w:pStyle w:val="ConsPlusNormal"/>
              <w:jc w:val="center"/>
            </w:pPr>
            <w:r>
              <w:t>34</w:t>
            </w:r>
          </w:p>
        </w:tc>
        <w:tc>
          <w:tcPr>
            <w:tcW w:w="1195" w:type="dxa"/>
            <w:tcBorders>
              <w:top w:val="nil"/>
              <w:bottom w:val="nil"/>
            </w:tcBorders>
          </w:tcPr>
          <w:p w:rsidR="00E35632" w:rsidRDefault="00E35632">
            <w:pPr>
              <w:pStyle w:val="ConsPlusNormal"/>
              <w:jc w:val="center"/>
            </w:pPr>
            <w:r>
              <w:t>32</w:t>
            </w:r>
          </w:p>
        </w:tc>
        <w:tc>
          <w:tcPr>
            <w:tcW w:w="1190" w:type="dxa"/>
            <w:tcBorders>
              <w:top w:val="nil"/>
              <w:bottom w:val="nil"/>
            </w:tcBorders>
          </w:tcPr>
          <w:p w:rsidR="00E35632" w:rsidRDefault="00E35632">
            <w:pPr>
              <w:pStyle w:val="ConsPlusNormal"/>
              <w:jc w:val="center"/>
            </w:pPr>
            <w:r>
              <w:t>30</w:t>
            </w:r>
          </w:p>
        </w:tc>
        <w:tc>
          <w:tcPr>
            <w:tcW w:w="1186" w:type="dxa"/>
            <w:tcBorders>
              <w:top w:val="nil"/>
              <w:bottom w:val="nil"/>
            </w:tcBorders>
          </w:tcPr>
          <w:p w:rsidR="00E35632" w:rsidRDefault="00E35632">
            <w:pPr>
              <w:pStyle w:val="ConsPlusNormal"/>
              <w:jc w:val="center"/>
            </w:pPr>
            <w:r>
              <w:t>28</w:t>
            </w:r>
          </w:p>
        </w:tc>
      </w:tr>
      <w:tr w:rsidR="00E35632">
        <w:tblPrEx>
          <w:tblBorders>
            <w:insideH w:val="none" w:sz="0" w:space="0" w:color="auto"/>
          </w:tblBorders>
        </w:tblPrEx>
        <w:tc>
          <w:tcPr>
            <w:tcW w:w="1387" w:type="dxa"/>
            <w:vMerge/>
            <w:tcBorders>
              <w:top w:val="single" w:sz="4" w:space="0" w:color="auto"/>
              <w:bottom w:val="single" w:sz="4" w:space="0" w:color="auto"/>
            </w:tcBorders>
          </w:tcPr>
          <w:p w:rsidR="00E35632" w:rsidRDefault="00E35632">
            <w:pPr>
              <w:pStyle w:val="ConsPlusNormal"/>
            </w:pPr>
          </w:p>
        </w:tc>
        <w:tc>
          <w:tcPr>
            <w:tcW w:w="1417" w:type="dxa"/>
            <w:tcBorders>
              <w:top w:val="nil"/>
              <w:bottom w:val="nil"/>
            </w:tcBorders>
          </w:tcPr>
          <w:p w:rsidR="00E35632" w:rsidRDefault="00E35632">
            <w:pPr>
              <w:pStyle w:val="ConsPlusNormal"/>
              <w:jc w:val="center"/>
            </w:pPr>
            <w:r>
              <w:rPr>
                <w:i/>
              </w:rPr>
              <w:t>C</w:t>
            </w:r>
          </w:p>
        </w:tc>
        <w:tc>
          <w:tcPr>
            <w:tcW w:w="1464" w:type="dxa"/>
            <w:tcBorders>
              <w:top w:val="nil"/>
              <w:bottom w:val="nil"/>
            </w:tcBorders>
          </w:tcPr>
          <w:p w:rsidR="00E35632" w:rsidRDefault="00E35632">
            <w:pPr>
              <w:pStyle w:val="ConsPlusNormal"/>
              <w:jc w:val="center"/>
            </w:pPr>
            <w:r>
              <w:t>0,8</w:t>
            </w:r>
          </w:p>
        </w:tc>
        <w:tc>
          <w:tcPr>
            <w:tcW w:w="1190" w:type="dxa"/>
            <w:tcBorders>
              <w:top w:val="nil"/>
              <w:bottom w:val="nil"/>
            </w:tcBorders>
          </w:tcPr>
          <w:p w:rsidR="00E35632" w:rsidRDefault="00E35632">
            <w:pPr>
              <w:pStyle w:val="ConsPlusNormal"/>
              <w:jc w:val="center"/>
            </w:pPr>
            <w:r>
              <w:t>0,9</w:t>
            </w:r>
          </w:p>
        </w:tc>
        <w:tc>
          <w:tcPr>
            <w:tcW w:w="1195" w:type="dxa"/>
            <w:tcBorders>
              <w:top w:val="nil"/>
              <w:bottom w:val="nil"/>
            </w:tcBorders>
          </w:tcPr>
          <w:p w:rsidR="00E35632" w:rsidRDefault="00E35632">
            <w:pPr>
              <w:pStyle w:val="ConsPlusNormal"/>
              <w:jc w:val="center"/>
            </w:pPr>
            <w:r>
              <w:t>1,0</w:t>
            </w:r>
          </w:p>
        </w:tc>
        <w:tc>
          <w:tcPr>
            <w:tcW w:w="1190" w:type="dxa"/>
            <w:tcBorders>
              <w:top w:val="nil"/>
              <w:bottom w:val="nil"/>
            </w:tcBorders>
          </w:tcPr>
          <w:p w:rsidR="00E35632" w:rsidRDefault="00E35632">
            <w:pPr>
              <w:pStyle w:val="ConsPlusNormal"/>
              <w:jc w:val="center"/>
            </w:pPr>
            <w:r>
              <w:t>1,1</w:t>
            </w:r>
          </w:p>
        </w:tc>
        <w:tc>
          <w:tcPr>
            <w:tcW w:w="1186" w:type="dxa"/>
            <w:tcBorders>
              <w:top w:val="nil"/>
              <w:bottom w:val="nil"/>
            </w:tcBorders>
          </w:tcPr>
          <w:p w:rsidR="00E35632" w:rsidRDefault="00E35632">
            <w:pPr>
              <w:pStyle w:val="ConsPlusNormal"/>
              <w:jc w:val="center"/>
            </w:pPr>
            <w:r>
              <w:t>1,1</w:t>
            </w:r>
          </w:p>
        </w:tc>
      </w:tr>
      <w:tr w:rsidR="00E35632">
        <w:tblPrEx>
          <w:tblBorders>
            <w:insideH w:val="none" w:sz="0" w:space="0" w:color="auto"/>
          </w:tblBorders>
        </w:tblPrEx>
        <w:tc>
          <w:tcPr>
            <w:tcW w:w="1387" w:type="dxa"/>
            <w:vMerge/>
            <w:tcBorders>
              <w:top w:val="single" w:sz="4" w:space="0" w:color="auto"/>
              <w:bottom w:val="single" w:sz="4" w:space="0" w:color="auto"/>
            </w:tcBorders>
          </w:tcPr>
          <w:p w:rsidR="00E35632" w:rsidRDefault="00E35632">
            <w:pPr>
              <w:pStyle w:val="ConsPlusNormal"/>
            </w:pPr>
          </w:p>
        </w:tc>
        <w:tc>
          <w:tcPr>
            <w:tcW w:w="1417" w:type="dxa"/>
            <w:tcBorders>
              <w:top w:val="nil"/>
              <w:bottom w:val="single" w:sz="4" w:space="0" w:color="auto"/>
            </w:tcBorders>
          </w:tcPr>
          <w:p w:rsidR="00E35632" w:rsidRDefault="00E35632">
            <w:pPr>
              <w:pStyle w:val="ConsPlusNormal"/>
              <w:jc w:val="center"/>
            </w:pPr>
            <w:r>
              <w:rPr>
                <w:i/>
              </w:rPr>
              <w:t>D</w:t>
            </w:r>
          </w:p>
        </w:tc>
        <w:tc>
          <w:tcPr>
            <w:tcW w:w="1464" w:type="dxa"/>
            <w:tcBorders>
              <w:top w:val="nil"/>
              <w:bottom w:val="single" w:sz="4" w:space="0" w:color="auto"/>
            </w:tcBorders>
          </w:tcPr>
          <w:p w:rsidR="00E35632" w:rsidRDefault="00E35632">
            <w:pPr>
              <w:pStyle w:val="ConsPlusNormal"/>
              <w:jc w:val="center"/>
            </w:pPr>
            <w:r>
              <w:t>2,0</w:t>
            </w:r>
          </w:p>
        </w:tc>
        <w:tc>
          <w:tcPr>
            <w:tcW w:w="1190" w:type="dxa"/>
            <w:tcBorders>
              <w:top w:val="nil"/>
              <w:bottom w:val="single" w:sz="4" w:space="0" w:color="auto"/>
            </w:tcBorders>
          </w:tcPr>
          <w:p w:rsidR="00E35632" w:rsidRDefault="00E35632">
            <w:pPr>
              <w:pStyle w:val="ConsPlusNormal"/>
              <w:jc w:val="center"/>
            </w:pPr>
            <w:r>
              <w:t>1,9</w:t>
            </w:r>
          </w:p>
        </w:tc>
        <w:tc>
          <w:tcPr>
            <w:tcW w:w="1195" w:type="dxa"/>
            <w:tcBorders>
              <w:top w:val="nil"/>
              <w:bottom w:val="single" w:sz="4" w:space="0" w:color="auto"/>
            </w:tcBorders>
          </w:tcPr>
          <w:p w:rsidR="00E35632" w:rsidRDefault="00E35632">
            <w:pPr>
              <w:pStyle w:val="ConsPlusNormal"/>
              <w:jc w:val="center"/>
            </w:pPr>
            <w:r>
              <w:t>1,9</w:t>
            </w:r>
          </w:p>
        </w:tc>
        <w:tc>
          <w:tcPr>
            <w:tcW w:w="1190" w:type="dxa"/>
            <w:tcBorders>
              <w:top w:val="nil"/>
              <w:bottom w:val="single" w:sz="4" w:space="0" w:color="auto"/>
            </w:tcBorders>
          </w:tcPr>
          <w:p w:rsidR="00E35632" w:rsidRDefault="00E35632">
            <w:pPr>
              <w:pStyle w:val="ConsPlusNormal"/>
              <w:jc w:val="center"/>
            </w:pPr>
            <w:r>
              <w:t>1,8</w:t>
            </w:r>
          </w:p>
        </w:tc>
        <w:tc>
          <w:tcPr>
            <w:tcW w:w="1186" w:type="dxa"/>
            <w:tcBorders>
              <w:top w:val="nil"/>
              <w:bottom w:val="single" w:sz="4" w:space="0" w:color="auto"/>
            </w:tcBorders>
          </w:tcPr>
          <w:p w:rsidR="00E35632" w:rsidRDefault="00E35632">
            <w:pPr>
              <w:pStyle w:val="ConsPlusNormal"/>
              <w:jc w:val="center"/>
            </w:pPr>
            <w:r>
              <w:t>1,7</w:t>
            </w:r>
          </w:p>
        </w:tc>
      </w:tr>
    </w:tbl>
    <w:p w:rsidR="00E35632" w:rsidRDefault="00E35632">
      <w:pPr>
        <w:pStyle w:val="ConsPlusNormal"/>
        <w:jc w:val="both"/>
      </w:pPr>
    </w:p>
    <w:p w:rsidR="00E35632" w:rsidRDefault="00E35632">
      <w:pPr>
        <w:pStyle w:val="ConsPlusNormal"/>
        <w:ind w:firstLine="540"/>
        <w:jc w:val="both"/>
      </w:pPr>
      <w:r>
        <w:t xml:space="preserve">6.7.11 Расчет оснований, сложенных намывными грунтами, следует проводить в соответствии с требованиями </w:t>
      </w:r>
      <w:hyperlink w:anchor="P375">
        <w:r>
          <w:rPr>
            <w:color w:val="0000FF"/>
          </w:rPr>
          <w:t>раздела 5</w:t>
        </w:r>
      </w:hyperlink>
      <w:r>
        <w:t>.</w:t>
      </w:r>
    </w:p>
    <w:p w:rsidR="00E35632" w:rsidRDefault="00E35632">
      <w:pPr>
        <w:pStyle w:val="ConsPlusNormal"/>
        <w:spacing w:before="220"/>
        <w:ind w:firstLine="540"/>
        <w:jc w:val="both"/>
      </w:pPr>
      <w:r>
        <w:t xml:space="preserve">Если толща намывных грунтов подстилается органоминеральными или органическими грунтами, в расчетах оснований следует дополнительно учитывать требования </w:t>
      </w:r>
      <w:hyperlink w:anchor="P2875">
        <w:r>
          <w:rPr>
            <w:color w:val="0000FF"/>
          </w:rPr>
          <w:t>6.4</w:t>
        </w:r>
      </w:hyperlink>
      <w:r>
        <w:t>. В указанном случае применение столбчатых фундаментов не допускается.</w:t>
      </w:r>
    </w:p>
    <w:p w:rsidR="00E35632" w:rsidRDefault="00E35632">
      <w:pPr>
        <w:pStyle w:val="ConsPlusNormal"/>
        <w:spacing w:before="220"/>
        <w:ind w:firstLine="540"/>
        <w:jc w:val="both"/>
      </w:pPr>
      <w:r>
        <w:t xml:space="preserve">6.7.12 Расчетное сопротивление </w:t>
      </w:r>
      <w:r>
        <w:rPr>
          <w:i/>
        </w:rPr>
        <w:t>R</w:t>
      </w:r>
      <w:r>
        <w:t xml:space="preserve"> намывных грунтов определяется в соответствии с требованиями </w:t>
      </w:r>
      <w:hyperlink w:anchor="P805">
        <w:r>
          <w:rPr>
            <w:color w:val="0000FF"/>
          </w:rPr>
          <w:t>5.6</w:t>
        </w:r>
      </w:hyperlink>
      <w:r>
        <w:t>. При этом значения прочностных характеристик намывного грунта (</w:t>
      </w:r>
      <w:r>
        <w:rPr>
          <w:noProof/>
          <w:position w:val="-8"/>
        </w:rPr>
        <w:drawing>
          <wp:inline distT="0" distB="0" distL="0" distR="0">
            <wp:extent cx="209550" cy="251460"/>
            <wp:effectExtent l="0" t="0" r="0" b="0"/>
            <wp:docPr id="4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и </w:t>
      </w:r>
      <w:r>
        <w:rPr>
          <w:i/>
        </w:rPr>
        <w:t>c</w:t>
      </w:r>
      <w:r>
        <w:rPr>
          <w:vertAlign w:val="subscript"/>
        </w:rPr>
        <w:t>II</w:t>
      </w:r>
      <w:r>
        <w:t xml:space="preserve">) следует принимать соответствующими началу строительства с учетом </w:t>
      </w:r>
      <w:hyperlink w:anchor="P3298">
        <w:r>
          <w:rPr>
            <w:color w:val="0000FF"/>
          </w:rPr>
          <w:t>6.7.8</w:t>
        </w:r>
      </w:hyperlink>
      <w:r>
        <w:t xml:space="preserve"> и </w:t>
      </w:r>
      <w:hyperlink w:anchor="P3310">
        <w:r>
          <w:rPr>
            <w:color w:val="0000FF"/>
          </w:rPr>
          <w:t>6.7.9</w:t>
        </w:r>
      </w:hyperlink>
      <w:r>
        <w:t>.</w:t>
      </w:r>
    </w:p>
    <w:p w:rsidR="00E35632" w:rsidRDefault="00E35632">
      <w:pPr>
        <w:pStyle w:val="ConsPlusNormal"/>
        <w:spacing w:before="220"/>
        <w:ind w:firstLine="540"/>
        <w:jc w:val="both"/>
      </w:pPr>
      <w:r>
        <w:t>6.7.13 Расчет осадки намывного основания фундамента при толщине верхнего намывного песчаного слоя не менее 4</w:t>
      </w:r>
      <w:r>
        <w:rPr>
          <w:i/>
        </w:rPr>
        <w:t>b</w:t>
      </w:r>
      <w:r>
        <w:t xml:space="preserve"> (где </w:t>
      </w:r>
      <w:r>
        <w:rPr>
          <w:i/>
        </w:rPr>
        <w:t>b</w:t>
      </w:r>
      <w:r>
        <w:t xml:space="preserve"> - ширина фундамента) и при отношении суммарной площади фундаментов к площади застройки здания или сооружения больше 0,3, следует проводить от нагрузки, распределенной по площади застройки и полученной путем деления веса здания или сооружения на площадь, ограниченную контуром наружных граней фундаментов. При отношении суммарной площади фундаментов к площади застройки здания или сооружения меньше 0,3, расчет осадки основания фундаментов следует проводить в соответствии с требованиями </w:t>
      </w:r>
      <w:hyperlink w:anchor="P375">
        <w:r>
          <w:rPr>
            <w:color w:val="0000FF"/>
          </w:rPr>
          <w:t>раздела 5</w:t>
        </w:r>
      </w:hyperlink>
      <w:r>
        <w:t>.</w:t>
      </w:r>
    </w:p>
    <w:p w:rsidR="00E35632" w:rsidRDefault="00E35632">
      <w:pPr>
        <w:pStyle w:val="ConsPlusNormal"/>
        <w:spacing w:before="220"/>
        <w:ind w:firstLine="540"/>
        <w:jc w:val="both"/>
      </w:pPr>
      <w:r>
        <w:t xml:space="preserve">6.7.14 При расчетных деформациях основания фундаментов, сложенного намывными грунтами, превышающих предельные, или при недостаточной несущей способности основания в соответствии с требованиями </w:t>
      </w:r>
      <w:hyperlink w:anchor="P2257">
        <w:r>
          <w:rPr>
            <w:color w:val="0000FF"/>
          </w:rPr>
          <w:t>5.9</w:t>
        </w:r>
      </w:hyperlink>
      <w:r>
        <w:t xml:space="preserve"> следует предусматривать:</w:t>
      </w:r>
    </w:p>
    <w:p w:rsidR="00E35632" w:rsidRDefault="00E35632">
      <w:pPr>
        <w:pStyle w:val="ConsPlusNormal"/>
        <w:spacing w:before="220"/>
        <w:ind w:firstLine="540"/>
        <w:jc w:val="both"/>
      </w:pPr>
      <w:r>
        <w:t>- уплотнение намывных грунтов (вибрационными машинами и катками, глубинным гидровиброуплотнением, использованием энергии взрыва, трамбованием, избыточным намывом грунта на площади застройки и др.);</w:t>
      </w:r>
    </w:p>
    <w:p w:rsidR="00E35632" w:rsidRDefault="00E35632">
      <w:pPr>
        <w:pStyle w:val="ConsPlusNormal"/>
        <w:spacing w:before="220"/>
        <w:ind w:firstLine="540"/>
        <w:jc w:val="both"/>
      </w:pPr>
      <w:r>
        <w:t>- закрепление или армирование намывного грунта;</w:t>
      </w:r>
    </w:p>
    <w:p w:rsidR="00E35632" w:rsidRDefault="00E35632">
      <w:pPr>
        <w:pStyle w:val="ConsPlusNormal"/>
        <w:spacing w:before="220"/>
        <w:ind w:firstLine="540"/>
        <w:jc w:val="both"/>
      </w:pPr>
      <w:r>
        <w:t>- конструктивные мероприятия.</w:t>
      </w:r>
    </w:p>
    <w:p w:rsidR="00E35632" w:rsidRDefault="00E35632">
      <w:pPr>
        <w:pStyle w:val="ConsPlusNormal"/>
        <w:spacing w:before="220"/>
        <w:ind w:firstLine="540"/>
        <w:jc w:val="both"/>
      </w:pPr>
      <w:r>
        <w:t>6.7.15 Отметку заложения подошвы фундамента принимают независимо от глубины сезонного промерзания грунтов, если в основании здания залегает толща намывных песков гравелистых, крупных и средней крупности, а также мелких, если специальными исследованиями на данной площадке установлено, что они не обладают пучинистыми свойствами.</w:t>
      </w:r>
    </w:p>
    <w:p w:rsidR="00E35632" w:rsidRDefault="00E35632">
      <w:pPr>
        <w:pStyle w:val="ConsPlusNormal"/>
        <w:spacing w:before="220"/>
        <w:ind w:firstLine="540"/>
        <w:jc w:val="both"/>
      </w:pPr>
      <w:r>
        <w:t>6.7.16 При проектировании намывных работ необходимо так размещать дамбы обвалования, ограждающие карты намыва, чтобы они не служили основанием зданий и сооружений во избежание развития недопустимых неравномерных осадок.</w:t>
      </w:r>
    </w:p>
    <w:p w:rsidR="00E35632" w:rsidRDefault="00E35632">
      <w:pPr>
        <w:pStyle w:val="ConsPlusTitle"/>
        <w:spacing w:before="220"/>
        <w:ind w:firstLine="540"/>
        <w:jc w:val="both"/>
        <w:outlineLvl w:val="2"/>
      </w:pPr>
      <w:bookmarkStart w:id="186" w:name="P3432"/>
      <w:bookmarkEnd w:id="186"/>
      <w:r>
        <w:t>6.8 Пучинистые грунты</w:t>
      </w:r>
    </w:p>
    <w:p w:rsidR="00E35632" w:rsidRDefault="00E35632">
      <w:pPr>
        <w:pStyle w:val="ConsPlusNormal"/>
        <w:spacing w:before="220"/>
        <w:ind w:firstLine="540"/>
        <w:jc w:val="both"/>
      </w:pPr>
      <w:r>
        <w:t xml:space="preserve">6.8.1 Основания, сложенные пучинистыми грунтами, следует проектировать с учетом способности таких грунтов при сезонном или многолетнем промерзании увеличиваться в объеме, что сопровождается подъемом поверхности грунта и развитием сил морозного пучения, </w:t>
      </w:r>
      <w:r>
        <w:lastRenderedPageBreak/>
        <w:t>действующих на фундаменты и другие конструкции сооружений. При последующем оттаивании пучинистого грунта происходит его осадка.</w:t>
      </w:r>
    </w:p>
    <w:p w:rsidR="00E35632" w:rsidRDefault="00E35632">
      <w:pPr>
        <w:pStyle w:val="ConsPlusNormal"/>
        <w:spacing w:before="220"/>
        <w:ind w:firstLine="540"/>
        <w:jc w:val="both"/>
      </w:pPr>
      <w:r>
        <w:t>6.8.2 К пучинистым грунтам относятся глинистые грунты, пески пылеватые и мелкие, а также крупнообломочные грунты с глинистым заполнителем, имеющие к началу промерзания влажность выше определенного уровня. При проектировании фундаментов на основаниях, сложенных пучинистыми грунтами, следует учитывать возможность повышения влажности грунта за счет подъема уровня подземных вод, инфильтрации поверхностных вод и экранирования поверхности.</w:t>
      </w:r>
    </w:p>
    <w:p w:rsidR="00E35632" w:rsidRDefault="00E35632">
      <w:pPr>
        <w:pStyle w:val="ConsPlusNormal"/>
        <w:spacing w:before="220"/>
        <w:ind w:firstLine="540"/>
        <w:jc w:val="both"/>
      </w:pPr>
      <w:r>
        <w:t>6.8.3 Пучинистые грунты характеризуются:</w:t>
      </w:r>
    </w:p>
    <w:p w:rsidR="00E35632" w:rsidRDefault="00E35632">
      <w:pPr>
        <w:pStyle w:val="ConsPlusNormal"/>
        <w:spacing w:before="220"/>
        <w:ind w:firstLine="540"/>
        <w:jc w:val="both"/>
      </w:pPr>
      <w:r>
        <w:t xml:space="preserve">- абсолютной деформацией морозного пучения </w:t>
      </w:r>
      <w:r>
        <w:rPr>
          <w:i/>
        </w:rPr>
        <w:t>h</w:t>
      </w:r>
      <w:r>
        <w:rPr>
          <w:i/>
          <w:vertAlign w:val="subscript"/>
        </w:rPr>
        <w:t>f</w:t>
      </w:r>
      <w:r>
        <w:t>, представляющей подъем ненагруженной поверхности промерзающего грунта;</w:t>
      </w:r>
    </w:p>
    <w:p w:rsidR="00E35632" w:rsidRDefault="00E35632">
      <w:pPr>
        <w:pStyle w:val="ConsPlusNormal"/>
        <w:spacing w:before="220"/>
        <w:ind w:firstLine="540"/>
        <w:jc w:val="both"/>
      </w:pPr>
      <w:r>
        <w:t xml:space="preserve">- относительной деформацией (интенсивностью) морозного пучения </w:t>
      </w:r>
      <w:r>
        <w:rPr>
          <w:noProof/>
          <w:position w:val="-10"/>
        </w:rPr>
        <w:drawing>
          <wp:inline distT="0" distB="0" distL="0" distR="0">
            <wp:extent cx="219075" cy="267970"/>
            <wp:effectExtent l="0" t="0" r="0" b="0"/>
            <wp:docPr id="4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19075" cy="267970"/>
                    </a:xfrm>
                    <a:prstGeom prst="rect">
                      <a:avLst/>
                    </a:prstGeom>
                    <a:noFill/>
                    <a:ln>
                      <a:noFill/>
                    </a:ln>
                  </pic:spPr>
                </pic:pic>
              </a:graphicData>
            </a:graphic>
          </wp:inline>
        </w:drawing>
      </w:r>
      <w:r>
        <w:t xml:space="preserve"> - отношением </w:t>
      </w:r>
      <w:r>
        <w:rPr>
          <w:i/>
        </w:rPr>
        <w:t>h</w:t>
      </w:r>
      <w:r>
        <w:rPr>
          <w:i/>
          <w:vertAlign w:val="subscript"/>
        </w:rPr>
        <w:t>f</w:t>
      </w:r>
      <w:r>
        <w:t xml:space="preserve"> к толщине промерзающего слоя </w:t>
      </w:r>
      <w:r>
        <w:rPr>
          <w:i/>
        </w:rPr>
        <w:t>d</w:t>
      </w:r>
      <w:r>
        <w:rPr>
          <w:i/>
          <w:vertAlign w:val="subscript"/>
        </w:rPr>
        <w:t>f</w:t>
      </w:r>
      <w:r>
        <w:t>;</w:t>
      </w:r>
    </w:p>
    <w:p w:rsidR="00E35632" w:rsidRDefault="00E35632">
      <w:pPr>
        <w:pStyle w:val="ConsPlusNormal"/>
        <w:spacing w:before="220"/>
        <w:ind w:firstLine="540"/>
        <w:jc w:val="both"/>
      </w:pPr>
      <w:r>
        <w:t xml:space="preserve">- вертикальным давлением морозного пучения </w:t>
      </w:r>
      <w:r>
        <w:rPr>
          <w:i/>
        </w:rPr>
        <w:t>p</w:t>
      </w:r>
      <w:r>
        <w:rPr>
          <w:i/>
          <w:vertAlign w:val="subscript"/>
        </w:rPr>
        <w:t>fh,v</w:t>
      </w:r>
      <w:r>
        <w:t>, действующим нормально к подошве фундамента;</w:t>
      </w:r>
    </w:p>
    <w:p w:rsidR="00E35632" w:rsidRDefault="00E35632">
      <w:pPr>
        <w:pStyle w:val="ConsPlusNormal"/>
        <w:spacing w:before="220"/>
        <w:ind w:firstLine="540"/>
        <w:jc w:val="both"/>
      </w:pPr>
      <w:r>
        <w:t xml:space="preserve">- горизонтальным давлением морозного пучения </w:t>
      </w:r>
      <w:r>
        <w:rPr>
          <w:i/>
        </w:rPr>
        <w:t>p</w:t>
      </w:r>
      <w:r>
        <w:rPr>
          <w:i/>
          <w:vertAlign w:val="subscript"/>
        </w:rPr>
        <w:t>fh,h</w:t>
      </w:r>
      <w:r>
        <w:t>, действующим нормально к боковой поверхности фундамента;</w:t>
      </w:r>
    </w:p>
    <w:p w:rsidR="00E35632" w:rsidRDefault="00E35632">
      <w:pPr>
        <w:pStyle w:val="ConsPlusNormal"/>
        <w:spacing w:before="220"/>
        <w:ind w:firstLine="540"/>
        <w:jc w:val="both"/>
      </w:pPr>
      <w:r>
        <w:t xml:space="preserve">- удельным значением касательной силы морозного пучения </w:t>
      </w:r>
      <w:r>
        <w:rPr>
          <w:noProof/>
          <w:position w:val="-10"/>
        </w:rPr>
        <w:drawing>
          <wp:inline distT="0" distB="0" distL="0" distR="0">
            <wp:extent cx="219075" cy="267970"/>
            <wp:effectExtent l="0" t="0" r="0" b="0"/>
            <wp:docPr id="4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19075" cy="267970"/>
                    </a:xfrm>
                    <a:prstGeom prst="rect">
                      <a:avLst/>
                    </a:prstGeom>
                    <a:noFill/>
                    <a:ln>
                      <a:noFill/>
                    </a:ln>
                  </pic:spPr>
                </pic:pic>
              </a:graphicData>
            </a:graphic>
          </wp:inline>
        </w:drawing>
      </w:r>
      <w:r>
        <w:t>, действующей вдоль боковой поверхности фундамента.</w:t>
      </w:r>
    </w:p>
    <w:p w:rsidR="00E35632" w:rsidRDefault="00E35632">
      <w:pPr>
        <w:pStyle w:val="ConsPlusNormal"/>
        <w:spacing w:before="220"/>
        <w:ind w:firstLine="540"/>
        <w:jc w:val="both"/>
      </w:pPr>
      <w:r>
        <w:t xml:space="preserve">Указанные характеристики следует устанавливать на основе опытных данных с учетом возможного изменения гидрогеологических условий. Для сооружений пониженного уровня ответственности допускается определять значения </w:t>
      </w:r>
      <w:r>
        <w:rPr>
          <w:noProof/>
          <w:position w:val="-10"/>
        </w:rPr>
        <w:drawing>
          <wp:inline distT="0" distB="0" distL="0" distR="0">
            <wp:extent cx="219075" cy="267970"/>
            <wp:effectExtent l="0" t="0" r="0" b="0"/>
            <wp:docPr id="4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19075" cy="267970"/>
                    </a:xfrm>
                    <a:prstGeom prst="rect">
                      <a:avLst/>
                    </a:prstGeom>
                    <a:noFill/>
                    <a:ln>
                      <a:noFill/>
                    </a:ln>
                  </pic:spPr>
                </pic:pic>
              </a:graphicData>
            </a:graphic>
          </wp:inline>
        </w:drawing>
      </w:r>
      <w:r>
        <w:t xml:space="preserve"> в зависимости от параметра </w:t>
      </w:r>
      <w:r>
        <w:rPr>
          <w:i/>
        </w:rPr>
        <w:t>R</w:t>
      </w:r>
      <w:r>
        <w:rPr>
          <w:i/>
          <w:vertAlign w:val="subscript"/>
        </w:rPr>
        <w:t>f</w:t>
      </w:r>
      <w:r>
        <w:t xml:space="preserve"> </w:t>
      </w:r>
      <w:hyperlink w:anchor="P3461">
        <w:r>
          <w:rPr>
            <w:color w:val="0000FF"/>
          </w:rPr>
          <w:t>(рисунок 6.11)</w:t>
        </w:r>
      </w:hyperlink>
      <w:r>
        <w:t>, вычисляемого по формуле</w:t>
      </w:r>
    </w:p>
    <w:p w:rsidR="00E35632" w:rsidRDefault="00E35632">
      <w:pPr>
        <w:pStyle w:val="ConsPlusNormal"/>
        <w:jc w:val="both"/>
      </w:pPr>
    </w:p>
    <w:p w:rsidR="00E35632" w:rsidRDefault="00E35632">
      <w:pPr>
        <w:pStyle w:val="ConsPlusNormal"/>
        <w:jc w:val="center"/>
      </w:pPr>
      <w:r>
        <w:rPr>
          <w:noProof/>
          <w:position w:val="-35"/>
        </w:rPr>
        <w:drawing>
          <wp:inline distT="0" distB="0" distL="0" distR="0">
            <wp:extent cx="3045460" cy="586740"/>
            <wp:effectExtent l="0" t="0" r="0" b="0"/>
            <wp:docPr id="4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3045460" cy="586740"/>
                    </a:xfrm>
                    <a:prstGeom prst="rect">
                      <a:avLst/>
                    </a:prstGeom>
                    <a:noFill/>
                    <a:ln>
                      <a:noFill/>
                    </a:ln>
                  </pic:spPr>
                </pic:pic>
              </a:graphicData>
            </a:graphic>
          </wp:inline>
        </w:drawing>
      </w:r>
      <w:r>
        <w:t xml:space="preserve"> (6.34)</w:t>
      </w:r>
    </w:p>
    <w:p w:rsidR="00E35632" w:rsidRDefault="00E35632">
      <w:pPr>
        <w:pStyle w:val="ConsPlusNormal"/>
        <w:jc w:val="both"/>
      </w:pPr>
    </w:p>
    <w:p w:rsidR="00E35632" w:rsidRDefault="00E35632">
      <w:pPr>
        <w:pStyle w:val="ConsPlusNormal"/>
        <w:ind w:firstLine="540"/>
        <w:jc w:val="both"/>
      </w:pPr>
      <w:r>
        <w:t xml:space="preserve">где </w:t>
      </w:r>
      <w:r>
        <w:rPr>
          <w:i/>
        </w:rPr>
        <w:t>w</w:t>
      </w:r>
      <w:r>
        <w:t xml:space="preserve">, </w:t>
      </w:r>
      <w:r>
        <w:rPr>
          <w:i/>
        </w:rPr>
        <w:t>w</w:t>
      </w:r>
      <w:r>
        <w:rPr>
          <w:i/>
          <w:vertAlign w:val="subscript"/>
        </w:rPr>
        <w:t>p</w:t>
      </w:r>
      <w:r>
        <w:t xml:space="preserve"> - влажность в пределах слоя промерзающего грунта соответственно природная и на границе раскатывания, доли единицы;</w:t>
      </w:r>
    </w:p>
    <w:p w:rsidR="00E35632" w:rsidRDefault="00E35632">
      <w:pPr>
        <w:pStyle w:val="ConsPlusNormal"/>
        <w:spacing w:before="220"/>
        <w:ind w:firstLine="540"/>
        <w:jc w:val="both"/>
      </w:pPr>
      <w:r>
        <w:rPr>
          <w:i/>
        </w:rPr>
        <w:t>w</w:t>
      </w:r>
      <w:r>
        <w:rPr>
          <w:i/>
          <w:vertAlign w:val="subscript"/>
        </w:rPr>
        <w:t>cr</w:t>
      </w:r>
      <w:r>
        <w:t xml:space="preserve"> - критическая влажность, доли единицы, ниже значения которой в промерзающем пучинистом грунте прекращается перераспределение влаги, вызывающей морозное пучение; определяется по графикам </w:t>
      </w:r>
      <w:hyperlink w:anchor="P3468">
        <w:r>
          <w:rPr>
            <w:color w:val="0000FF"/>
          </w:rPr>
          <w:t>(рисунок 6.12)</w:t>
        </w:r>
      </w:hyperlink>
      <w:r>
        <w:t>;</w:t>
      </w:r>
    </w:p>
    <w:p w:rsidR="00E35632" w:rsidRDefault="00E35632">
      <w:pPr>
        <w:pStyle w:val="ConsPlusNormal"/>
        <w:spacing w:before="220"/>
        <w:ind w:firstLine="540"/>
        <w:jc w:val="both"/>
      </w:pPr>
      <w:r>
        <w:rPr>
          <w:i/>
        </w:rPr>
        <w:t>w</w:t>
      </w:r>
      <w:r>
        <w:rPr>
          <w:i/>
          <w:vertAlign w:val="subscript"/>
        </w:rPr>
        <w:t>sat</w:t>
      </w:r>
      <w:r>
        <w:t xml:space="preserve"> - полная влагоемкость грунта, доли единицы;</w:t>
      </w:r>
    </w:p>
    <w:p w:rsidR="00E35632" w:rsidRDefault="00E35632">
      <w:pPr>
        <w:pStyle w:val="ConsPlusNormal"/>
        <w:spacing w:before="220"/>
        <w:ind w:firstLine="540"/>
        <w:jc w:val="both"/>
      </w:pPr>
      <w:r>
        <w:rPr>
          <w:noProof/>
          <w:position w:val="-8"/>
        </w:rPr>
        <w:drawing>
          <wp:inline distT="0" distB="0" distL="0" distR="0">
            <wp:extent cx="219075" cy="251460"/>
            <wp:effectExtent l="0" t="0" r="0" b="0"/>
            <wp:docPr id="4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 плотность сухого грунта, т/м</w:t>
      </w:r>
      <w:r>
        <w:rPr>
          <w:vertAlign w:val="superscript"/>
        </w:rPr>
        <w:t>3</w:t>
      </w:r>
      <w:r>
        <w:t>;</w:t>
      </w:r>
    </w:p>
    <w:p w:rsidR="00E35632" w:rsidRDefault="00E35632">
      <w:pPr>
        <w:pStyle w:val="ConsPlusNormal"/>
        <w:spacing w:before="220"/>
        <w:ind w:firstLine="540"/>
        <w:jc w:val="both"/>
      </w:pPr>
      <w:r>
        <w:rPr>
          <w:i/>
        </w:rPr>
        <w:t>M</w:t>
      </w:r>
      <w:r>
        <w:rPr>
          <w:vertAlign w:val="subscript"/>
        </w:rPr>
        <w:t>0</w:t>
      </w:r>
      <w:r>
        <w:t xml:space="preserve"> - безразмерный коэффициент, численно равный абсолютному значению средней многолетней температуры воздуха за зимний период, определяемый в соответствии с </w:t>
      </w:r>
      <w:hyperlink r:id="rId660">
        <w:r>
          <w:rPr>
            <w:color w:val="0000FF"/>
          </w:rPr>
          <w:t>СП 131.13330</w:t>
        </w:r>
      </w:hyperlink>
      <w:r>
        <w:t>.</w:t>
      </w:r>
    </w:p>
    <w:p w:rsidR="00E35632" w:rsidRDefault="00E35632">
      <w:pPr>
        <w:pStyle w:val="ConsPlusNormal"/>
        <w:jc w:val="both"/>
      </w:pPr>
    </w:p>
    <w:p w:rsidR="00E35632" w:rsidRDefault="00E35632">
      <w:pPr>
        <w:pStyle w:val="ConsPlusNormal"/>
        <w:jc w:val="center"/>
      </w:pPr>
      <w:r>
        <w:rPr>
          <w:noProof/>
          <w:position w:val="-397"/>
        </w:rPr>
        <w:lastRenderedPageBreak/>
        <w:drawing>
          <wp:inline distT="0" distB="0" distL="0" distR="0">
            <wp:extent cx="4566920" cy="5183505"/>
            <wp:effectExtent l="0" t="0" r="0" b="0"/>
            <wp:docPr id="4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566920" cy="5183505"/>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r>
        <w:rPr>
          <w:i/>
        </w:rPr>
        <w:t>1</w:t>
      </w:r>
      <w:r>
        <w:t xml:space="preserve">, </w:t>
      </w:r>
      <w:r>
        <w:rPr>
          <w:i/>
        </w:rPr>
        <w:t>2</w:t>
      </w:r>
      <w:r>
        <w:t xml:space="preserve"> - супеси; </w:t>
      </w:r>
      <w:r>
        <w:rPr>
          <w:i/>
        </w:rPr>
        <w:t>3</w:t>
      </w:r>
      <w:r>
        <w:t xml:space="preserve"> - суглинки; </w:t>
      </w:r>
      <w:r>
        <w:rPr>
          <w:i/>
        </w:rPr>
        <w:t>4</w:t>
      </w:r>
      <w:r>
        <w:t xml:space="preserve"> - суглинки</w:t>
      </w:r>
    </w:p>
    <w:p w:rsidR="00E35632" w:rsidRDefault="00E35632">
      <w:pPr>
        <w:pStyle w:val="ConsPlusNormal"/>
        <w:jc w:val="center"/>
      </w:pPr>
      <w:r>
        <w:t xml:space="preserve">с 0,07 &lt; </w:t>
      </w:r>
      <w:r>
        <w:rPr>
          <w:i/>
        </w:rPr>
        <w:t>I</w:t>
      </w:r>
      <w:r>
        <w:rPr>
          <w:i/>
          <w:vertAlign w:val="subscript"/>
        </w:rPr>
        <w:t>p</w:t>
      </w:r>
      <w:r>
        <w:t xml:space="preserve"> &lt;= 0,13; 5 - суглинки с 0,13 &lt; </w:t>
      </w:r>
      <w:r>
        <w:rPr>
          <w:i/>
        </w:rPr>
        <w:t>I</w:t>
      </w:r>
      <w:r>
        <w:rPr>
          <w:i/>
          <w:vertAlign w:val="subscript"/>
        </w:rPr>
        <w:t>p</w:t>
      </w:r>
      <w:r>
        <w:t xml:space="preserve"> &lt;= 0,17;</w:t>
      </w:r>
    </w:p>
    <w:p w:rsidR="00E35632" w:rsidRDefault="00E35632">
      <w:pPr>
        <w:pStyle w:val="ConsPlusNormal"/>
        <w:jc w:val="center"/>
      </w:pPr>
      <w:r>
        <w:rPr>
          <w:i/>
        </w:rPr>
        <w:t>6</w:t>
      </w:r>
      <w:r>
        <w:t xml:space="preserve"> - глины (в грунтах 2, 4 и 5 содержание пылеватых</w:t>
      </w:r>
    </w:p>
    <w:p w:rsidR="00E35632" w:rsidRDefault="00E35632">
      <w:pPr>
        <w:pStyle w:val="ConsPlusNormal"/>
        <w:jc w:val="center"/>
      </w:pPr>
      <w:r>
        <w:t>частиц размером 0,05 - 0,005 мм составляет более 50%</w:t>
      </w:r>
    </w:p>
    <w:p w:rsidR="00E35632" w:rsidRDefault="00E35632">
      <w:pPr>
        <w:pStyle w:val="ConsPlusNormal"/>
        <w:jc w:val="center"/>
      </w:pPr>
      <w:r>
        <w:t xml:space="preserve">по массе); </w:t>
      </w:r>
      <w:r>
        <w:rPr>
          <w:i/>
        </w:rPr>
        <w:t>а</w:t>
      </w:r>
      <w:r>
        <w:t xml:space="preserve"> - практически непучинистый;</w:t>
      </w:r>
    </w:p>
    <w:p w:rsidR="00E35632" w:rsidRDefault="00E35632">
      <w:pPr>
        <w:pStyle w:val="ConsPlusNormal"/>
        <w:jc w:val="center"/>
      </w:pPr>
      <w:r>
        <w:rPr>
          <w:i/>
        </w:rPr>
        <w:t>б</w:t>
      </w:r>
      <w:r>
        <w:t xml:space="preserve"> - слабопучинистый; </w:t>
      </w:r>
      <w:r>
        <w:rPr>
          <w:i/>
        </w:rPr>
        <w:t>в</w:t>
      </w:r>
      <w:r>
        <w:t xml:space="preserve"> - среднепучинистый;</w:t>
      </w:r>
    </w:p>
    <w:p w:rsidR="00E35632" w:rsidRDefault="00E35632">
      <w:pPr>
        <w:pStyle w:val="ConsPlusNormal"/>
        <w:jc w:val="center"/>
      </w:pPr>
      <w:r>
        <w:rPr>
          <w:i/>
        </w:rPr>
        <w:t>г</w:t>
      </w:r>
      <w:r>
        <w:t xml:space="preserve"> - сильнопучинистый; </w:t>
      </w:r>
      <w:r>
        <w:rPr>
          <w:i/>
        </w:rPr>
        <w:t>д</w:t>
      </w:r>
      <w:r>
        <w:t xml:space="preserve"> - чрезмернопучинистый</w:t>
      </w:r>
    </w:p>
    <w:p w:rsidR="00E35632" w:rsidRDefault="00E35632">
      <w:pPr>
        <w:pStyle w:val="ConsPlusNormal"/>
        <w:jc w:val="both"/>
      </w:pPr>
    </w:p>
    <w:p w:rsidR="00E35632" w:rsidRDefault="00E35632">
      <w:pPr>
        <w:pStyle w:val="ConsPlusNormal"/>
        <w:jc w:val="center"/>
      </w:pPr>
      <w:bookmarkStart w:id="187" w:name="P3461"/>
      <w:bookmarkEnd w:id="187"/>
      <w:r>
        <w:rPr>
          <w:b/>
          <w:i/>
        </w:rPr>
        <w:t>Рисунок 6.11</w:t>
      </w:r>
      <w:r>
        <w:t xml:space="preserve"> </w:t>
      </w:r>
      <w:r>
        <w:rPr>
          <w:b/>
        </w:rPr>
        <w:t>- Взаимосвязь параметра</w:t>
      </w:r>
      <w:r>
        <w:t xml:space="preserve"> </w:t>
      </w:r>
      <w:r>
        <w:rPr>
          <w:b/>
          <w:i/>
        </w:rPr>
        <w:t>R</w:t>
      </w:r>
      <w:r>
        <w:rPr>
          <w:b/>
          <w:i/>
          <w:vertAlign w:val="subscript"/>
        </w:rPr>
        <w:t>f</w:t>
      </w:r>
    </w:p>
    <w:p w:rsidR="00E35632" w:rsidRDefault="00E35632">
      <w:pPr>
        <w:pStyle w:val="ConsPlusNormal"/>
        <w:jc w:val="center"/>
      </w:pPr>
      <w:r>
        <w:rPr>
          <w:b/>
        </w:rPr>
        <w:t>и относительной деформации пучения</w:t>
      </w:r>
      <w:r>
        <w:t> </w:t>
      </w:r>
      <w:r>
        <w:rPr>
          <w:noProof/>
          <w:position w:val="-10"/>
        </w:rPr>
        <w:drawing>
          <wp:inline distT="0" distB="0" distL="0" distR="0">
            <wp:extent cx="219075" cy="267970"/>
            <wp:effectExtent l="0" t="0" r="0" b="0"/>
            <wp:docPr id="4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19075" cy="26797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center"/>
      </w:pPr>
      <w:r>
        <w:rPr>
          <w:noProof/>
          <w:position w:val="-430"/>
        </w:rPr>
        <w:lastRenderedPageBreak/>
        <w:drawing>
          <wp:inline distT="0" distB="0" distL="0" distR="0">
            <wp:extent cx="5541645" cy="5602605"/>
            <wp:effectExtent l="0" t="0" r="0" b="0"/>
            <wp:docPr id="4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5541645" cy="5602605"/>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bookmarkStart w:id="188" w:name="P3468"/>
      <w:bookmarkEnd w:id="188"/>
      <w:r>
        <w:rPr>
          <w:b/>
          <w:i/>
        </w:rPr>
        <w:t>Рисунок 6.12</w:t>
      </w:r>
      <w:r>
        <w:t xml:space="preserve"> </w:t>
      </w:r>
      <w:r>
        <w:rPr>
          <w:b/>
        </w:rPr>
        <w:t>- Зависимость критической влажности</w:t>
      </w:r>
      <w:r>
        <w:t xml:space="preserve"> </w:t>
      </w:r>
      <w:r>
        <w:rPr>
          <w:b/>
          <w:i/>
        </w:rPr>
        <w:t>w</w:t>
      </w:r>
      <w:r>
        <w:rPr>
          <w:b/>
          <w:i/>
          <w:vertAlign w:val="subscript"/>
        </w:rPr>
        <w:t>cr</w:t>
      </w:r>
    </w:p>
    <w:p w:rsidR="00E35632" w:rsidRDefault="00E35632">
      <w:pPr>
        <w:pStyle w:val="ConsPlusNormal"/>
        <w:jc w:val="center"/>
      </w:pPr>
      <w:r>
        <w:rPr>
          <w:b/>
        </w:rPr>
        <w:t>от числа пластичности</w:t>
      </w:r>
      <w:r>
        <w:t xml:space="preserve"> </w:t>
      </w:r>
      <w:r>
        <w:rPr>
          <w:b/>
          <w:i/>
        </w:rPr>
        <w:t>J</w:t>
      </w:r>
      <w:r>
        <w:rPr>
          <w:b/>
          <w:i/>
          <w:vertAlign w:val="subscript"/>
        </w:rPr>
        <w:t>p</w:t>
      </w:r>
      <w:r>
        <w:t xml:space="preserve"> </w:t>
      </w:r>
      <w:r>
        <w:rPr>
          <w:b/>
        </w:rPr>
        <w:t>и предела текучести грунта</w:t>
      </w:r>
      <w:r>
        <w:t xml:space="preserve"> </w:t>
      </w:r>
      <w:r>
        <w:rPr>
          <w:b/>
          <w:i/>
        </w:rPr>
        <w:t>w</w:t>
      </w:r>
      <w:r>
        <w:rPr>
          <w:b/>
          <w:i/>
          <w:vertAlign w:val="subscript"/>
        </w:rPr>
        <w:t>L</w:t>
      </w:r>
    </w:p>
    <w:p w:rsidR="00E35632" w:rsidRDefault="00E35632">
      <w:pPr>
        <w:pStyle w:val="ConsPlusNormal"/>
        <w:jc w:val="both"/>
      </w:pPr>
    </w:p>
    <w:p w:rsidR="00E35632" w:rsidRDefault="00E35632">
      <w:pPr>
        <w:pStyle w:val="ConsPlusNormal"/>
        <w:ind w:firstLine="540"/>
        <w:jc w:val="both"/>
      </w:pPr>
      <w:r>
        <w:t xml:space="preserve">6.8.4 По степени пучинистости грунты подразделяют в зависимости от </w:t>
      </w:r>
      <w:r>
        <w:rPr>
          <w:noProof/>
          <w:position w:val="-10"/>
        </w:rPr>
        <w:drawing>
          <wp:inline distT="0" distB="0" distL="0" distR="0">
            <wp:extent cx="219075" cy="267970"/>
            <wp:effectExtent l="0" t="0" r="0" b="0"/>
            <wp:docPr id="4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19075" cy="267970"/>
                    </a:xfrm>
                    <a:prstGeom prst="rect">
                      <a:avLst/>
                    </a:prstGeom>
                    <a:noFill/>
                    <a:ln>
                      <a:noFill/>
                    </a:ln>
                  </pic:spPr>
                </pic:pic>
              </a:graphicData>
            </a:graphic>
          </wp:inline>
        </w:drawing>
      </w:r>
      <w:r>
        <w:t xml:space="preserve"> на пять групп. Принадлежность глинистого грунта к одной из групп также может быть оценена по параметру </w:t>
      </w:r>
      <w:r>
        <w:rPr>
          <w:i/>
        </w:rPr>
        <w:t>R</w:t>
      </w:r>
      <w:r>
        <w:rPr>
          <w:i/>
          <w:vertAlign w:val="subscript"/>
        </w:rPr>
        <w:t>f</w:t>
      </w:r>
      <w:r>
        <w:t xml:space="preserve"> (см. </w:t>
      </w:r>
      <w:hyperlink w:anchor="P3461">
        <w:r>
          <w:rPr>
            <w:color w:val="0000FF"/>
          </w:rPr>
          <w:t>рисунок 6.11</w:t>
        </w:r>
      </w:hyperlink>
      <w:r>
        <w:t>).</w:t>
      </w:r>
    </w:p>
    <w:p w:rsidR="00E35632" w:rsidRDefault="00E35632">
      <w:pPr>
        <w:pStyle w:val="ConsPlusNormal"/>
        <w:spacing w:before="220"/>
        <w:ind w:firstLine="540"/>
        <w:jc w:val="both"/>
      </w:pPr>
      <w:r>
        <w:t xml:space="preserve">6.8.5 Расчет оснований, сложенных пучинистыми грунтами, должен выполняться в соответствии с рекомендациями </w:t>
      </w:r>
      <w:hyperlink w:anchor="P375">
        <w:r>
          <w:rPr>
            <w:color w:val="0000FF"/>
          </w:rPr>
          <w:t>раздела 5</w:t>
        </w:r>
      </w:hyperlink>
      <w:r>
        <w:t xml:space="preserve"> и предусматривать проверку устойчивости фундаментов при действии сил морозного пучения.</w:t>
      </w:r>
    </w:p>
    <w:p w:rsidR="00E35632" w:rsidRDefault="00E35632">
      <w:pPr>
        <w:pStyle w:val="ConsPlusNormal"/>
        <w:spacing w:before="220"/>
        <w:ind w:firstLine="540"/>
        <w:jc w:val="both"/>
      </w:pPr>
      <w:r>
        <w:t>6.8.6 Расчет устойчивости фундаментов на воздействие касательных сил морозного пучения, действующих вдоль боковой поверхности фундаментов, должен выполняться при заложении подошвы фундаментов ниже расчетной глубины промерзания пучинистых грунтов.</w:t>
      </w:r>
    </w:p>
    <w:p w:rsidR="00E35632" w:rsidRDefault="00E35632">
      <w:pPr>
        <w:pStyle w:val="ConsPlusNormal"/>
        <w:spacing w:before="220"/>
        <w:ind w:firstLine="540"/>
        <w:jc w:val="both"/>
      </w:pPr>
      <w:r>
        <w:t>Устойчивость фундаментов проверяют по формуле</w:t>
      </w:r>
    </w:p>
    <w:p w:rsidR="00E35632" w:rsidRDefault="00E35632">
      <w:pPr>
        <w:pStyle w:val="ConsPlusNormal"/>
        <w:jc w:val="both"/>
      </w:pPr>
    </w:p>
    <w:p w:rsidR="00E35632" w:rsidRDefault="00E35632">
      <w:pPr>
        <w:pStyle w:val="ConsPlusNormal"/>
        <w:jc w:val="center"/>
      </w:pPr>
      <w:r>
        <w:rPr>
          <w:noProof/>
          <w:position w:val="-26"/>
        </w:rPr>
        <w:drawing>
          <wp:inline distT="0" distB="0" distL="0" distR="0">
            <wp:extent cx="1327150" cy="479425"/>
            <wp:effectExtent l="0" t="0" r="0" b="0"/>
            <wp:docPr id="4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1327150" cy="479425"/>
                    </a:xfrm>
                    <a:prstGeom prst="rect">
                      <a:avLst/>
                    </a:prstGeom>
                    <a:noFill/>
                    <a:ln>
                      <a:noFill/>
                    </a:ln>
                  </pic:spPr>
                </pic:pic>
              </a:graphicData>
            </a:graphic>
          </wp:inline>
        </w:drawing>
      </w:r>
      <w:r>
        <w:t xml:space="preserve"> (6.35)</w:t>
      </w:r>
    </w:p>
    <w:p w:rsidR="00E35632" w:rsidRDefault="00E35632">
      <w:pPr>
        <w:pStyle w:val="ConsPlusNormal"/>
        <w:jc w:val="both"/>
      </w:pPr>
    </w:p>
    <w:p w:rsidR="00E35632" w:rsidRDefault="00E35632">
      <w:pPr>
        <w:pStyle w:val="ConsPlusNormal"/>
        <w:ind w:firstLine="540"/>
        <w:jc w:val="both"/>
      </w:pPr>
      <w:r>
        <w:t xml:space="preserve">где </w:t>
      </w:r>
      <w:r>
        <w:rPr>
          <w:noProof/>
          <w:position w:val="-10"/>
        </w:rPr>
        <w:drawing>
          <wp:inline distT="0" distB="0" distL="0" distR="0">
            <wp:extent cx="219075" cy="267970"/>
            <wp:effectExtent l="0" t="0" r="0" b="0"/>
            <wp:docPr id="4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219075" cy="267970"/>
                    </a:xfrm>
                    <a:prstGeom prst="rect">
                      <a:avLst/>
                    </a:prstGeom>
                    <a:noFill/>
                    <a:ln>
                      <a:noFill/>
                    </a:ln>
                  </pic:spPr>
                </pic:pic>
              </a:graphicData>
            </a:graphic>
          </wp:inline>
        </w:drawing>
      </w:r>
      <w:r>
        <w:t xml:space="preserve"> - значение расчетной удельной касательной силы пучения, кПа, принимаемое по </w:t>
      </w:r>
      <w:hyperlink w:anchor="P3484">
        <w:r>
          <w:rPr>
            <w:color w:val="0000FF"/>
          </w:rPr>
          <w:t>6.8.7</w:t>
        </w:r>
      </w:hyperlink>
      <w:r>
        <w:t>;</w:t>
      </w:r>
    </w:p>
    <w:p w:rsidR="00E35632" w:rsidRDefault="00E35632">
      <w:pPr>
        <w:pStyle w:val="ConsPlusNormal"/>
        <w:spacing w:before="220"/>
        <w:ind w:firstLine="540"/>
        <w:jc w:val="both"/>
      </w:pPr>
      <w:r>
        <w:rPr>
          <w:i/>
        </w:rPr>
        <w:t>A</w:t>
      </w:r>
      <w:r>
        <w:rPr>
          <w:i/>
          <w:vertAlign w:val="subscript"/>
        </w:rPr>
        <w:t>fh</w:t>
      </w:r>
      <w:r>
        <w:t xml:space="preserve"> - площадь боковой поверхности фундамента, находящейся в пределах расчетной глубины сезонного промерзания, м</w:t>
      </w:r>
      <w:r>
        <w:rPr>
          <w:vertAlign w:val="superscript"/>
        </w:rPr>
        <w:t>2</w:t>
      </w:r>
      <w:r>
        <w:t>;</w:t>
      </w:r>
    </w:p>
    <w:p w:rsidR="00E35632" w:rsidRDefault="00E35632">
      <w:pPr>
        <w:pStyle w:val="ConsPlusNormal"/>
        <w:spacing w:before="220"/>
        <w:ind w:firstLine="540"/>
        <w:jc w:val="both"/>
      </w:pPr>
      <w:r>
        <w:rPr>
          <w:i/>
        </w:rPr>
        <w:t>F</w:t>
      </w:r>
      <w:r>
        <w:t xml:space="preserve"> - расчетная постоянная нагрузка, кН, при коэффициенте надежности по нагрузке </w:t>
      </w:r>
      <w:r>
        <w:rPr>
          <w:noProof/>
          <w:position w:val="-10"/>
        </w:rPr>
        <w:drawing>
          <wp:inline distT="0" distB="0" distL="0" distR="0">
            <wp:extent cx="621030" cy="267970"/>
            <wp:effectExtent l="0" t="0" r="0" b="0"/>
            <wp:docPr id="4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621030" cy="267970"/>
                    </a:xfrm>
                    <a:prstGeom prst="rect">
                      <a:avLst/>
                    </a:prstGeom>
                    <a:noFill/>
                    <a:ln>
                      <a:noFill/>
                    </a:ln>
                  </pic:spPr>
                </pic:pic>
              </a:graphicData>
            </a:graphic>
          </wp:inline>
        </w:drawing>
      </w:r>
      <w:r>
        <w:t>;</w:t>
      </w:r>
    </w:p>
    <w:p w:rsidR="00E35632" w:rsidRDefault="00E35632">
      <w:pPr>
        <w:pStyle w:val="ConsPlusNormal"/>
        <w:spacing w:before="220"/>
        <w:ind w:firstLine="540"/>
        <w:jc w:val="both"/>
      </w:pPr>
      <w:r>
        <w:rPr>
          <w:i/>
        </w:rPr>
        <w:t>F</w:t>
      </w:r>
      <w:r>
        <w:rPr>
          <w:i/>
          <w:vertAlign w:val="subscript"/>
        </w:rPr>
        <w:t>rf</w:t>
      </w:r>
      <w:r>
        <w:t xml:space="preserve"> - расчетное значение силы, кН, удерживающей фундамент от выпучивания вследствие трения его боковой поверхности о талый грунт, лежащий ниже расчетной глубины промерзания;</w:t>
      </w:r>
    </w:p>
    <w:p w:rsidR="00E35632" w:rsidRDefault="00E35632">
      <w:pPr>
        <w:pStyle w:val="ConsPlusNormal"/>
        <w:spacing w:before="220"/>
        <w:ind w:firstLine="540"/>
        <w:jc w:val="both"/>
      </w:pPr>
      <w:r>
        <w:rPr>
          <w:noProof/>
          <w:position w:val="-8"/>
        </w:rPr>
        <w:drawing>
          <wp:inline distT="0" distB="0" distL="0" distR="0">
            <wp:extent cx="175895" cy="251460"/>
            <wp:effectExtent l="0" t="0" r="0" b="0"/>
            <wp:docPr id="4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175895" cy="251460"/>
                    </a:xfrm>
                    <a:prstGeom prst="rect">
                      <a:avLst/>
                    </a:prstGeom>
                    <a:noFill/>
                    <a:ln>
                      <a:noFill/>
                    </a:ln>
                  </pic:spPr>
                </pic:pic>
              </a:graphicData>
            </a:graphic>
          </wp:inline>
        </w:drawing>
      </w:r>
      <w:r>
        <w:t xml:space="preserve"> - коэффициент условий работы, принимаемый равным 1,0;</w:t>
      </w:r>
    </w:p>
    <w:p w:rsidR="00E35632" w:rsidRDefault="00E35632">
      <w:pPr>
        <w:pStyle w:val="ConsPlusNormal"/>
        <w:spacing w:before="220"/>
        <w:ind w:firstLine="540"/>
        <w:jc w:val="both"/>
      </w:pPr>
      <w:r>
        <w:rPr>
          <w:noProof/>
          <w:position w:val="-8"/>
        </w:rPr>
        <w:drawing>
          <wp:inline distT="0" distB="0" distL="0" distR="0">
            <wp:extent cx="175895" cy="251460"/>
            <wp:effectExtent l="0" t="0" r="0" b="0"/>
            <wp:docPr id="4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175895" cy="251460"/>
                    </a:xfrm>
                    <a:prstGeom prst="rect">
                      <a:avLst/>
                    </a:prstGeom>
                    <a:noFill/>
                    <a:ln>
                      <a:noFill/>
                    </a:ln>
                  </pic:spPr>
                </pic:pic>
              </a:graphicData>
            </a:graphic>
          </wp:inline>
        </w:drawing>
      </w:r>
      <w:r>
        <w:t xml:space="preserve"> - коэффициент надежности, принимаемый равным 1,1.</w:t>
      </w:r>
    </w:p>
    <w:p w:rsidR="00E35632" w:rsidRDefault="00E35632">
      <w:pPr>
        <w:pStyle w:val="ConsPlusNormal"/>
        <w:spacing w:before="220"/>
        <w:ind w:firstLine="540"/>
        <w:jc w:val="both"/>
      </w:pPr>
      <w:bookmarkStart w:id="189" w:name="P3484"/>
      <w:bookmarkEnd w:id="189"/>
      <w:r>
        <w:t xml:space="preserve">6.8.7 Значение расчетной удельной касательной силы пучения </w:t>
      </w:r>
      <w:r>
        <w:rPr>
          <w:noProof/>
          <w:position w:val="-10"/>
        </w:rPr>
        <w:drawing>
          <wp:inline distT="0" distB="0" distL="0" distR="0">
            <wp:extent cx="219075" cy="267970"/>
            <wp:effectExtent l="0" t="0" r="0" b="0"/>
            <wp:docPr id="4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219075" cy="267970"/>
                    </a:xfrm>
                    <a:prstGeom prst="rect">
                      <a:avLst/>
                    </a:prstGeom>
                    <a:noFill/>
                    <a:ln>
                      <a:noFill/>
                    </a:ln>
                  </pic:spPr>
                </pic:pic>
              </a:graphicData>
            </a:graphic>
          </wp:inline>
        </w:drawing>
      </w:r>
      <w:r>
        <w:t xml:space="preserve"> следует определять опытным путем в полевых условиях или в лабораторных условиях. При отсутствии опытных данных допускается принимать значения </w:t>
      </w:r>
      <w:r>
        <w:rPr>
          <w:noProof/>
          <w:position w:val="-10"/>
        </w:rPr>
        <w:drawing>
          <wp:inline distT="0" distB="0" distL="0" distR="0">
            <wp:extent cx="219075" cy="267970"/>
            <wp:effectExtent l="0" t="0" r="0" b="0"/>
            <wp:docPr id="4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219075" cy="267970"/>
                    </a:xfrm>
                    <a:prstGeom prst="rect">
                      <a:avLst/>
                    </a:prstGeom>
                    <a:noFill/>
                    <a:ln>
                      <a:noFill/>
                    </a:ln>
                  </pic:spPr>
                </pic:pic>
              </a:graphicData>
            </a:graphic>
          </wp:inline>
        </w:drawing>
      </w:r>
      <w:r>
        <w:t xml:space="preserve"> по таблице 6.12 в зависимости от вида и характеристик грунта.</w:t>
      </w:r>
    </w:p>
    <w:p w:rsidR="00E35632" w:rsidRDefault="00E35632">
      <w:pPr>
        <w:pStyle w:val="ConsPlusNormal"/>
        <w:jc w:val="both"/>
      </w:pPr>
    </w:p>
    <w:p w:rsidR="00E35632" w:rsidRDefault="00E35632">
      <w:pPr>
        <w:pStyle w:val="ConsPlusNormal"/>
        <w:jc w:val="right"/>
      </w:pPr>
      <w:r>
        <w:t>Таблица 6.12</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13"/>
        <w:gridCol w:w="1080"/>
        <w:gridCol w:w="1085"/>
        <w:gridCol w:w="1262"/>
      </w:tblGrid>
      <w:tr w:rsidR="00E35632">
        <w:tc>
          <w:tcPr>
            <w:tcW w:w="5613" w:type="dxa"/>
            <w:vMerge w:val="restart"/>
            <w:vAlign w:val="center"/>
          </w:tcPr>
          <w:p w:rsidR="00E35632" w:rsidRDefault="00E35632">
            <w:pPr>
              <w:pStyle w:val="ConsPlusNormal"/>
              <w:jc w:val="center"/>
            </w:pPr>
            <w:r>
              <w:t>Грунты и их характеристики</w:t>
            </w:r>
          </w:p>
        </w:tc>
        <w:tc>
          <w:tcPr>
            <w:tcW w:w="3427" w:type="dxa"/>
            <w:gridSpan w:val="3"/>
            <w:vAlign w:val="center"/>
          </w:tcPr>
          <w:p w:rsidR="00E35632" w:rsidRDefault="00E35632">
            <w:pPr>
              <w:pStyle w:val="ConsPlusNormal"/>
              <w:jc w:val="center"/>
            </w:pPr>
            <w:r>
              <w:t>Значения расчетной удельной касательной силы пучения</w:t>
            </w:r>
            <w:r>
              <w:rPr>
                <w:noProof/>
                <w:position w:val="-10"/>
              </w:rPr>
              <w:drawing>
                <wp:inline distT="0" distB="0" distL="0" distR="0">
                  <wp:extent cx="219075" cy="267970"/>
                  <wp:effectExtent l="0" t="0" r="0" b="0"/>
                  <wp:docPr id="4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219075" cy="267970"/>
                          </a:xfrm>
                          <a:prstGeom prst="rect">
                            <a:avLst/>
                          </a:prstGeom>
                          <a:noFill/>
                          <a:ln>
                            <a:noFill/>
                          </a:ln>
                        </pic:spPr>
                      </pic:pic>
                    </a:graphicData>
                  </a:graphic>
                </wp:inline>
              </w:drawing>
            </w:r>
            <w:r>
              <w:t xml:space="preserve">, кПа, при глубине сезонного промерзания-оттаивания </w:t>
            </w:r>
            <w:r>
              <w:rPr>
                <w:i/>
              </w:rPr>
              <w:t>d</w:t>
            </w:r>
            <w:r>
              <w:rPr>
                <w:i/>
                <w:vertAlign w:val="subscript"/>
              </w:rPr>
              <w:t>th</w:t>
            </w:r>
            <w:r>
              <w:t>, м</w:t>
            </w:r>
          </w:p>
        </w:tc>
      </w:tr>
      <w:tr w:rsidR="00E35632">
        <w:tc>
          <w:tcPr>
            <w:tcW w:w="5613" w:type="dxa"/>
            <w:vMerge/>
          </w:tcPr>
          <w:p w:rsidR="00E35632" w:rsidRDefault="00E35632">
            <w:pPr>
              <w:pStyle w:val="ConsPlusNormal"/>
            </w:pPr>
          </w:p>
        </w:tc>
        <w:tc>
          <w:tcPr>
            <w:tcW w:w="1080" w:type="dxa"/>
            <w:vAlign w:val="center"/>
          </w:tcPr>
          <w:p w:rsidR="00E35632" w:rsidRDefault="00E35632">
            <w:pPr>
              <w:pStyle w:val="ConsPlusNormal"/>
              <w:jc w:val="center"/>
            </w:pPr>
            <w:r>
              <w:t>До 1,5</w:t>
            </w:r>
          </w:p>
        </w:tc>
        <w:tc>
          <w:tcPr>
            <w:tcW w:w="1085" w:type="dxa"/>
            <w:vAlign w:val="center"/>
          </w:tcPr>
          <w:p w:rsidR="00E35632" w:rsidRDefault="00E35632">
            <w:pPr>
              <w:pStyle w:val="ConsPlusNormal"/>
              <w:jc w:val="center"/>
            </w:pPr>
            <w:r>
              <w:t>2,5</w:t>
            </w:r>
          </w:p>
        </w:tc>
        <w:tc>
          <w:tcPr>
            <w:tcW w:w="1262" w:type="dxa"/>
            <w:vAlign w:val="center"/>
          </w:tcPr>
          <w:p w:rsidR="00E35632" w:rsidRDefault="00E35632">
            <w:pPr>
              <w:pStyle w:val="ConsPlusNormal"/>
              <w:jc w:val="center"/>
            </w:pPr>
            <w:r>
              <w:t>3 и более</w:t>
            </w:r>
          </w:p>
        </w:tc>
      </w:tr>
      <w:tr w:rsidR="00E35632">
        <w:tc>
          <w:tcPr>
            <w:tcW w:w="5613" w:type="dxa"/>
          </w:tcPr>
          <w:p w:rsidR="00E35632" w:rsidRDefault="00E35632">
            <w:pPr>
              <w:pStyle w:val="ConsPlusNormal"/>
            </w:pPr>
            <w:bookmarkStart w:id="190" w:name="P3493"/>
            <w:bookmarkEnd w:id="190"/>
            <w:r>
              <w:t xml:space="preserve">Супеси, суглинки и глины при показателе текучести </w:t>
            </w:r>
            <w:r>
              <w:rPr>
                <w:i/>
              </w:rPr>
              <w:t>I</w:t>
            </w:r>
            <w:r>
              <w:rPr>
                <w:i/>
                <w:vertAlign w:val="subscript"/>
              </w:rPr>
              <w:t>L</w:t>
            </w:r>
            <w:r>
              <w:t xml:space="preserve"> &gt; 0,5, крупнообломочные грунты с глинистым заполнителем, пески мелкие и пылеватые при показателе дисперсности </w:t>
            </w:r>
            <w:r>
              <w:rPr>
                <w:i/>
              </w:rPr>
              <w:t>D</w:t>
            </w:r>
            <w:r>
              <w:t xml:space="preserve"> &gt; 5 и коэффициенте водонасыщения </w:t>
            </w:r>
            <w:r>
              <w:rPr>
                <w:i/>
              </w:rPr>
              <w:t>S</w:t>
            </w:r>
            <w:r>
              <w:rPr>
                <w:i/>
                <w:vertAlign w:val="subscript"/>
              </w:rPr>
              <w:t>r</w:t>
            </w:r>
            <w:r>
              <w:t xml:space="preserve"> &gt; 0,95</w:t>
            </w:r>
          </w:p>
        </w:tc>
        <w:tc>
          <w:tcPr>
            <w:tcW w:w="1080" w:type="dxa"/>
          </w:tcPr>
          <w:p w:rsidR="00E35632" w:rsidRDefault="00E35632">
            <w:pPr>
              <w:pStyle w:val="ConsPlusNormal"/>
              <w:jc w:val="center"/>
            </w:pPr>
            <w:r>
              <w:t>110</w:t>
            </w:r>
          </w:p>
        </w:tc>
        <w:tc>
          <w:tcPr>
            <w:tcW w:w="1085" w:type="dxa"/>
          </w:tcPr>
          <w:p w:rsidR="00E35632" w:rsidRDefault="00E35632">
            <w:pPr>
              <w:pStyle w:val="ConsPlusNormal"/>
              <w:jc w:val="center"/>
            </w:pPr>
            <w:r>
              <w:t>90</w:t>
            </w:r>
          </w:p>
        </w:tc>
        <w:tc>
          <w:tcPr>
            <w:tcW w:w="1262" w:type="dxa"/>
          </w:tcPr>
          <w:p w:rsidR="00E35632" w:rsidRDefault="00E35632">
            <w:pPr>
              <w:pStyle w:val="ConsPlusNormal"/>
              <w:jc w:val="center"/>
            </w:pPr>
            <w:r>
              <w:t>70</w:t>
            </w:r>
          </w:p>
        </w:tc>
      </w:tr>
      <w:tr w:rsidR="00E35632">
        <w:tc>
          <w:tcPr>
            <w:tcW w:w="5613" w:type="dxa"/>
          </w:tcPr>
          <w:p w:rsidR="00E35632" w:rsidRDefault="00E35632">
            <w:pPr>
              <w:pStyle w:val="ConsPlusNormal"/>
            </w:pPr>
            <w:r>
              <w:t xml:space="preserve">Супеси, суглинки и глины при 0,25 &lt; </w:t>
            </w:r>
            <w:r>
              <w:rPr>
                <w:i/>
              </w:rPr>
              <w:t>I</w:t>
            </w:r>
            <w:r>
              <w:rPr>
                <w:i/>
                <w:vertAlign w:val="subscript"/>
              </w:rPr>
              <w:t>L</w:t>
            </w:r>
            <w:r>
              <w:t xml:space="preserve"> &lt;= 0,5, крупнообломочные грунты с глинистым заполнителем, пески мелете и пылеватые при </w:t>
            </w:r>
            <w:r>
              <w:rPr>
                <w:i/>
              </w:rPr>
              <w:t>D</w:t>
            </w:r>
            <w:r>
              <w:t xml:space="preserve"> &gt; 1 и коэффициенте водонасыщения 0,8 &lt; </w:t>
            </w:r>
            <w:r>
              <w:rPr>
                <w:i/>
              </w:rPr>
              <w:t>S</w:t>
            </w:r>
            <w:r>
              <w:rPr>
                <w:i/>
                <w:vertAlign w:val="subscript"/>
              </w:rPr>
              <w:t>r</w:t>
            </w:r>
            <w:r>
              <w:t xml:space="preserve"> &lt;= 0,95</w:t>
            </w:r>
          </w:p>
        </w:tc>
        <w:tc>
          <w:tcPr>
            <w:tcW w:w="1080" w:type="dxa"/>
          </w:tcPr>
          <w:p w:rsidR="00E35632" w:rsidRDefault="00E35632">
            <w:pPr>
              <w:pStyle w:val="ConsPlusNormal"/>
              <w:jc w:val="center"/>
            </w:pPr>
            <w:r>
              <w:t>90</w:t>
            </w:r>
          </w:p>
        </w:tc>
        <w:tc>
          <w:tcPr>
            <w:tcW w:w="1085" w:type="dxa"/>
          </w:tcPr>
          <w:p w:rsidR="00E35632" w:rsidRDefault="00E35632">
            <w:pPr>
              <w:pStyle w:val="ConsPlusNormal"/>
              <w:jc w:val="center"/>
            </w:pPr>
            <w:r>
              <w:t>70</w:t>
            </w:r>
          </w:p>
        </w:tc>
        <w:tc>
          <w:tcPr>
            <w:tcW w:w="1262" w:type="dxa"/>
          </w:tcPr>
          <w:p w:rsidR="00E35632" w:rsidRDefault="00E35632">
            <w:pPr>
              <w:pStyle w:val="ConsPlusNormal"/>
              <w:jc w:val="center"/>
            </w:pPr>
            <w:r>
              <w:t>55</w:t>
            </w:r>
          </w:p>
        </w:tc>
      </w:tr>
      <w:tr w:rsidR="00E35632">
        <w:tc>
          <w:tcPr>
            <w:tcW w:w="5613" w:type="dxa"/>
          </w:tcPr>
          <w:p w:rsidR="00E35632" w:rsidRDefault="00E35632">
            <w:pPr>
              <w:pStyle w:val="ConsPlusNormal"/>
            </w:pPr>
            <w:r>
              <w:t xml:space="preserve">Супеси, суглинки и глины при </w:t>
            </w:r>
            <w:r>
              <w:rPr>
                <w:i/>
              </w:rPr>
              <w:t>I</w:t>
            </w:r>
            <w:r>
              <w:rPr>
                <w:i/>
                <w:vertAlign w:val="subscript"/>
              </w:rPr>
              <w:t>L</w:t>
            </w:r>
            <w:r>
              <w:t xml:space="preserve"> &lt;= 0,25, крупнообломочные грунты с глинистым заполнителем, пески мелкие и пылеватые при </w:t>
            </w:r>
            <w:r>
              <w:rPr>
                <w:i/>
              </w:rPr>
              <w:t>D</w:t>
            </w:r>
            <w:r>
              <w:t xml:space="preserve"> &gt; 1 и коэффициенте водонасыщения 0,6 &lt; </w:t>
            </w:r>
            <w:r>
              <w:rPr>
                <w:i/>
              </w:rPr>
              <w:t>S</w:t>
            </w:r>
            <w:r>
              <w:rPr>
                <w:i/>
                <w:vertAlign w:val="subscript"/>
              </w:rPr>
              <w:t>r</w:t>
            </w:r>
            <w:r>
              <w:t xml:space="preserve"> &lt;= 0,8</w:t>
            </w:r>
          </w:p>
        </w:tc>
        <w:tc>
          <w:tcPr>
            <w:tcW w:w="1080" w:type="dxa"/>
          </w:tcPr>
          <w:p w:rsidR="00E35632" w:rsidRDefault="00E35632">
            <w:pPr>
              <w:pStyle w:val="ConsPlusNormal"/>
              <w:jc w:val="center"/>
            </w:pPr>
            <w:r>
              <w:t>70</w:t>
            </w:r>
          </w:p>
        </w:tc>
        <w:tc>
          <w:tcPr>
            <w:tcW w:w="1085" w:type="dxa"/>
          </w:tcPr>
          <w:p w:rsidR="00E35632" w:rsidRDefault="00E35632">
            <w:pPr>
              <w:pStyle w:val="ConsPlusNormal"/>
              <w:jc w:val="center"/>
            </w:pPr>
            <w:r>
              <w:t>55</w:t>
            </w:r>
          </w:p>
        </w:tc>
        <w:tc>
          <w:tcPr>
            <w:tcW w:w="1262" w:type="dxa"/>
          </w:tcPr>
          <w:p w:rsidR="00E35632" w:rsidRDefault="00E35632">
            <w:pPr>
              <w:pStyle w:val="ConsPlusNormal"/>
              <w:jc w:val="center"/>
            </w:pPr>
            <w:r>
              <w:t>40</w:t>
            </w:r>
          </w:p>
        </w:tc>
      </w:tr>
      <w:tr w:rsidR="00E35632">
        <w:tc>
          <w:tcPr>
            <w:tcW w:w="9040" w:type="dxa"/>
            <w:gridSpan w:val="4"/>
          </w:tcPr>
          <w:p w:rsidR="00E35632" w:rsidRDefault="00E35632">
            <w:pPr>
              <w:pStyle w:val="ConsPlusNormal"/>
              <w:ind w:firstLine="283"/>
              <w:jc w:val="both"/>
            </w:pPr>
            <w:r>
              <w:t>Примечания</w:t>
            </w:r>
          </w:p>
          <w:p w:rsidR="00E35632" w:rsidRDefault="00E35632">
            <w:pPr>
              <w:pStyle w:val="ConsPlusNormal"/>
              <w:ind w:firstLine="283"/>
              <w:jc w:val="both"/>
            </w:pPr>
            <w:r>
              <w:t xml:space="preserve">1 Для промежуточных глубин промерзания </w:t>
            </w:r>
            <w:r>
              <w:rPr>
                <w:noProof/>
                <w:position w:val="-10"/>
              </w:rPr>
              <w:drawing>
                <wp:inline distT="0" distB="0" distL="0" distR="0">
                  <wp:extent cx="219075" cy="267970"/>
                  <wp:effectExtent l="0" t="0" r="0" b="0"/>
                  <wp:docPr id="4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219075" cy="267970"/>
                          </a:xfrm>
                          <a:prstGeom prst="rect">
                            <a:avLst/>
                          </a:prstGeom>
                          <a:noFill/>
                          <a:ln>
                            <a:noFill/>
                          </a:ln>
                        </pic:spPr>
                      </pic:pic>
                    </a:graphicData>
                  </a:graphic>
                </wp:inline>
              </w:drawing>
            </w:r>
            <w:r>
              <w:t xml:space="preserve"> принимается интерполяцией.</w:t>
            </w:r>
          </w:p>
          <w:p w:rsidR="00E35632" w:rsidRDefault="00E35632">
            <w:pPr>
              <w:pStyle w:val="ConsPlusNormal"/>
              <w:ind w:firstLine="283"/>
              <w:jc w:val="both"/>
            </w:pPr>
            <w:r>
              <w:t xml:space="preserve">2 Показатель дисперсности грунта </w:t>
            </w:r>
            <w:r>
              <w:rPr>
                <w:i/>
              </w:rPr>
              <w:t>D</w:t>
            </w:r>
            <w:r>
              <w:t xml:space="preserve"> вычисляют по </w:t>
            </w:r>
            <w:hyperlink w:anchor="P3318">
              <w:r>
                <w:rPr>
                  <w:color w:val="0000FF"/>
                </w:rPr>
                <w:t>формуле (6.33)</w:t>
              </w:r>
            </w:hyperlink>
            <w:r>
              <w:t>.</w:t>
            </w:r>
          </w:p>
          <w:p w:rsidR="00E35632" w:rsidRDefault="00E35632">
            <w:pPr>
              <w:pStyle w:val="ConsPlusNormal"/>
              <w:ind w:firstLine="283"/>
              <w:jc w:val="both"/>
            </w:pPr>
            <w:r>
              <w:t xml:space="preserve">3 Значения </w:t>
            </w:r>
            <w:r>
              <w:rPr>
                <w:noProof/>
                <w:position w:val="-10"/>
              </w:rPr>
              <w:drawing>
                <wp:inline distT="0" distB="0" distL="0" distR="0">
                  <wp:extent cx="219075" cy="267970"/>
                  <wp:effectExtent l="0" t="0" r="0" b="0"/>
                  <wp:docPr id="4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219075" cy="267970"/>
                          </a:xfrm>
                          <a:prstGeom prst="rect">
                            <a:avLst/>
                          </a:prstGeom>
                          <a:noFill/>
                          <a:ln>
                            <a:noFill/>
                          </a:ln>
                        </pic:spPr>
                      </pic:pic>
                    </a:graphicData>
                  </a:graphic>
                </wp:inline>
              </w:drawing>
            </w:r>
            <w:r>
              <w:t xml:space="preserve"> для грунтов, используемых при обратной засыпке котлованов, принимается </w:t>
            </w:r>
            <w:r>
              <w:lastRenderedPageBreak/>
              <w:t xml:space="preserve">по </w:t>
            </w:r>
            <w:hyperlink w:anchor="P3493">
              <w:r>
                <w:rPr>
                  <w:color w:val="0000FF"/>
                </w:rPr>
                <w:t>первой строке таблицы</w:t>
              </w:r>
            </w:hyperlink>
            <w:r>
              <w:t>.</w:t>
            </w:r>
          </w:p>
          <w:p w:rsidR="00E35632" w:rsidRDefault="00E35632">
            <w:pPr>
              <w:pStyle w:val="ConsPlusNormal"/>
              <w:ind w:firstLine="283"/>
              <w:jc w:val="both"/>
            </w:pPr>
            <w:r>
              <w:t xml:space="preserve">4 В зависимости от вида поверхности фундамента приведенные значения </w:t>
            </w:r>
            <w:r>
              <w:rPr>
                <w:noProof/>
                <w:position w:val="-10"/>
              </w:rPr>
              <w:drawing>
                <wp:inline distT="0" distB="0" distL="0" distR="0">
                  <wp:extent cx="219075" cy="267970"/>
                  <wp:effectExtent l="0" t="0" r="0" b="0"/>
                  <wp:docPr id="4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219075" cy="267970"/>
                          </a:xfrm>
                          <a:prstGeom prst="rect">
                            <a:avLst/>
                          </a:prstGeom>
                          <a:noFill/>
                          <a:ln>
                            <a:noFill/>
                          </a:ln>
                        </pic:spPr>
                      </pic:pic>
                    </a:graphicData>
                  </a:graphic>
                </wp:inline>
              </w:drawing>
            </w:r>
            <w:r>
              <w:t xml:space="preserve"> умножают на коэффициент: при гладкой бетонной необработанной - 1; при шероховатой бетонной с выступами и кавернами до 5 мм - 1,1 - 1,2, до 20 мм - 1,25 - 1,5; при деревянной антисептированной - 0,9; при металлической без специальной обработки - 0,8.</w:t>
            </w:r>
          </w:p>
          <w:p w:rsidR="00E35632" w:rsidRDefault="00E35632">
            <w:pPr>
              <w:pStyle w:val="ConsPlusNormal"/>
              <w:ind w:firstLine="283"/>
              <w:jc w:val="both"/>
            </w:pPr>
            <w:r>
              <w:t xml:space="preserve">5 Для сооружений геотехнической категории 1 значения </w:t>
            </w:r>
            <w:r>
              <w:rPr>
                <w:noProof/>
                <w:position w:val="-10"/>
              </w:rPr>
              <w:drawing>
                <wp:inline distT="0" distB="0" distL="0" distR="0">
                  <wp:extent cx="219075" cy="267970"/>
                  <wp:effectExtent l="0" t="0" r="0" b="0"/>
                  <wp:docPr id="4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219075" cy="267970"/>
                          </a:xfrm>
                          <a:prstGeom prst="rect">
                            <a:avLst/>
                          </a:prstGeom>
                          <a:noFill/>
                          <a:ln>
                            <a:noFill/>
                          </a:ln>
                        </pic:spPr>
                      </pic:pic>
                    </a:graphicData>
                  </a:graphic>
                </wp:inline>
              </w:drawing>
            </w:r>
            <w:r>
              <w:t xml:space="preserve"> умножают на коэффициент 0,9.</w:t>
            </w:r>
          </w:p>
        </w:tc>
      </w:tr>
    </w:tbl>
    <w:p w:rsidR="00E35632" w:rsidRDefault="00E35632">
      <w:pPr>
        <w:pStyle w:val="ConsPlusNormal"/>
        <w:jc w:val="both"/>
      </w:pPr>
    </w:p>
    <w:p w:rsidR="00E35632" w:rsidRDefault="00E35632">
      <w:pPr>
        <w:pStyle w:val="ConsPlusNormal"/>
        <w:ind w:firstLine="540"/>
        <w:jc w:val="both"/>
      </w:pPr>
      <w:r>
        <w:t xml:space="preserve">6.8.8 Пучинистые свойства крупнообломочных грунтов и песков, содержащих глинистые фракции, а также супесей при </w:t>
      </w:r>
      <w:r>
        <w:rPr>
          <w:i/>
        </w:rPr>
        <w:t>I</w:t>
      </w:r>
      <w:r>
        <w:rPr>
          <w:i/>
          <w:vertAlign w:val="subscript"/>
        </w:rPr>
        <w:t>p</w:t>
      </w:r>
      <w:r>
        <w:t xml:space="preserve"> &lt; 0,02 определяют через показатель дисперсности </w:t>
      </w:r>
      <w:r>
        <w:rPr>
          <w:i/>
        </w:rPr>
        <w:t>D</w:t>
      </w:r>
      <w:r>
        <w:t xml:space="preserve">. Эти грунты относятся к непучинистым при </w:t>
      </w:r>
      <w:r>
        <w:rPr>
          <w:i/>
        </w:rPr>
        <w:t>D</w:t>
      </w:r>
      <w:r>
        <w:t xml:space="preserve"> &lt; 1, к пучинистым - при </w:t>
      </w:r>
      <w:r>
        <w:rPr>
          <w:i/>
        </w:rPr>
        <w:t>D</w:t>
      </w:r>
      <w:r>
        <w:t xml:space="preserve"> &gt;= 1. Для слабопучинистых грунтов показатель </w:t>
      </w:r>
      <w:r>
        <w:rPr>
          <w:i/>
        </w:rPr>
        <w:t>D</w:t>
      </w:r>
      <w:r>
        <w:t xml:space="preserve"> изменяется в пределах 1 &lt; </w:t>
      </w:r>
      <w:r>
        <w:rPr>
          <w:i/>
        </w:rPr>
        <w:t>D</w:t>
      </w:r>
      <w:r>
        <w:t xml:space="preserve"> &lt; 5. Значение </w:t>
      </w:r>
      <w:r>
        <w:rPr>
          <w:i/>
        </w:rPr>
        <w:t>D</w:t>
      </w:r>
      <w:r>
        <w:t xml:space="preserve"> вычисляют по формуле</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832485" cy="251460"/>
            <wp:effectExtent l="0" t="0" r="0" b="0"/>
            <wp:docPr id="4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832485" cy="251460"/>
                    </a:xfrm>
                    <a:prstGeom prst="rect">
                      <a:avLst/>
                    </a:prstGeom>
                    <a:noFill/>
                    <a:ln>
                      <a:noFill/>
                    </a:ln>
                  </pic:spPr>
                </pic:pic>
              </a:graphicData>
            </a:graphic>
          </wp:inline>
        </w:drawing>
      </w:r>
      <w:r>
        <w:t xml:space="preserve"> (6.36)</w:t>
      </w:r>
    </w:p>
    <w:p w:rsidR="00E35632" w:rsidRDefault="00E35632">
      <w:pPr>
        <w:pStyle w:val="ConsPlusNormal"/>
        <w:jc w:val="both"/>
      </w:pPr>
    </w:p>
    <w:p w:rsidR="00E35632" w:rsidRDefault="00E35632">
      <w:pPr>
        <w:pStyle w:val="ConsPlusNormal"/>
        <w:ind w:firstLine="540"/>
        <w:jc w:val="both"/>
      </w:pPr>
      <w:r>
        <w:t xml:space="preserve">где </w:t>
      </w:r>
      <w:r>
        <w:rPr>
          <w:i/>
        </w:rPr>
        <w:t>k</w:t>
      </w:r>
      <w:r>
        <w:t xml:space="preserve"> - коэффициент, равный 1,85 x 10</w:t>
      </w:r>
      <w:r>
        <w:rPr>
          <w:vertAlign w:val="superscript"/>
        </w:rPr>
        <w:t>-4</w:t>
      </w:r>
      <w:r>
        <w:t xml:space="preserve"> см</w:t>
      </w:r>
      <w:r>
        <w:rPr>
          <w:vertAlign w:val="superscript"/>
        </w:rPr>
        <w:t>3</w:t>
      </w:r>
      <w:r>
        <w:t>;</w:t>
      </w:r>
    </w:p>
    <w:p w:rsidR="00E35632" w:rsidRDefault="00E35632">
      <w:pPr>
        <w:pStyle w:val="ConsPlusNormal"/>
        <w:spacing w:before="220"/>
        <w:ind w:firstLine="540"/>
        <w:jc w:val="both"/>
      </w:pPr>
      <w:r>
        <w:rPr>
          <w:i/>
        </w:rPr>
        <w:t>e</w:t>
      </w:r>
      <w:r>
        <w:t xml:space="preserve"> - коэффициент пористости;</w:t>
      </w:r>
    </w:p>
    <w:p w:rsidR="00E35632" w:rsidRDefault="00E35632">
      <w:pPr>
        <w:pStyle w:val="ConsPlusNormal"/>
        <w:spacing w:before="220"/>
        <w:ind w:firstLine="540"/>
        <w:jc w:val="both"/>
      </w:pPr>
      <w:r>
        <w:rPr>
          <w:noProof/>
          <w:position w:val="-6"/>
        </w:rPr>
        <w:drawing>
          <wp:inline distT="0" distB="0" distL="0" distR="0">
            <wp:extent cx="167640" cy="219075"/>
            <wp:effectExtent l="0" t="0" r="0" b="0"/>
            <wp:docPr id="4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67640" cy="219075"/>
                    </a:xfrm>
                    <a:prstGeom prst="rect">
                      <a:avLst/>
                    </a:prstGeom>
                    <a:noFill/>
                    <a:ln>
                      <a:noFill/>
                    </a:ln>
                  </pic:spPr>
                </pic:pic>
              </a:graphicData>
            </a:graphic>
          </wp:inline>
        </w:drawing>
      </w:r>
      <w:r>
        <w:t xml:space="preserve"> - средний диаметр частиц грунта, см, вычисляемый по формуле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2263140" cy="267970"/>
            <wp:effectExtent l="0" t="0" r="0" b="0"/>
            <wp:docPr id="4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2263140" cy="267970"/>
                    </a:xfrm>
                    <a:prstGeom prst="rect">
                      <a:avLst/>
                    </a:prstGeom>
                    <a:noFill/>
                    <a:ln>
                      <a:noFill/>
                    </a:ln>
                  </pic:spPr>
                </pic:pic>
              </a:graphicData>
            </a:graphic>
          </wp:inline>
        </w:drawing>
      </w:r>
      <w:r>
        <w:t xml:space="preserve"> (6.37)</w:t>
      </w:r>
    </w:p>
    <w:p w:rsidR="00E35632" w:rsidRDefault="00E35632">
      <w:pPr>
        <w:pStyle w:val="ConsPlusNormal"/>
        <w:jc w:val="both"/>
      </w:pPr>
    </w:p>
    <w:p w:rsidR="00E35632" w:rsidRDefault="00E35632">
      <w:pPr>
        <w:pStyle w:val="ConsPlusNormal"/>
        <w:ind w:firstLine="540"/>
        <w:jc w:val="both"/>
      </w:pPr>
      <w:r>
        <w:t xml:space="preserve">где </w:t>
      </w:r>
      <w:r>
        <w:rPr>
          <w:i/>
        </w:rPr>
        <w:t>p</w:t>
      </w:r>
      <w:r>
        <w:rPr>
          <w:vertAlign w:val="subscript"/>
        </w:rPr>
        <w:t>1</w:t>
      </w:r>
      <w:r>
        <w:t xml:space="preserve">, </w:t>
      </w:r>
      <w:r>
        <w:rPr>
          <w:i/>
        </w:rPr>
        <w:t>p</w:t>
      </w:r>
      <w:r>
        <w:rPr>
          <w:vertAlign w:val="subscript"/>
        </w:rPr>
        <w:t>2</w:t>
      </w:r>
      <w:r>
        <w:t xml:space="preserve">, ..., </w:t>
      </w:r>
      <w:r>
        <w:rPr>
          <w:i/>
        </w:rPr>
        <w:t>p</w:t>
      </w:r>
      <w:r>
        <w:rPr>
          <w:i/>
          <w:vertAlign w:val="subscript"/>
        </w:rPr>
        <w:t>i</w:t>
      </w:r>
      <w:r>
        <w:t xml:space="preserve"> - - содержание отдельных фракций грунта, доли единицы;</w:t>
      </w:r>
    </w:p>
    <w:p w:rsidR="00E35632" w:rsidRDefault="00E35632">
      <w:pPr>
        <w:pStyle w:val="ConsPlusNormal"/>
        <w:spacing w:before="220"/>
        <w:ind w:firstLine="540"/>
        <w:jc w:val="both"/>
      </w:pPr>
      <w:r>
        <w:rPr>
          <w:i/>
        </w:rPr>
        <w:t>d</w:t>
      </w:r>
      <w:r>
        <w:rPr>
          <w:vertAlign w:val="subscript"/>
        </w:rPr>
        <w:t>1</w:t>
      </w:r>
      <w:r>
        <w:t xml:space="preserve">, </w:t>
      </w:r>
      <w:r>
        <w:rPr>
          <w:i/>
        </w:rPr>
        <w:t>d</w:t>
      </w:r>
      <w:r>
        <w:rPr>
          <w:vertAlign w:val="subscript"/>
        </w:rPr>
        <w:t>2</w:t>
      </w:r>
      <w:r>
        <w:t xml:space="preserve">, ..., </w:t>
      </w:r>
      <w:r>
        <w:rPr>
          <w:i/>
        </w:rPr>
        <w:t>d</w:t>
      </w:r>
      <w:r>
        <w:rPr>
          <w:i/>
          <w:vertAlign w:val="subscript"/>
        </w:rPr>
        <w:t>i</w:t>
      </w:r>
      <w:r>
        <w:t xml:space="preserve"> - средний диаметр частиц отдельных фракций, см.</w:t>
      </w:r>
    </w:p>
    <w:p w:rsidR="00E35632" w:rsidRDefault="00E35632">
      <w:pPr>
        <w:pStyle w:val="ConsPlusNormal"/>
        <w:spacing w:before="220"/>
        <w:ind w:firstLine="540"/>
        <w:jc w:val="both"/>
      </w:pPr>
      <w:r>
        <w:t xml:space="preserve">6.8.9 Расчетное значение силы </w:t>
      </w:r>
      <w:r>
        <w:rPr>
          <w:i/>
        </w:rPr>
        <w:t>F</w:t>
      </w:r>
      <w:r>
        <w:rPr>
          <w:i/>
          <w:vertAlign w:val="subscript"/>
        </w:rPr>
        <w:t>rf</w:t>
      </w:r>
      <w:r>
        <w:t>, кН, для фундаментов, имеющих вертикальные грани, вычисляют по формуле</w:t>
      </w:r>
    </w:p>
    <w:p w:rsidR="00E35632" w:rsidRDefault="00E35632">
      <w:pPr>
        <w:pStyle w:val="ConsPlusNormal"/>
        <w:jc w:val="both"/>
      </w:pPr>
    </w:p>
    <w:p w:rsidR="00E35632" w:rsidRDefault="00E35632">
      <w:pPr>
        <w:pStyle w:val="ConsPlusNormal"/>
        <w:jc w:val="center"/>
      </w:pPr>
      <w:r>
        <w:rPr>
          <w:noProof/>
          <w:position w:val="-27"/>
        </w:rPr>
        <w:drawing>
          <wp:inline distT="0" distB="0" distL="0" distR="0">
            <wp:extent cx="1047750" cy="483870"/>
            <wp:effectExtent l="0" t="0" r="0" b="0"/>
            <wp:docPr id="4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047750" cy="483870"/>
                    </a:xfrm>
                    <a:prstGeom prst="rect">
                      <a:avLst/>
                    </a:prstGeom>
                    <a:noFill/>
                    <a:ln>
                      <a:noFill/>
                    </a:ln>
                  </pic:spPr>
                </pic:pic>
              </a:graphicData>
            </a:graphic>
          </wp:inline>
        </w:drawing>
      </w:r>
      <w:r>
        <w:t xml:space="preserve"> (6.38)</w:t>
      </w:r>
    </w:p>
    <w:p w:rsidR="00E35632" w:rsidRDefault="00E35632">
      <w:pPr>
        <w:pStyle w:val="ConsPlusNormal"/>
        <w:jc w:val="both"/>
      </w:pPr>
    </w:p>
    <w:p w:rsidR="00E35632" w:rsidRDefault="00E35632">
      <w:pPr>
        <w:pStyle w:val="ConsPlusNormal"/>
        <w:ind w:firstLine="540"/>
        <w:jc w:val="both"/>
      </w:pPr>
      <w:r>
        <w:t xml:space="preserve">где </w:t>
      </w:r>
      <w:r>
        <w:rPr>
          <w:i/>
        </w:rPr>
        <w:t>R</w:t>
      </w:r>
      <w:r>
        <w:rPr>
          <w:i/>
          <w:vertAlign w:val="subscript"/>
        </w:rPr>
        <w:t>fj</w:t>
      </w:r>
      <w:r>
        <w:t xml:space="preserve"> - расчетное сопротивление талых грунтов сдвигу по боковой поверхности фундамента в </w:t>
      </w:r>
      <w:r>
        <w:rPr>
          <w:i/>
        </w:rPr>
        <w:t>j</w:t>
      </w:r>
      <w:r>
        <w:t>-м слое, кПа; допускается применять в соответствии с нормативными документами по проектированию свайных фундаментов;</w:t>
      </w:r>
    </w:p>
    <w:p w:rsidR="00E35632" w:rsidRDefault="00E35632">
      <w:pPr>
        <w:pStyle w:val="ConsPlusNormal"/>
        <w:spacing w:before="220"/>
        <w:ind w:firstLine="540"/>
        <w:jc w:val="both"/>
      </w:pPr>
      <w:r>
        <w:rPr>
          <w:i/>
        </w:rPr>
        <w:t>A</w:t>
      </w:r>
      <w:r>
        <w:rPr>
          <w:i/>
          <w:vertAlign w:val="subscript"/>
        </w:rPr>
        <w:t>fj</w:t>
      </w:r>
      <w:r>
        <w:t xml:space="preserve"> - площадь вертикальной поверхности сдвига в </w:t>
      </w:r>
      <w:r>
        <w:rPr>
          <w:i/>
        </w:rPr>
        <w:t>j</w:t>
      </w:r>
      <w:r>
        <w:t>-м слое грунта ниже расчетной глубины промерзания, м</w:t>
      </w:r>
      <w:r>
        <w:rPr>
          <w:vertAlign w:val="superscript"/>
        </w:rPr>
        <w:t>2</w:t>
      </w:r>
      <w:r>
        <w:t>;</w:t>
      </w:r>
    </w:p>
    <w:p w:rsidR="00E35632" w:rsidRDefault="00E35632">
      <w:pPr>
        <w:pStyle w:val="ConsPlusNormal"/>
        <w:spacing w:before="220"/>
        <w:ind w:firstLine="540"/>
        <w:jc w:val="both"/>
      </w:pPr>
      <w:r>
        <w:rPr>
          <w:i/>
        </w:rPr>
        <w:t>n</w:t>
      </w:r>
      <w:r>
        <w:t xml:space="preserve"> - число слоев грунта.</w:t>
      </w:r>
    </w:p>
    <w:p w:rsidR="00E35632" w:rsidRDefault="00E35632">
      <w:pPr>
        <w:pStyle w:val="ConsPlusNormal"/>
        <w:spacing w:before="220"/>
        <w:ind w:firstLine="540"/>
        <w:jc w:val="both"/>
      </w:pPr>
      <w:r>
        <w:t>6.8.10 При заложении фундаментов выше расчетной глубины промерзания пучинистых грунтов (малозаглубленные фундаменты) необходимо проводить расчет по деформациям морозного пучения грунтов основания с учетом касательных и нормальных сил морозного пучения.</w:t>
      </w:r>
    </w:p>
    <w:p w:rsidR="00E35632" w:rsidRDefault="00E35632">
      <w:pPr>
        <w:pStyle w:val="ConsPlusNormal"/>
        <w:spacing w:before="220"/>
        <w:ind w:firstLine="540"/>
        <w:jc w:val="both"/>
      </w:pPr>
      <w:r>
        <w:t xml:space="preserve">Примечание - Малозаглубленные фундаменты допускается применять для сооружений пониженного уровня ответственности и малоэтажных зданий </w:t>
      </w:r>
      <w:hyperlink w:anchor="P4424">
        <w:r>
          <w:rPr>
            <w:color w:val="0000FF"/>
          </w:rPr>
          <w:t>(раздел 8)</w:t>
        </w:r>
      </w:hyperlink>
      <w:r>
        <w:t xml:space="preserve"> при нормативной глубине промерзания не более 1,7 м.</w:t>
      </w:r>
    </w:p>
    <w:p w:rsidR="00E35632" w:rsidRDefault="00E35632">
      <w:pPr>
        <w:pStyle w:val="ConsPlusNormal"/>
        <w:jc w:val="both"/>
      </w:pPr>
    </w:p>
    <w:p w:rsidR="00E35632" w:rsidRDefault="00E35632">
      <w:pPr>
        <w:pStyle w:val="ConsPlusNormal"/>
        <w:ind w:firstLine="540"/>
        <w:jc w:val="both"/>
      </w:pPr>
      <w:r>
        <w:t xml:space="preserve">6.8.11 Расчетные деформации морозного пучения грунтов основания, определяемые с учетом нагрузки от сооружения, не должны превышать предельных значений, которые допускается </w:t>
      </w:r>
      <w:r>
        <w:lastRenderedPageBreak/>
        <w:t xml:space="preserve">принимать по аналогии с набухающими грунтами </w:t>
      </w:r>
      <w:hyperlink w:anchor="P6874">
        <w:r>
          <w:rPr>
            <w:color w:val="0000FF"/>
          </w:rPr>
          <w:t>(приложение Г)</w:t>
        </w:r>
      </w:hyperlink>
      <w:r>
        <w:t>.</w:t>
      </w:r>
    </w:p>
    <w:p w:rsidR="00E35632" w:rsidRDefault="00E35632">
      <w:pPr>
        <w:pStyle w:val="ConsPlusNormal"/>
        <w:spacing w:before="220"/>
        <w:ind w:firstLine="540"/>
        <w:jc w:val="both"/>
      </w:pPr>
      <w:r>
        <w:t>6.8.12 Если расчетные деформации морозного пучения основания малозаглубленных фундаментов больше предельных или устойчивость фундаментов на действие сил морозного пучения недостаточна, то кроме возможности изменения глубины заложения фундаментов, следует рассмотреть необходимость применения мероприятий, уменьшающих силы и деформации морозного пучения (устройство подсыпки или замены грунта), а также глубину промерзания (водозащитные, теплозащитные или физико-химические, устройство подсыпки или замены грунта).</w:t>
      </w:r>
    </w:p>
    <w:p w:rsidR="00E35632" w:rsidRDefault="00E35632">
      <w:pPr>
        <w:pStyle w:val="ConsPlusNormal"/>
        <w:spacing w:before="220"/>
        <w:ind w:firstLine="540"/>
        <w:jc w:val="both"/>
      </w:pPr>
      <w:r>
        <w:t>Если при применении указанных мероприятий деформации морозного пучения не исключены, следует предусматривать конструктивные мероприятия, назначаемые исходя из расчета фундаментов и конструкций сооружения с учетом возможных деформаций морозного пучения.</w:t>
      </w:r>
    </w:p>
    <w:p w:rsidR="00E35632" w:rsidRDefault="00E35632">
      <w:pPr>
        <w:pStyle w:val="ConsPlusNormal"/>
        <w:spacing w:before="220"/>
        <w:ind w:firstLine="540"/>
        <w:jc w:val="both"/>
      </w:pPr>
      <w:r>
        <w:t>При проектировании оснований и фундаментов следует предусматривать мероприятия, не допускающие увлажнения пучинистых грунтов основания, а также промораживания их в период строительства.</w:t>
      </w:r>
    </w:p>
    <w:p w:rsidR="00E35632" w:rsidRDefault="00E35632">
      <w:pPr>
        <w:pStyle w:val="ConsPlusNormal"/>
        <w:spacing w:before="220"/>
        <w:ind w:firstLine="540"/>
        <w:jc w:val="both"/>
      </w:pPr>
      <w:r>
        <w:t>6.8.13 При незапланированной остановке строительства и при консервации сооружений необходимо до наступления зимнего периода выполнить мероприятия по предотвращению деформаций и разрушений, обусловленных процессами сезонного промерзания-оттаивания пучинистых грунтов основания.</w:t>
      </w:r>
    </w:p>
    <w:p w:rsidR="00E35632" w:rsidRDefault="00E35632">
      <w:pPr>
        <w:pStyle w:val="ConsPlusNormal"/>
        <w:spacing w:before="220"/>
        <w:ind w:firstLine="540"/>
        <w:jc w:val="both"/>
      </w:pPr>
      <w:r>
        <w:t>6.8.14 Во избежание промерзания грунтов под подошвой фундаментов в подвальных и цокольных этажах недостроенных или построенных зданий без обеспечения теплового контура следует организовать временное отопление этих помещений в зимние месяцы или применение теплоизоляции.</w:t>
      </w:r>
    </w:p>
    <w:p w:rsidR="00E35632" w:rsidRDefault="00E35632">
      <w:pPr>
        <w:pStyle w:val="ConsPlusNormal"/>
        <w:spacing w:before="220"/>
        <w:ind w:firstLine="540"/>
        <w:jc w:val="both"/>
      </w:pPr>
      <w:r>
        <w:t>6.8.15 Не допускается укладка фундаментов на промороженный грунт основания без проведения специальных исследований замерзшего грунта. Для предотвращения деформаций и разрушения фундаментов необходимо проводить проверку устойчивости фундаментов на действие касательных и нормальных сил морозного пучения.</w:t>
      </w:r>
    </w:p>
    <w:p w:rsidR="00E35632" w:rsidRDefault="00E35632">
      <w:pPr>
        <w:pStyle w:val="ConsPlusNormal"/>
        <w:spacing w:before="220"/>
        <w:ind w:firstLine="540"/>
        <w:jc w:val="both"/>
      </w:pPr>
      <w:r>
        <w:t>При устройстве фундаментов в зимний период для предохранения грунтов от промерзания следует устраивать временные теплоизоляционные покрытия, параметры которых определяются в соответствии с теплотехническим расчетом.</w:t>
      </w:r>
    </w:p>
    <w:p w:rsidR="00E35632" w:rsidRDefault="00E35632">
      <w:pPr>
        <w:pStyle w:val="ConsPlusTitle"/>
        <w:spacing w:before="220"/>
        <w:ind w:firstLine="540"/>
        <w:jc w:val="both"/>
        <w:outlineLvl w:val="2"/>
      </w:pPr>
      <w:bookmarkStart w:id="191" w:name="P3542"/>
      <w:bookmarkEnd w:id="191"/>
      <w:r>
        <w:t>6.9 Закрепленные грунты</w:t>
      </w:r>
    </w:p>
    <w:p w:rsidR="00E35632" w:rsidRDefault="00E35632">
      <w:pPr>
        <w:pStyle w:val="ConsPlusNormal"/>
        <w:spacing w:before="220"/>
        <w:ind w:firstLine="540"/>
        <w:jc w:val="both"/>
      </w:pPr>
      <w:r>
        <w:t>6.9.1 Закрепление грунтов производят в целях улучшения их физико-механических свойств для существующих и вновь строящихся зданий и сооружений.</w:t>
      </w:r>
    </w:p>
    <w:p w:rsidR="00E35632" w:rsidRDefault="00E35632">
      <w:pPr>
        <w:pStyle w:val="ConsPlusNormal"/>
        <w:spacing w:before="220"/>
        <w:ind w:firstLine="540"/>
        <w:jc w:val="both"/>
      </w:pPr>
      <w:r>
        <w:t xml:space="preserve">Для существующих зданий возможность и способ закрепления грунтов основания следует устанавливать с учетом характера деформаций основания и категории технического состояния сооружений (см. </w:t>
      </w:r>
      <w:hyperlink w:anchor="P7024">
        <w:r>
          <w:rPr>
            <w:color w:val="0000FF"/>
          </w:rPr>
          <w:t>приложение Д</w:t>
        </w:r>
      </w:hyperlink>
      <w:r>
        <w:t>).</w:t>
      </w:r>
    </w:p>
    <w:p w:rsidR="00E35632" w:rsidRDefault="00E35632">
      <w:pPr>
        <w:pStyle w:val="ConsPlusNormal"/>
        <w:spacing w:before="220"/>
        <w:ind w:firstLine="540"/>
        <w:jc w:val="both"/>
      </w:pPr>
      <w:r>
        <w:t>Закрепление грунтов может выполняться отдельными элементами, массивами и сочетаниями элементов и массивов закрепленного грунта различной формы в плане и по глубине.</w:t>
      </w:r>
    </w:p>
    <w:p w:rsidR="00E35632" w:rsidRDefault="00E35632">
      <w:pPr>
        <w:pStyle w:val="ConsPlusNormal"/>
        <w:spacing w:before="220"/>
        <w:ind w:firstLine="540"/>
        <w:jc w:val="both"/>
      </w:pPr>
      <w:r>
        <w:t>Основания из закрепленных грунтов могут быть использованы в качестве искусственных оснований фундаментов, а также временных ограждающих конструкций котлованов, противофильтрационных завес и других заглубленных конструкций.</w:t>
      </w:r>
    </w:p>
    <w:p w:rsidR="00E35632" w:rsidRDefault="00E35632">
      <w:pPr>
        <w:pStyle w:val="ConsPlusNormal"/>
        <w:spacing w:before="220"/>
        <w:ind w:firstLine="540"/>
        <w:jc w:val="both"/>
      </w:pPr>
      <w:r>
        <w:t>6.9.2 Для закрепления грунтов в зависимости от цели закрепления и инженерно-геологических условий применяют следующие способы закрепления:</w:t>
      </w:r>
    </w:p>
    <w:p w:rsidR="00E35632" w:rsidRDefault="00E35632">
      <w:pPr>
        <w:pStyle w:val="ConsPlusNormal"/>
        <w:spacing w:before="220"/>
        <w:ind w:firstLine="540"/>
        <w:jc w:val="both"/>
      </w:pPr>
      <w:r>
        <w:lastRenderedPageBreak/>
        <w:t>инъекционный - путем нагнетания в грунт химических или цементационных растворов с помощью погружаемых инъекторов или через скважины (смолизация, силикатизация, цементация);</w:t>
      </w:r>
    </w:p>
    <w:p w:rsidR="00E35632" w:rsidRDefault="00E35632">
      <w:pPr>
        <w:pStyle w:val="ConsPlusNormal"/>
        <w:spacing w:before="220"/>
        <w:ind w:firstLine="540"/>
        <w:jc w:val="both"/>
      </w:pPr>
      <w:r>
        <w:t>виброинъекционный - путем нагнетания в грунт химических или цементационных растворов через инъекторы при одновременном воздействии на закрепляемый грунт высокочастотной вибрации (смолизация, силикатизация, цементация);</w:t>
      </w:r>
    </w:p>
    <w:p w:rsidR="00E35632" w:rsidRDefault="00E35632">
      <w:pPr>
        <w:pStyle w:val="ConsPlusNormal"/>
        <w:spacing w:before="220"/>
        <w:ind w:firstLine="540"/>
        <w:jc w:val="both"/>
      </w:pPr>
      <w:r>
        <w:t>буросмесительный (глубинное перемешивание) - путем механического измельчения грунта без извлечения его на поверхность и смешивания с цементом и другими вяжущими веществами специальным буровым устройством в процессе погружения или извлечения его с вращением с созданием элементов закрепленного грунта;</w:t>
      </w:r>
    </w:p>
    <w:p w:rsidR="00E35632" w:rsidRDefault="00E35632">
      <w:pPr>
        <w:pStyle w:val="ConsPlusNormal"/>
        <w:spacing w:before="220"/>
        <w:ind w:firstLine="540"/>
        <w:jc w:val="both"/>
      </w:pPr>
      <w:r>
        <w:t>струйный - позволяющий разрушать струей высокого давления грунт в скважине и смешивать его с цементным раствором путем нарушения естественной структуры грунтов с созданием элементов закрепленного грунта, обладающих заданными свойствами или полным замещением грунтов цементным раствором;</w:t>
      </w:r>
    </w:p>
    <w:p w:rsidR="00E35632" w:rsidRDefault="00E35632">
      <w:pPr>
        <w:pStyle w:val="ConsPlusNormal"/>
        <w:spacing w:before="220"/>
        <w:ind w:firstLine="540"/>
        <w:jc w:val="both"/>
      </w:pPr>
      <w:r>
        <w:t>термический - путем спекания грунта в скважине высокотемпературными газами или с помощью электронагрева грунта;</w:t>
      </w:r>
    </w:p>
    <w:p w:rsidR="00E35632" w:rsidRDefault="00E35632">
      <w:pPr>
        <w:pStyle w:val="ConsPlusNormal"/>
        <w:jc w:val="both"/>
      </w:pPr>
      <w:r>
        <w:t xml:space="preserve">(в ред. </w:t>
      </w:r>
      <w:hyperlink r:id="rId672">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электрохимический - способ комбинированного применения электрического тока и химических растворов, вводимых в грунт под давлением при одновременном воздействии постоянного электрического тока. Применяется для закрепления слабых малопроницаемых грунтов, представленных мелкими песками, суглинками и супесями.</w:t>
      </w:r>
    </w:p>
    <w:p w:rsidR="00E35632" w:rsidRDefault="00E35632">
      <w:pPr>
        <w:pStyle w:val="ConsPlusNormal"/>
        <w:jc w:val="both"/>
      </w:pPr>
      <w:r>
        <w:t xml:space="preserve">(перечисление введено </w:t>
      </w:r>
      <w:hyperlink r:id="rId673">
        <w:r>
          <w:rPr>
            <w:color w:val="0000FF"/>
          </w:rPr>
          <w:t>Изменением N 1</w:t>
        </w:r>
      </w:hyperlink>
      <w:r>
        <w:t>, утв. Приказом Минстроя России от 20.11.2018 N 736/пр)</w:t>
      </w:r>
    </w:p>
    <w:p w:rsidR="00E35632" w:rsidRDefault="00E35632">
      <w:pPr>
        <w:pStyle w:val="ConsPlusNormal"/>
        <w:spacing w:before="220"/>
        <w:ind w:firstLine="540"/>
        <w:jc w:val="both"/>
      </w:pPr>
      <w:r>
        <w:t>Способ закрепления, рецептура растворов и технологические параметры должны обеспечивать необходимые расчетные физико-механические характеристики закрепленного грунта и удовлетворять требованиям по охране окружающей среды.</w:t>
      </w:r>
    </w:p>
    <w:p w:rsidR="00E35632" w:rsidRDefault="00E35632">
      <w:pPr>
        <w:pStyle w:val="ConsPlusNormal"/>
        <w:spacing w:before="220"/>
        <w:ind w:firstLine="540"/>
        <w:jc w:val="both"/>
      </w:pPr>
      <w:r>
        <w:t>6.9.3 Инъекционный способ закрепления грунтов при инъекции через скважины и инъекторы следует применять в следующих грунтовых условиях:</w:t>
      </w:r>
    </w:p>
    <w:p w:rsidR="00E35632" w:rsidRDefault="00E35632">
      <w:pPr>
        <w:pStyle w:val="ConsPlusNormal"/>
        <w:spacing w:before="220"/>
        <w:ind w:firstLine="540"/>
        <w:jc w:val="both"/>
      </w:pPr>
      <w:r>
        <w:t>силикатизация и смолизация - в песках с коэффициентом фильтрации от 0,5 до 80 м/сут;</w:t>
      </w:r>
    </w:p>
    <w:p w:rsidR="00E35632" w:rsidRDefault="00E35632">
      <w:pPr>
        <w:pStyle w:val="ConsPlusNormal"/>
        <w:spacing w:before="220"/>
        <w:ind w:firstLine="540"/>
        <w:jc w:val="both"/>
      </w:pPr>
      <w:r>
        <w:t xml:space="preserve">силикатизация - в просадочных грунтах при коэффициенте фильтрации не менее 0,2 м/сут и коэффициенте водонасыщения </w:t>
      </w:r>
      <w:r>
        <w:rPr>
          <w:i/>
        </w:rPr>
        <w:t>S</w:t>
      </w:r>
      <w:r>
        <w:rPr>
          <w:i/>
          <w:vertAlign w:val="subscript"/>
        </w:rPr>
        <w:t>r</w:t>
      </w:r>
      <w:r>
        <w:t xml:space="preserve"> &lt;= 0,7;</w:t>
      </w:r>
    </w:p>
    <w:p w:rsidR="00E35632" w:rsidRDefault="00E35632">
      <w:pPr>
        <w:pStyle w:val="ConsPlusNormal"/>
        <w:spacing w:before="220"/>
        <w:ind w:firstLine="540"/>
        <w:jc w:val="both"/>
      </w:pPr>
      <w:r>
        <w:t>цементация с использованием цемента общестроительного назначения с удельной поверхностью частиц не более 4·10</w:t>
      </w:r>
      <w:r>
        <w:rPr>
          <w:vertAlign w:val="superscript"/>
        </w:rPr>
        <w:t>3</w:t>
      </w:r>
      <w:r>
        <w:t xml:space="preserve"> см</w:t>
      </w:r>
      <w:r>
        <w:rPr>
          <w:vertAlign w:val="superscript"/>
        </w:rPr>
        <w:t>2</w:t>
      </w:r>
      <w:r>
        <w:t>/г - в трещиноватых скальных грунтах с удельным водопоглощением не менее 0,01 л/(мин·м</w:t>
      </w:r>
      <w:r>
        <w:rPr>
          <w:vertAlign w:val="superscript"/>
        </w:rPr>
        <w:t>2</w:t>
      </w:r>
      <w:r>
        <w:t>), в крупнообломочных грунтах и гравелистых песках при коэффициенте фильтрации не менее 80 м/сут, а также для заполнения карстовых полостей и закрепления закарстованных пород;</w:t>
      </w:r>
    </w:p>
    <w:p w:rsidR="00E35632" w:rsidRDefault="00E35632">
      <w:pPr>
        <w:pStyle w:val="ConsPlusNormal"/>
        <w:jc w:val="both"/>
      </w:pPr>
      <w:r>
        <w:t xml:space="preserve">(в ред. </w:t>
      </w:r>
      <w:hyperlink r:id="rId674">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цементация особо тонкодисперсным вяжущим (ОТДВ), то есть цементом с высокодисперсным гранулометрическим составом, с удельной поверхностью частиц более 1 x 10</w:t>
      </w:r>
      <w:r>
        <w:rPr>
          <w:vertAlign w:val="superscript"/>
        </w:rPr>
        <w:t>4</w:t>
      </w:r>
      <w:r>
        <w:t xml:space="preserve"> см</w:t>
      </w:r>
      <w:r>
        <w:rPr>
          <w:vertAlign w:val="superscript"/>
        </w:rPr>
        <w:t>2</w:t>
      </w:r>
      <w:r>
        <w:t>/г - в песках с коэффициентом фильтрации от 1 до 80 м/сут;</w:t>
      </w:r>
    </w:p>
    <w:p w:rsidR="00E35632" w:rsidRDefault="00E35632">
      <w:pPr>
        <w:pStyle w:val="ConsPlusNormal"/>
        <w:jc w:val="both"/>
      </w:pPr>
      <w:r>
        <w:t xml:space="preserve">(в ред. </w:t>
      </w:r>
      <w:hyperlink r:id="rId675">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инъекция расширяющихся растворов в дисперсные грунты для уплотнения в целях улучшения их прочностных и деформационных характеристик, а также подъема и рихтовки фундаментов.</w:t>
      </w:r>
    </w:p>
    <w:p w:rsidR="00E35632" w:rsidRDefault="00E35632">
      <w:pPr>
        <w:pStyle w:val="ConsPlusNormal"/>
        <w:jc w:val="both"/>
      </w:pPr>
      <w:r>
        <w:t xml:space="preserve">(перечисление введено </w:t>
      </w:r>
      <w:hyperlink r:id="rId676">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lastRenderedPageBreak/>
        <w:t>6.9.4 Виброинъекционный способ (силикатизация, смолизация, цементация) применяется в песках с коэффициентом фильтрации от 0,1 до 80 м/сут.</w:t>
      </w:r>
    </w:p>
    <w:p w:rsidR="00E35632" w:rsidRDefault="00E35632">
      <w:pPr>
        <w:pStyle w:val="ConsPlusNormal"/>
        <w:spacing w:before="220"/>
        <w:ind w:firstLine="540"/>
        <w:jc w:val="both"/>
      </w:pPr>
      <w:r>
        <w:t>6.9.5 Буросмесительный способ допускается применять в любых грунтах (глинистых, песчаных, лессовых, илах), за исключением торфов и сапропелей. Возможность применения глубинного способа укрепления заторфованных грунтов с повышенным (более 10%) содержанием органических примесей устанавливается лабораторными исследованиями коррозионной стойкости грунтоцемента. Возможность применения метода в условиях высокой агрессивности грунтовых вод должна быть подтверждена исследованиями в лабораторных условиях с применением специальных устойчивых к агрессии вяжущих.</w:t>
      </w:r>
    </w:p>
    <w:p w:rsidR="00E35632" w:rsidRDefault="00E35632">
      <w:pPr>
        <w:pStyle w:val="ConsPlusNormal"/>
        <w:spacing w:before="220"/>
        <w:ind w:firstLine="540"/>
        <w:jc w:val="both"/>
      </w:pPr>
      <w:r>
        <w:t xml:space="preserve">6.9.6 Струйный способ применяется для закрепления песчаных, супесчаных, суглинистых и глинистых грунтов, способных под воздействием энергии струи диспергироваться с разрушением структуры и смешиваться с цементным раствором. Требования к проектированию грунтоцементных конструкций, выполняемых в грунте по методу струйной цементации, приведены в </w:t>
      </w:r>
      <w:hyperlink r:id="rId677">
        <w:r>
          <w:rPr>
            <w:color w:val="0000FF"/>
          </w:rPr>
          <w:t>СП 291.1325800</w:t>
        </w:r>
      </w:hyperlink>
      <w:r>
        <w:t>.</w:t>
      </w:r>
    </w:p>
    <w:p w:rsidR="00E35632" w:rsidRDefault="00E35632">
      <w:pPr>
        <w:pStyle w:val="ConsPlusNormal"/>
        <w:jc w:val="both"/>
      </w:pPr>
      <w:r>
        <w:t xml:space="preserve">(в ред. </w:t>
      </w:r>
      <w:hyperlink r:id="rId678">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xml:space="preserve">6.9.7 Термический способ следует применять для закрепления лессовых просадочных грунтов с коэффициентом водонасыщения </w:t>
      </w:r>
      <w:r>
        <w:rPr>
          <w:i/>
        </w:rPr>
        <w:t>S</w:t>
      </w:r>
      <w:r>
        <w:rPr>
          <w:i/>
          <w:vertAlign w:val="subscript"/>
        </w:rPr>
        <w:t>r</w:t>
      </w:r>
      <w:r>
        <w:t xml:space="preserve"> &lt;= 0,5.</w:t>
      </w:r>
    </w:p>
    <w:p w:rsidR="00E35632" w:rsidRDefault="00E35632">
      <w:pPr>
        <w:pStyle w:val="ConsPlusNormal"/>
        <w:spacing w:before="220"/>
        <w:ind w:firstLine="540"/>
        <w:jc w:val="both"/>
      </w:pPr>
      <w:r>
        <w:t>6.9.8 Для химического закрепления используют в качестве крепителей водные растворы силиката натрия, акрилаты, лигниты, уретаны карбамидных и других синтетических смол, в качестве отвердителей - неорганические или органические кислоты и соли, а также газы. Для регулирования процессов гелеобразования или предварительной обработки закрепленного грунта применяют рецептурные добавки.</w:t>
      </w:r>
    </w:p>
    <w:p w:rsidR="00E35632" w:rsidRDefault="00E35632">
      <w:pPr>
        <w:pStyle w:val="ConsPlusNormal"/>
        <w:spacing w:before="220"/>
        <w:ind w:firstLine="540"/>
        <w:jc w:val="both"/>
      </w:pPr>
      <w:r>
        <w:t>6.9.9 Рецептуры растворов для цементации грунтов способами инъекции, буросмесительными и по струйной технологии и физико-механические характеристики закрепленных грунтов следует уточнять по результатам закрепления в лабораторных и полевых условиях. Допускается определение вида и расхода вяжущего на основании имеющихся данных для аналогичных грунтовых условий.</w:t>
      </w:r>
    </w:p>
    <w:p w:rsidR="00E35632" w:rsidRDefault="00E35632">
      <w:pPr>
        <w:pStyle w:val="ConsPlusNormal"/>
        <w:spacing w:before="220"/>
        <w:ind w:firstLine="540"/>
        <w:jc w:val="both"/>
      </w:pPr>
      <w:r>
        <w:t xml:space="preserve">6.9.10 Изыскания при проектировании оснований из закрепленных грунтов способом инъекции должны выполняться по специально разработанной дополнительной программе изысканий. Материалы инженерно-геологических изысканий и лабораторных исследований помимо характеристик, указанных в </w:t>
      </w:r>
      <w:hyperlink w:anchor="P464">
        <w:r>
          <w:rPr>
            <w:color w:val="0000FF"/>
          </w:rPr>
          <w:t>5.1.16</w:t>
        </w:r>
      </w:hyperlink>
      <w:r>
        <w:t>, должны содержать данные о коэффициенте фильтрации грунта, химическом составе водных вытяжек грунтовых вод. В программу должны быть включены дополнительные требования по проведению в рамках лабораторных изысканий и, при необходимости (определяется на этапе проектирования в зависимости от уровня ответственности объекта или объектов окружающей застройки), полевых опытных работ по подбору параметров закрепления грунтов.</w:t>
      </w:r>
    </w:p>
    <w:p w:rsidR="00E35632" w:rsidRDefault="00E35632">
      <w:pPr>
        <w:pStyle w:val="ConsPlusNormal"/>
        <w:jc w:val="both"/>
      </w:pPr>
      <w:r>
        <w:t xml:space="preserve">(в ред. </w:t>
      </w:r>
      <w:hyperlink r:id="rId679">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 xml:space="preserve">6.9.11 Рекомендуется назначать следующие характеристики закрепленного грунта: нормативное сопротивление одноосному сжатию - </w:t>
      </w:r>
      <w:r>
        <w:rPr>
          <w:i/>
        </w:rPr>
        <w:t>R</w:t>
      </w:r>
      <w:r>
        <w:rPr>
          <w:i/>
          <w:vertAlign w:val="subscript"/>
        </w:rPr>
        <w:t>stb</w:t>
      </w:r>
      <w:r>
        <w:t xml:space="preserve">, угол внутреннего трения - </w:t>
      </w:r>
      <w:r>
        <w:rPr>
          <w:i/>
        </w:rPr>
        <w:t>c</w:t>
      </w:r>
      <w:r>
        <w:rPr>
          <w:i/>
          <w:vertAlign w:val="subscript"/>
        </w:rPr>
        <w:t>stb</w:t>
      </w:r>
      <w:r>
        <w:t xml:space="preserve">, удельное сцепление - </w:t>
      </w:r>
      <w:r>
        <w:rPr>
          <w:noProof/>
          <w:position w:val="-8"/>
        </w:rPr>
        <w:drawing>
          <wp:inline distT="0" distB="0" distL="0" distR="0">
            <wp:extent cx="267970" cy="251460"/>
            <wp:effectExtent l="0" t="0" r="0" b="0"/>
            <wp:docPr id="4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267970" cy="251460"/>
                    </a:xfrm>
                    <a:prstGeom prst="rect">
                      <a:avLst/>
                    </a:prstGeom>
                    <a:noFill/>
                    <a:ln>
                      <a:noFill/>
                    </a:ln>
                  </pic:spPr>
                </pic:pic>
              </a:graphicData>
            </a:graphic>
          </wp:inline>
        </w:drawing>
      </w:r>
      <w:r>
        <w:t xml:space="preserve">, модуль деформации - </w:t>
      </w:r>
      <w:r>
        <w:rPr>
          <w:i/>
        </w:rPr>
        <w:t>E</w:t>
      </w:r>
      <w:r>
        <w:rPr>
          <w:i/>
          <w:vertAlign w:val="subscript"/>
        </w:rPr>
        <w:t>stb</w:t>
      </w:r>
      <w:r>
        <w:t>.</w:t>
      </w:r>
    </w:p>
    <w:p w:rsidR="00E35632" w:rsidRDefault="00E35632">
      <w:pPr>
        <w:pStyle w:val="ConsPlusNormal"/>
        <w:spacing w:before="220"/>
        <w:ind w:firstLine="540"/>
        <w:jc w:val="both"/>
      </w:pPr>
      <w:r>
        <w:t>6.9.12 Принятые при проектировании значения расчетных характеристик закрепленного грунта должны быть подтверждены результатами опытно-производственных и контрольных работ, выполняемых на всем протяжении закрепления. Объемы опытно-производственных и контрольных работ назначаются при проектировании и должны обеспечивать возможность достоверной оценки закрепления.</w:t>
      </w:r>
    </w:p>
    <w:p w:rsidR="00E35632" w:rsidRDefault="00E35632">
      <w:pPr>
        <w:pStyle w:val="ConsPlusNormal"/>
        <w:spacing w:before="220"/>
        <w:ind w:firstLine="540"/>
        <w:jc w:val="both"/>
      </w:pPr>
      <w:r>
        <w:t xml:space="preserve">6.9.13 Расчет искусственных оснований из закрепленного грунта должен выполняться по 1-й и 2-й группе предельных состояний для сооружений геотехнических категорий 2 и 3 в обязательном </w:t>
      </w:r>
      <w:r>
        <w:lastRenderedPageBreak/>
        <w:t xml:space="preserve">порядке. Для сооружений геотехнической категории 1 выполнение расчета по 1-й группе предельных состояний определяется требованиями, изложенными в </w:t>
      </w:r>
      <w:hyperlink w:anchor="P375">
        <w:r>
          <w:rPr>
            <w:color w:val="0000FF"/>
          </w:rPr>
          <w:t>разделе 5</w:t>
        </w:r>
      </w:hyperlink>
      <w:r>
        <w:t>.</w:t>
      </w:r>
    </w:p>
    <w:p w:rsidR="00E35632" w:rsidRDefault="00E35632">
      <w:pPr>
        <w:pStyle w:val="ConsPlusNormal"/>
        <w:spacing w:before="220"/>
        <w:ind w:firstLine="540"/>
        <w:jc w:val="both"/>
      </w:pPr>
      <w:r>
        <w:t>Численное моделирование элементов закрепленных грунтов, выполненных, в частности, буросмесительным и струйным способами, рекомендуется выполнять с использованием расчетных моделей, в основе которых заложены критерии прочности Мора-Кулона или Хока-Брауна.</w:t>
      </w:r>
    </w:p>
    <w:p w:rsidR="00E35632" w:rsidRDefault="00E35632">
      <w:pPr>
        <w:pStyle w:val="ConsPlusNormal"/>
        <w:jc w:val="both"/>
      </w:pPr>
      <w:r>
        <w:t xml:space="preserve">(абзац введен </w:t>
      </w:r>
      <w:hyperlink r:id="rId681">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t>6.9.14 При проектировании искусственных оснований из элементов закрепленного грунта для зданий и сооружений геотехнических категорий 2 и 3 следует предусматривать полевые испытания статической нагрузкой как отдельных элементов, так и закрепленного массива.</w:t>
      </w:r>
    </w:p>
    <w:p w:rsidR="00E35632" w:rsidRDefault="00E35632">
      <w:pPr>
        <w:pStyle w:val="ConsPlusNormal"/>
        <w:spacing w:before="220"/>
        <w:ind w:firstLine="540"/>
        <w:jc w:val="both"/>
      </w:pPr>
      <w:r>
        <w:t>Размеры штампов следует определять размерами элементов.</w:t>
      </w:r>
    </w:p>
    <w:p w:rsidR="00E35632" w:rsidRDefault="00E35632">
      <w:pPr>
        <w:pStyle w:val="ConsPlusNormal"/>
        <w:spacing w:before="220"/>
        <w:ind w:firstLine="540"/>
        <w:jc w:val="both"/>
      </w:pPr>
      <w:r>
        <w:t>6.9.15 Проектом закрепления грунтов должны быть предусмотрены опытно-производственные работы по закреплению. При геотехнической категории 1 опытно-производственные работы допускается не предусматривать. На этапе проектирования назначаются расчетные технологические параметры. Рабочие технологические параметры уточняются по результатам опытно-производственных работ.</w:t>
      </w:r>
    </w:p>
    <w:p w:rsidR="00E35632" w:rsidRDefault="00E35632">
      <w:pPr>
        <w:pStyle w:val="ConsPlusNormal"/>
        <w:jc w:val="both"/>
      </w:pPr>
      <w:r>
        <w:t xml:space="preserve">(п. 6.9.15 в ред. </w:t>
      </w:r>
      <w:hyperlink r:id="rId682">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 xml:space="preserve">6.9.16 До получения результатов опытных работ допускается назначать значения характеристик по </w:t>
      </w:r>
      <w:hyperlink w:anchor="P3597">
        <w:r>
          <w:rPr>
            <w:color w:val="0000FF"/>
          </w:rPr>
          <w:t>таблице 6.13</w:t>
        </w:r>
      </w:hyperlink>
      <w:r>
        <w:t>.</w:t>
      </w:r>
    </w:p>
    <w:p w:rsidR="00E35632" w:rsidRDefault="00E35632">
      <w:pPr>
        <w:pStyle w:val="ConsPlusNormal"/>
        <w:spacing w:before="220"/>
        <w:ind w:firstLine="540"/>
        <w:jc w:val="both"/>
      </w:pPr>
      <w:r>
        <w:t>При проектировании для элемента закрепленного грунта рекомендуется принимать следующие характеристики:</w:t>
      </w:r>
    </w:p>
    <w:p w:rsidR="00E35632" w:rsidRDefault="00E35632">
      <w:pPr>
        <w:pStyle w:val="ConsPlusNormal"/>
        <w:spacing w:before="220"/>
        <w:ind w:firstLine="540"/>
        <w:jc w:val="both"/>
      </w:pPr>
      <w:r>
        <w:t>Для инъекционных способов закрепления:</w:t>
      </w:r>
    </w:p>
    <w:p w:rsidR="00E35632" w:rsidRDefault="00E35632">
      <w:pPr>
        <w:pStyle w:val="ConsPlusNormal"/>
        <w:spacing w:before="220"/>
        <w:ind w:firstLine="540"/>
        <w:jc w:val="both"/>
      </w:pPr>
      <w:r>
        <w:t>расчетный радиус - расстояние от оси скважины/инъектора до границы закрепления, за пределами которой сопротивление сжатию равно "0". Назначается при проектировании в зависимости от вида и свойств раствора, фильтрационных характеристик грунта и подтверждается по результатам опытных работ;</w:t>
      </w:r>
    </w:p>
    <w:p w:rsidR="00E35632" w:rsidRDefault="00E35632">
      <w:pPr>
        <w:pStyle w:val="ConsPlusNormal"/>
        <w:spacing w:before="220"/>
        <w:ind w:firstLine="540"/>
        <w:jc w:val="both"/>
      </w:pPr>
      <w:r>
        <w:t>расчетная глубина - расстояние от нижней до верхней границы закрепления в пределах сечения с расчетным радиусом, за пределами которой сопротивление сжатию равно "0".</w:t>
      </w:r>
    </w:p>
    <w:p w:rsidR="00E35632" w:rsidRDefault="00E35632">
      <w:pPr>
        <w:pStyle w:val="ConsPlusNormal"/>
        <w:spacing w:before="220"/>
        <w:ind w:firstLine="540"/>
        <w:jc w:val="both"/>
      </w:pPr>
      <w:r>
        <w:t>Для буросмесительного способа закрепления - расчетная глубина и расчетный радиус - расстояние от оси скважины до границы закрепления, за пределами которой сопротивление сжатию равно "0". Назначается при проектировании и определяется размером бурового инструмента.</w:t>
      </w:r>
    </w:p>
    <w:p w:rsidR="00E35632" w:rsidRDefault="00E35632">
      <w:pPr>
        <w:pStyle w:val="ConsPlusNormal"/>
        <w:spacing w:before="220"/>
        <w:ind w:firstLine="540"/>
        <w:jc w:val="both"/>
      </w:pPr>
      <w:r>
        <w:t>6.9.17 Расчетное сопротивление сжатию (</w:t>
      </w:r>
      <w:r>
        <w:rPr>
          <w:i/>
        </w:rPr>
        <w:t>R</w:t>
      </w:r>
      <w:r>
        <w:rPr>
          <w:i/>
          <w:vertAlign w:val="subscript"/>
        </w:rPr>
        <w:t>r</w:t>
      </w:r>
      <w:r>
        <w:t>), закрепленного всеми способами грунта по результатам испытаний образцов, следует вычислять по формуле</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935990" cy="251460"/>
            <wp:effectExtent l="0" t="0" r="0" b="0"/>
            <wp:docPr id="4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935990" cy="251460"/>
                    </a:xfrm>
                    <a:prstGeom prst="rect">
                      <a:avLst/>
                    </a:prstGeom>
                    <a:noFill/>
                    <a:ln>
                      <a:noFill/>
                    </a:ln>
                  </pic:spPr>
                </pic:pic>
              </a:graphicData>
            </a:graphic>
          </wp:inline>
        </w:drawing>
      </w:r>
      <w:r>
        <w:t xml:space="preserve"> (6.39)</w:t>
      </w:r>
    </w:p>
    <w:p w:rsidR="00E35632" w:rsidRDefault="00E35632">
      <w:pPr>
        <w:pStyle w:val="ConsPlusNormal"/>
        <w:jc w:val="both"/>
      </w:pPr>
    </w:p>
    <w:p w:rsidR="00E35632" w:rsidRDefault="00E35632">
      <w:pPr>
        <w:pStyle w:val="ConsPlusNormal"/>
        <w:ind w:firstLine="540"/>
        <w:jc w:val="both"/>
      </w:pPr>
      <w:r>
        <w:t xml:space="preserve">где </w:t>
      </w:r>
      <w:r>
        <w:rPr>
          <w:i/>
        </w:rPr>
        <w:t>R</w:t>
      </w:r>
      <w:r>
        <w:rPr>
          <w:i/>
          <w:vertAlign w:val="subscript"/>
        </w:rPr>
        <w:t>stb</w:t>
      </w:r>
      <w:r>
        <w:t xml:space="preserve"> - нормативное сопротивление закрепленного грунта сжатию, МПа;</w:t>
      </w:r>
    </w:p>
    <w:p w:rsidR="00E35632" w:rsidRDefault="00E35632">
      <w:pPr>
        <w:pStyle w:val="ConsPlusNormal"/>
        <w:spacing w:before="220"/>
        <w:ind w:firstLine="540"/>
        <w:jc w:val="both"/>
      </w:pPr>
      <w:r>
        <w:rPr>
          <w:noProof/>
          <w:position w:val="-8"/>
        </w:rPr>
        <w:drawing>
          <wp:inline distT="0" distB="0" distL="0" distR="0">
            <wp:extent cx="219075" cy="251460"/>
            <wp:effectExtent l="0" t="0" r="0" b="0"/>
            <wp:docPr id="4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 коэффициент надежности по материалу, принимаемый по результатам опытных работ в зависимости от коэффициента вариации по методике контроля прочности бетона.</w:t>
      </w:r>
    </w:p>
    <w:p w:rsidR="00E35632" w:rsidRDefault="00E35632">
      <w:pPr>
        <w:pStyle w:val="ConsPlusNormal"/>
        <w:jc w:val="both"/>
      </w:pPr>
    </w:p>
    <w:p w:rsidR="00E35632" w:rsidRDefault="00E35632">
      <w:pPr>
        <w:pStyle w:val="ConsPlusNormal"/>
        <w:jc w:val="right"/>
      </w:pPr>
      <w:bookmarkStart w:id="192" w:name="P3597"/>
      <w:bookmarkEnd w:id="192"/>
      <w:r>
        <w:t>Таблица 6.13</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523"/>
        <w:gridCol w:w="857"/>
        <w:gridCol w:w="1560"/>
        <w:gridCol w:w="1397"/>
        <w:gridCol w:w="1723"/>
      </w:tblGrid>
      <w:tr w:rsidR="00E35632">
        <w:tc>
          <w:tcPr>
            <w:tcW w:w="9060" w:type="dxa"/>
            <w:gridSpan w:val="5"/>
            <w:vAlign w:val="center"/>
          </w:tcPr>
          <w:p w:rsidR="00E35632" w:rsidRDefault="00E35632">
            <w:pPr>
              <w:pStyle w:val="ConsPlusNormal"/>
              <w:jc w:val="center"/>
            </w:pPr>
            <w:r>
              <w:lastRenderedPageBreak/>
              <w:t>Параметры песчаных и лессовых грунтов, закрепленных</w:t>
            </w:r>
          </w:p>
          <w:p w:rsidR="00E35632" w:rsidRDefault="00E35632">
            <w:pPr>
              <w:pStyle w:val="ConsPlusNormal"/>
              <w:jc w:val="center"/>
            </w:pPr>
            <w:r>
              <w:t>инъекцией химических и цементных растворов</w:t>
            </w:r>
          </w:p>
        </w:tc>
      </w:tr>
      <w:tr w:rsidR="00E35632">
        <w:tc>
          <w:tcPr>
            <w:tcW w:w="3523" w:type="dxa"/>
            <w:vAlign w:val="center"/>
          </w:tcPr>
          <w:p w:rsidR="00E35632" w:rsidRDefault="00E35632">
            <w:pPr>
              <w:pStyle w:val="ConsPlusNormal"/>
              <w:jc w:val="center"/>
            </w:pPr>
            <w:r>
              <w:t>Способ закрепления</w:t>
            </w:r>
          </w:p>
        </w:tc>
        <w:tc>
          <w:tcPr>
            <w:tcW w:w="857" w:type="dxa"/>
            <w:vAlign w:val="center"/>
          </w:tcPr>
          <w:p w:rsidR="00E35632" w:rsidRDefault="00E35632">
            <w:pPr>
              <w:pStyle w:val="ConsPlusNormal"/>
              <w:jc w:val="center"/>
            </w:pPr>
            <w:r>
              <w:t>Грунт</w:t>
            </w:r>
          </w:p>
        </w:tc>
        <w:tc>
          <w:tcPr>
            <w:tcW w:w="1560" w:type="dxa"/>
            <w:vAlign w:val="center"/>
          </w:tcPr>
          <w:p w:rsidR="00E35632" w:rsidRDefault="00E35632">
            <w:pPr>
              <w:pStyle w:val="ConsPlusNormal"/>
              <w:jc w:val="center"/>
            </w:pPr>
            <w:r>
              <w:t>Коэффициент фильтрации, м/сут</w:t>
            </w:r>
          </w:p>
        </w:tc>
        <w:tc>
          <w:tcPr>
            <w:tcW w:w="1397" w:type="dxa"/>
            <w:vAlign w:val="center"/>
          </w:tcPr>
          <w:p w:rsidR="00E35632" w:rsidRDefault="00E35632">
            <w:pPr>
              <w:pStyle w:val="ConsPlusNormal"/>
              <w:jc w:val="center"/>
            </w:pPr>
            <w:r>
              <w:t>Радиус закрепления грунта, м</w:t>
            </w:r>
          </w:p>
        </w:tc>
        <w:tc>
          <w:tcPr>
            <w:tcW w:w="1723" w:type="dxa"/>
            <w:vAlign w:val="center"/>
          </w:tcPr>
          <w:p w:rsidR="00E35632" w:rsidRDefault="00E35632">
            <w:pPr>
              <w:pStyle w:val="ConsPlusNormal"/>
              <w:jc w:val="center"/>
            </w:pPr>
            <w:r>
              <w:t xml:space="preserve">Нормативное сопротивление сжатию </w:t>
            </w:r>
            <w:r>
              <w:rPr>
                <w:i/>
              </w:rPr>
              <w:t>R</w:t>
            </w:r>
            <w:r>
              <w:t>, МПа</w:t>
            </w:r>
          </w:p>
        </w:tc>
      </w:tr>
      <w:tr w:rsidR="00E35632">
        <w:tc>
          <w:tcPr>
            <w:tcW w:w="3523" w:type="dxa"/>
            <w:vMerge w:val="restart"/>
          </w:tcPr>
          <w:p w:rsidR="00E35632" w:rsidRDefault="00E35632">
            <w:pPr>
              <w:pStyle w:val="ConsPlusNormal"/>
            </w:pPr>
            <w:r>
              <w:t>Силикатизация двухрастворная на основе силиката натрия и хлористого кальция</w:t>
            </w:r>
          </w:p>
        </w:tc>
        <w:tc>
          <w:tcPr>
            <w:tcW w:w="857" w:type="dxa"/>
            <w:vMerge w:val="restart"/>
            <w:vAlign w:val="center"/>
          </w:tcPr>
          <w:p w:rsidR="00E35632" w:rsidRDefault="00E35632">
            <w:pPr>
              <w:pStyle w:val="ConsPlusNormal"/>
              <w:jc w:val="center"/>
            </w:pPr>
            <w:r>
              <w:t>Песок</w:t>
            </w:r>
          </w:p>
        </w:tc>
        <w:tc>
          <w:tcPr>
            <w:tcW w:w="1560" w:type="dxa"/>
            <w:tcBorders>
              <w:bottom w:val="nil"/>
            </w:tcBorders>
            <w:vAlign w:val="center"/>
          </w:tcPr>
          <w:p w:rsidR="00E35632" w:rsidRDefault="00E35632">
            <w:pPr>
              <w:pStyle w:val="ConsPlusNormal"/>
              <w:jc w:val="center"/>
            </w:pPr>
            <w:r>
              <w:t>10 - 20</w:t>
            </w:r>
          </w:p>
        </w:tc>
        <w:tc>
          <w:tcPr>
            <w:tcW w:w="1397" w:type="dxa"/>
            <w:tcBorders>
              <w:bottom w:val="nil"/>
            </w:tcBorders>
            <w:vAlign w:val="center"/>
          </w:tcPr>
          <w:p w:rsidR="00E35632" w:rsidRDefault="00E35632">
            <w:pPr>
              <w:pStyle w:val="ConsPlusNormal"/>
              <w:jc w:val="center"/>
            </w:pPr>
            <w:r>
              <w:t>0,2 - 0,3</w:t>
            </w:r>
          </w:p>
        </w:tc>
        <w:tc>
          <w:tcPr>
            <w:tcW w:w="1723" w:type="dxa"/>
            <w:tcBorders>
              <w:bottom w:val="nil"/>
            </w:tcBorders>
            <w:vAlign w:val="center"/>
          </w:tcPr>
          <w:p w:rsidR="00E35632" w:rsidRDefault="00E35632">
            <w:pPr>
              <w:pStyle w:val="ConsPlusNormal"/>
              <w:jc w:val="center"/>
            </w:pPr>
            <w:r>
              <w:t>1 - 1,5</w:t>
            </w:r>
          </w:p>
        </w:tc>
      </w:tr>
      <w:tr w:rsidR="00E35632">
        <w:tblPrEx>
          <w:tblBorders>
            <w:insideH w:val="nil"/>
          </w:tblBorders>
        </w:tblPrEx>
        <w:tc>
          <w:tcPr>
            <w:tcW w:w="3523" w:type="dxa"/>
            <w:vMerge/>
          </w:tcPr>
          <w:p w:rsidR="00E35632" w:rsidRDefault="00E35632">
            <w:pPr>
              <w:pStyle w:val="ConsPlusNormal"/>
            </w:pPr>
          </w:p>
        </w:tc>
        <w:tc>
          <w:tcPr>
            <w:tcW w:w="857" w:type="dxa"/>
            <w:vMerge/>
          </w:tcPr>
          <w:p w:rsidR="00E35632" w:rsidRDefault="00E35632">
            <w:pPr>
              <w:pStyle w:val="ConsPlusNormal"/>
            </w:pPr>
          </w:p>
        </w:tc>
        <w:tc>
          <w:tcPr>
            <w:tcW w:w="1560" w:type="dxa"/>
            <w:tcBorders>
              <w:top w:val="nil"/>
              <w:bottom w:val="nil"/>
            </w:tcBorders>
            <w:vAlign w:val="center"/>
          </w:tcPr>
          <w:p w:rsidR="00E35632" w:rsidRDefault="00E35632">
            <w:pPr>
              <w:pStyle w:val="ConsPlusNormal"/>
              <w:jc w:val="center"/>
            </w:pPr>
            <w:r>
              <w:t>20 - 50</w:t>
            </w:r>
          </w:p>
        </w:tc>
        <w:tc>
          <w:tcPr>
            <w:tcW w:w="1397" w:type="dxa"/>
            <w:tcBorders>
              <w:top w:val="nil"/>
              <w:bottom w:val="nil"/>
            </w:tcBorders>
            <w:vAlign w:val="center"/>
          </w:tcPr>
          <w:p w:rsidR="00E35632" w:rsidRDefault="00E35632">
            <w:pPr>
              <w:pStyle w:val="ConsPlusNormal"/>
              <w:jc w:val="center"/>
            </w:pPr>
            <w:r>
              <w:t>0,3 - 0,6</w:t>
            </w:r>
          </w:p>
        </w:tc>
        <w:tc>
          <w:tcPr>
            <w:tcW w:w="1723" w:type="dxa"/>
            <w:tcBorders>
              <w:top w:val="nil"/>
              <w:bottom w:val="nil"/>
            </w:tcBorders>
            <w:vAlign w:val="center"/>
          </w:tcPr>
          <w:p w:rsidR="00E35632" w:rsidRDefault="00E35632">
            <w:pPr>
              <w:pStyle w:val="ConsPlusNormal"/>
              <w:jc w:val="center"/>
            </w:pPr>
            <w:r>
              <w:t>1,5 - 2,5</w:t>
            </w:r>
          </w:p>
        </w:tc>
      </w:tr>
      <w:tr w:rsidR="00E35632">
        <w:tc>
          <w:tcPr>
            <w:tcW w:w="3523" w:type="dxa"/>
            <w:vMerge/>
          </w:tcPr>
          <w:p w:rsidR="00E35632" w:rsidRDefault="00E35632">
            <w:pPr>
              <w:pStyle w:val="ConsPlusNormal"/>
            </w:pPr>
          </w:p>
        </w:tc>
        <w:tc>
          <w:tcPr>
            <w:tcW w:w="857" w:type="dxa"/>
            <w:vMerge/>
          </w:tcPr>
          <w:p w:rsidR="00E35632" w:rsidRDefault="00E35632">
            <w:pPr>
              <w:pStyle w:val="ConsPlusNormal"/>
            </w:pPr>
          </w:p>
        </w:tc>
        <w:tc>
          <w:tcPr>
            <w:tcW w:w="1560" w:type="dxa"/>
            <w:tcBorders>
              <w:top w:val="nil"/>
            </w:tcBorders>
            <w:vAlign w:val="center"/>
          </w:tcPr>
          <w:p w:rsidR="00E35632" w:rsidRDefault="00E35632">
            <w:pPr>
              <w:pStyle w:val="ConsPlusNormal"/>
              <w:jc w:val="center"/>
            </w:pPr>
            <w:r>
              <w:t>50 - 80</w:t>
            </w:r>
          </w:p>
        </w:tc>
        <w:tc>
          <w:tcPr>
            <w:tcW w:w="1397" w:type="dxa"/>
            <w:tcBorders>
              <w:top w:val="nil"/>
            </w:tcBorders>
            <w:vAlign w:val="center"/>
          </w:tcPr>
          <w:p w:rsidR="00E35632" w:rsidRDefault="00E35632">
            <w:pPr>
              <w:pStyle w:val="ConsPlusNormal"/>
              <w:jc w:val="center"/>
            </w:pPr>
            <w:r>
              <w:t>0,6 - 1,0</w:t>
            </w:r>
          </w:p>
        </w:tc>
        <w:tc>
          <w:tcPr>
            <w:tcW w:w="1723" w:type="dxa"/>
            <w:tcBorders>
              <w:top w:val="nil"/>
            </w:tcBorders>
            <w:vAlign w:val="center"/>
          </w:tcPr>
          <w:p w:rsidR="00E35632" w:rsidRDefault="00E35632">
            <w:pPr>
              <w:pStyle w:val="ConsPlusNormal"/>
              <w:jc w:val="center"/>
            </w:pPr>
            <w:r>
              <w:t>2,5 - 8,0</w:t>
            </w:r>
          </w:p>
        </w:tc>
      </w:tr>
      <w:tr w:rsidR="00E35632">
        <w:tc>
          <w:tcPr>
            <w:tcW w:w="3523" w:type="dxa"/>
            <w:vMerge w:val="restart"/>
          </w:tcPr>
          <w:p w:rsidR="00E35632" w:rsidRDefault="00E35632">
            <w:pPr>
              <w:pStyle w:val="ConsPlusNormal"/>
            </w:pPr>
            <w:r>
              <w:t>Силикатизация однорастворная с H</w:t>
            </w:r>
            <w:r>
              <w:rPr>
                <w:vertAlign w:val="subscript"/>
              </w:rPr>
              <w:t>2</w:t>
            </w:r>
            <w:r>
              <w:t>SiF</w:t>
            </w:r>
            <w:r>
              <w:rPr>
                <w:vertAlign w:val="subscript"/>
              </w:rPr>
              <w:t>6</w:t>
            </w:r>
          </w:p>
        </w:tc>
        <w:tc>
          <w:tcPr>
            <w:tcW w:w="857" w:type="dxa"/>
            <w:vMerge w:val="restart"/>
            <w:vAlign w:val="center"/>
          </w:tcPr>
          <w:p w:rsidR="00E35632" w:rsidRDefault="00E35632">
            <w:pPr>
              <w:pStyle w:val="ConsPlusNormal"/>
              <w:jc w:val="center"/>
            </w:pPr>
            <w:r>
              <w:t>Песок</w:t>
            </w:r>
          </w:p>
        </w:tc>
        <w:tc>
          <w:tcPr>
            <w:tcW w:w="1560" w:type="dxa"/>
            <w:tcBorders>
              <w:bottom w:val="nil"/>
            </w:tcBorders>
            <w:vAlign w:val="center"/>
          </w:tcPr>
          <w:p w:rsidR="00E35632" w:rsidRDefault="00E35632">
            <w:pPr>
              <w:pStyle w:val="ConsPlusNormal"/>
              <w:jc w:val="center"/>
            </w:pPr>
            <w:r>
              <w:t>1,0 - 10</w:t>
            </w:r>
          </w:p>
        </w:tc>
        <w:tc>
          <w:tcPr>
            <w:tcW w:w="1397" w:type="dxa"/>
            <w:tcBorders>
              <w:bottom w:val="nil"/>
            </w:tcBorders>
            <w:vAlign w:val="center"/>
          </w:tcPr>
          <w:p w:rsidR="00E35632" w:rsidRDefault="00E35632">
            <w:pPr>
              <w:pStyle w:val="ConsPlusNormal"/>
              <w:jc w:val="center"/>
            </w:pPr>
            <w:r>
              <w:t>0,3 - 0,5</w:t>
            </w:r>
          </w:p>
        </w:tc>
        <w:tc>
          <w:tcPr>
            <w:tcW w:w="1723" w:type="dxa"/>
            <w:tcBorders>
              <w:bottom w:val="nil"/>
            </w:tcBorders>
            <w:vAlign w:val="center"/>
          </w:tcPr>
          <w:p w:rsidR="00E35632" w:rsidRDefault="00E35632">
            <w:pPr>
              <w:pStyle w:val="ConsPlusNormal"/>
              <w:jc w:val="center"/>
            </w:pPr>
            <w:r>
              <w:t>1 - 2</w:t>
            </w:r>
          </w:p>
        </w:tc>
      </w:tr>
      <w:tr w:rsidR="00E35632">
        <w:tc>
          <w:tcPr>
            <w:tcW w:w="3523" w:type="dxa"/>
            <w:vMerge/>
          </w:tcPr>
          <w:p w:rsidR="00E35632" w:rsidRDefault="00E35632">
            <w:pPr>
              <w:pStyle w:val="ConsPlusNormal"/>
            </w:pPr>
          </w:p>
        </w:tc>
        <w:tc>
          <w:tcPr>
            <w:tcW w:w="857" w:type="dxa"/>
            <w:vMerge/>
          </w:tcPr>
          <w:p w:rsidR="00E35632" w:rsidRDefault="00E35632">
            <w:pPr>
              <w:pStyle w:val="ConsPlusNormal"/>
            </w:pPr>
          </w:p>
        </w:tc>
        <w:tc>
          <w:tcPr>
            <w:tcW w:w="1560" w:type="dxa"/>
            <w:tcBorders>
              <w:top w:val="nil"/>
            </w:tcBorders>
            <w:vAlign w:val="center"/>
          </w:tcPr>
          <w:p w:rsidR="00E35632" w:rsidRDefault="00E35632">
            <w:pPr>
              <w:pStyle w:val="ConsPlusNormal"/>
              <w:jc w:val="center"/>
            </w:pPr>
            <w:r>
              <w:t>10 - 50</w:t>
            </w:r>
          </w:p>
        </w:tc>
        <w:tc>
          <w:tcPr>
            <w:tcW w:w="1397" w:type="dxa"/>
            <w:tcBorders>
              <w:top w:val="nil"/>
            </w:tcBorders>
            <w:vAlign w:val="center"/>
          </w:tcPr>
          <w:p w:rsidR="00E35632" w:rsidRDefault="00E35632">
            <w:pPr>
              <w:pStyle w:val="ConsPlusNormal"/>
              <w:jc w:val="center"/>
            </w:pPr>
            <w:r>
              <w:t>0,5 - 0,8</w:t>
            </w:r>
          </w:p>
        </w:tc>
        <w:tc>
          <w:tcPr>
            <w:tcW w:w="1723" w:type="dxa"/>
            <w:tcBorders>
              <w:top w:val="nil"/>
            </w:tcBorders>
            <w:vAlign w:val="center"/>
          </w:tcPr>
          <w:p w:rsidR="00E35632" w:rsidRDefault="00E35632">
            <w:pPr>
              <w:pStyle w:val="ConsPlusNormal"/>
              <w:jc w:val="center"/>
            </w:pPr>
            <w:r>
              <w:t>2 - 5</w:t>
            </w:r>
          </w:p>
        </w:tc>
      </w:tr>
      <w:tr w:rsidR="00E35632">
        <w:tc>
          <w:tcPr>
            <w:tcW w:w="3523" w:type="dxa"/>
            <w:vMerge w:val="restart"/>
          </w:tcPr>
          <w:p w:rsidR="00E35632" w:rsidRDefault="00E35632">
            <w:pPr>
              <w:pStyle w:val="ConsPlusNormal"/>
            </w:pPr>
            <w:r>
              <w:t>Силикатизация однорастворная двухкомпонентная с отвердителем: алюминат натрия или ортофосфорная кислота</w:t>
            </w:r>
          </w:p>
        </w:tc>
        <w:tc>
          <w:tcPr>
            <w:tcW w:w="857" w:type="dxa"/>
            <w:vMerge w:val="restart"/>
            <w:vAlign w:val="center"/>
          </w:tcPr>
          <w:p w:rsidR="00E35632" w:rsidRDefault="00E35632">
            <w:pPr>
              <w:pStyle w:val="ConsPlusNormal"/>
              <w:jc w:val="center"/>
            </w:pPr>
            <w:r>
              <w:t>Песок</w:t>
            </w:r>
          </w:p>
        </w:tc>
        <w:tc>
          <w:tcPr>
            <w:tcW w:w="1560" w:type="dxa"/>
            <w:tcBorders>
              <w:bottom w:val="nil"/>
            </w:tcBorders>
            <w:vAlign w:val="center"/>
          </w:tcPr>
          <w:p w:rsidR="00E35632" w:rsidRDefault="00E35632">
            <w:pPr>
              <w:pStyle w:val="ConsPlusNormal"/>
              <w:jc w:val="center"/>
            </w:pPr>
            <w:r>
              <w:t>0,5 - 1,0</w:t>
            </w:r>
          </w:p>
        </w:tc>
        <w:tc>
          <w:tcPr>
            <w:tcW w:w="1397" w:type="dxa"/>
            <w:tcBorders>
              <w:bottom w:val="nil"/>
            </w:tcBorders>
            <w:vAlign w:val="center"/>
          </w:tcPr>
          <w:p w:rsidR="00E35632" w:rsidRDefault="00E35632">
            <w:pPr>
              <w:pStyle w:val="ConsPlusNormal"/>
              <w:jc w:val="center"/>
            </w:pPr>
            <w:r>
              <w:t>0,3 - 0,5</w:t>
            </w:r>
          </w:p>
        </w:tc>
        <w:tc>
          <w:tcPr>
            <w:tcW w:w="1723" w:type="dxa"/>
            <w:vMerge w:val="restart"/>
            <w:vAlign w:val="center"/>
          </w:tcPr>
          <w:p w:rsidR="00E35632" w:rsidRDefault="00E35632">
            <w:pPr>
              <w:pStyle w:val="ConsPlusNormal"/>
              <w:jc w:val="center"/>
            </w:pPr>
            <w:r>
              <w:t>0,1 - 0,5</w:t>
            </w:r>
          </w:p>
        </w:tc>
      </w:tr>
      <w:tr w:rsidR="00E35632">
        <w:tc>
          <w:tcPr>
            <w:tcW w:w="3523" w:type="dxa"/>
            <w:vMerge/>
          </w:tcPr>
          <w:p w:rsidR="00E35632" w:rsidRDefault="00E35632">
            <w:pPr>
              <w:pStyle w:val="ConsPlusNormal"/>
            </w:pPr>
          </w:p>
        </w:tc>
        <w:tc>
          <w:tcPr>
            <w:tcW w:w="857" w:type="dxa"/>
            <w:vMerge/>
          </w:tcPr>
          <w:p w:rsidR="00E35632" w:rsidRDefault="00E35632">
            <w:pPr>
              <w:pStyle w:val="ConsPlusNormal"/>
            </w:pPr>
          </w:p>
        </w:tc>
        <w:tc>
          <w:tcPr>
            <w:tcW w:w="1560" w:type="dxa"/>
            <w:tcBorders>
              <w:top w:val="nil"/>
            </w:tcBorders>
            <w:vAlign w:val="center"/>
          </w:tcPr>
          <w:p w:rsidR="00E35632" w:rsidRDefault="00E35632">
            <w:pPr>
              <w:pStyle w:val="ConsPlusNormal"/>
              <w:jc w:val="center"/>
            </w:pPr>
            <w:r>
              <w:t>1,0 - 5,0</w:t>
            </w:r>
          </w:p>
        </w:tc>
        <w:tc>
          <w:tcPr>
            <w:tcW w:w="1397" w:type="dxa"/>
            <w:tcBorders>
              <w:top w:val="nil"/>
            </w:tcBorders>
            <w:vAlign w:val="center"/>
          </w:tcPr>
          <w:p w:rsidR="00E35632" w:rsidRDefault="00E35632">
            <w:pPr>
              <w:pStyle w:val="ConsPlusNormal"/>
              <w:jc w:val="center"/>
            </w:pPr>
            <w:r>
              <w:t>0,5 - 0,8</w:t>
            </w:r>
          </w:p>
        </w:tc>
        <w:tc>
          <w:tcPr>
            <w:tcW w:w="1723" w:type="dxa"/>
            <w:vMerge/>
          </w:tcPr>
          <w:p w:rsidR="00E35632" w:rsidRDefault="00E35632">
            <w:pPr>
              <w:pStyle w:val="ConsPlusNormal"/>
            </w:pPr>
          </w:p>
        </w:tc>
      </w:tr>
      <w:tr w:rsidR="00E35632">
        <w:tc>
          <w:tcPr>
            <w:tcW w:w="3523" w:type="dxa"/>
            <w:vMerge w:val="restart"/>
          </w:tcPr>
          <w:p w:rsidR="00E35632" w:rsidRDefault="00E35632">
            <w:pPr>
              <w:pStyle w:val="ConsPlusNormal"/>
            </w:pPr>
            <w:r>
              <w:t>Силикатизация газовая на основе силиката натрия и газа CO</w:t>
            </w:r>
            <w:r>
              <w:rPr>
                <w:vertAlign w:val="subscript"/>
              </w:rPr>
              <w:t>2</w:t>
            </w:r>
          </w:p>
        </w:tc>
        <w:tc>
          <w:tcPr>
            <w:tcW w:w="857" w:type="dxa"/>
            <w:vMerge w:val="restart"/>
            <w:vAlign w:val="center"/>
          </w:tcPr>
          <w:p w:rsidR="00E35632" w:rsidRDefault="00E35632">
            <w:pPr>
              <w:pStyle w:val="ConsPlusNormal"/>
              <w:jc w:val="center"/>
            </w:pPr>
            <w:r>
              <w:t>Песок</w:t>
            </w:r>
          </w:p>
        </w:tc>
        <w:tc>
          <w:tcPr>
            <w:tcW w:w="1560" w:type="dxa"/>
            <w:tcBorders>
              <w:bottom w:val="nil"/>
            </w:tcBorders>
            <w:vAlign w:val="center"/>
          </w:tcPr>
          <w:p w:rsidR="00E35632" w:rsidRDefault="00E35632">
            <w:pPr>
              <w:pStyle w:val="ConsPlusNormal"/>
              <w:jc w:val="center"/>
            </w:pPr>
            <w:r>
              <w:t>0,5 - 5,0</w:t>
            </w:r>
          </w:p>
        </w:tc>
        <w:tc>
          <w:tcPr>
            <w:tcW w:w="1397" w:type="dxa"/>
            <w:tcBorders>
              <w:bottom w:val="nil"/>
            </w:tcBorders>
            <w:vAlign w:val="center"/>
          </w:tcPr>
          <w:p w:rsidR="00E35632" w:rsidRDefault="00E35632">
            <w:pPr>
              <w:pStyle w:val="ConsPlusNormal"/>
              <w:jc w:val="center"/>
            </w:pPr>
            <w:r>
              <w:t>0,3 - 0,5</w:t>
            </w:r>
          </w:p>
        </w:tc>
        <w:tc>
          <w:tcPr>
            <w:tcW w:w="1723" w:type="dxa"/>
            <w:tcBorders>
              <w:bottom w:val="nil"/>
            </w:tcBorders>
            <w:vAlign w:val="center"/>
          </w:tcPr>
          <w:p w:rsidR="00E35632" w:rsidRDefault="00E35632">
            <w:pPr>
              <w:pStyle w:val="ConsPlusNormal"/>
              <w:jc w:val="center"/>
            </w:pPr>
            <w:r>
              <w:t>1 - 2</w:t>
            </w:r>
          </w:p>
        </w:tc>
      </w:tr>
      <w:tr w:rsidR="00E35632">
        <w:tc>
          <w:tcPr>
            <w:tcW w:w="3523" w:type="dxa"/>
            <w:vMerge/>
          </w:tcPr>
          <w:p w:rsidR="00E35632" w:rsidRDefault="00E35632">
            <w:pPr>
              <w:pStyle w:val="ConsPlusNormal"/>
            </w:pPr>
          </w:p>
        </w:tc>
        <w:tc>
          <w:tcPr>
            <w:tcW w:w="857" w:type="dxa"/>
            <w:vMerge/>
          </w:tcPr>
          <w:p w:rsidR="00E35632" w:rsidRDefault="00E35632">
            <w:pPr>
              <w:pStyle w:val="ConsPlusNormal"/>
            </w:pPr>
          </w:p>
        </w:tc>
        <w:tc>
          <w:tcPr>
            <w:tcW w:w="1560" w:type="dxa"/>
            <w:tcBorders>
              <w:top w:val="nil"/>
            </w:tcBorders>
            <w:vAlign w:val="center"/>
          </w:tcPr>
          <w:p w:rsidR="00E35632" w:rsidRDefault="00E35632">
            <w:pPr>
              <w:pStyle w:val="ConsPlusNormal"/>
              <w:jc w:val="center"/>
            </w:pPr>
            <w:r>
              <w:t>5 - 20</w:t>
            </w:r>
          </w:p>
        </w:tc>
        <w:tc>
          <w:tcPr>
            <w:tcW w:w="1397" w:type="dxa"/>
            <w:tcBorders>
              <w:top w:val="nil"/>
            </w:tcBorders>
            <w:vAlign w:val="center"/>
          </w:tcPr>
          <w:p w:rsidR="00E35632" w:rsidRDefault="00E35632">
            <w:pPr>
              <w:pStyle w:val="ConsPlusNormal"/>
              <w:jc w:val="center"/>
            </w:pPr>
            <w:r>
              <w:t>0,5 - 0,8</w:t>
            </w:r>
          </w:p>
        </w:tc>
        <w:tc>
          <w:tcPr>
            <w:tcW w:w="1723" w:type="dxa"/>
            <w:tcBorders>
              <w:top w:val="nil"/>
            </w:tcBorders>
            <w:vAlign w:val="center"/>
          </w:tcPr>
          <w:p w:rsidR="00E35632" w:rsidRDefault="00E35632">
            <w:pPr>
              <w:pStyle w:val="ConsPlusNormal"/>
              <w:jc w:val="center"/>
            </w:pPr>
            <w:r>
              <w:t>2,0 - 3,5</w:t>
            </w:r>
          </w:p>
        </w:tc>
      </w:tr>
      <w:tr w:rsidR="00E35632">
        <w:tc>
          <w:tcPr>
            <w:tcW w:w="3523" w:type="dxa"/>
            <w:vMerge w:val="restart"/>
          </w:tcPr>
          <w:p w:rsidR="00E35632" w:rsidRDefault="00E35632">
            <w:pPr>
              <w:pStyle w:val="ConsPlusNormal"/>
            </w:pPr>
            <w:r>
              <w:t>Силикатизация однорастворная однокомпонентная</w:t>
            </w:r>
          </w:p>
        </w:tc>
        <w:tc>
          <w:tcPr>
            <w:tcW w:w="857" w:type="dxa"/>
            <w:vMerge w:val="restart"/>
            <w:vAlign w:val="center"/>
          </w:tcPr>
          <w:p w:rsidR="00E35632" w:rsidRDefault="00E35632">
            <w:pPr>
              <w:pStyle w:val="ConsPlusNormal"/>
              <w:jc w:val="center"/>
            </w:pPr>
            <w:r>
              <w:t>Лесс</w:t>
            </w:r>
          </w:p>
        </w:tc>
        <w:tc>
          <w:tcPr>
            <w:tcW w:w="1560" w:type="dxa"/>
            <w:tcBorders>
              <w:bottom w:val="nil"/>
            </w:tcBorders>
            <w:vAlign w:val="center"/>
          </w:tcPr>
          <w:p w:rsidR="00E35632" w:rsidRDefault="00E35632">
            <w:pPr>
              <w:pStyle w:val="ConsPlusNormal"/>
              <w:jc w:val="center"/>
            </w:pPr>
            <w:r>
              <w:t>0,2 - 0,5</w:t>
            </w:r>
          </w:p>
        </w:tc>
        <w:tc>
          <w:tcPr>
            <w:tcW w:w="1397" w:type="dxa"/>
            <w:tcBorders>
              <w:bottom w:val="nil"/>
            </w:tcBorders>
            <w:vAlign w:val="center"/>
          </w:tcPr>
          <w:p w:rsidR="00E35632" w:rsidRDefault="00E35632">
            <w:pPr>
              <w:pStyle w:val="ConsPlusNormal"/>
              <w:jc w:val="center"/>
            </w:pPr>
            <w:r>
              <w:t>0,3 - 0,5</w:t>
            </w:r>
          </w:p>
        </w:tc>
        <w:tc>
          <w:tcPr>
            <w:tcW w:w="1723" w:type="dxa"/>
            <w:tcBorders>
              <w:bottom w:val="nil"/>
            </w:tcBorders>
            <w:vAlign w:val="center"/>
          </w:tcPr>
          <w:p w:rsidR="00E35632" w:rsidRDefault="00E35632">
            <w:pPr>
              <w:pStyle w:val="ConsPlusNormal"/>
              <w:jc w:val="center"/>
            </w:pPr>
            <w:r>
              <w:t>0,5 - 2,0</w:t>
            </w:r>
          </w:p>
        </w:tc>
      </w:tr>
      <w:tr w:rsidR="00E35632">
        <w:tc>
          <w:tcPr>
            <w:tcW w:w="3523" w:type="dxa"/>
            <w:vMerge/>
          </w:tcPr>
          <w:p w:rsidR="00E35632" w:rsidRDefault="00E35632">
            <w:pPr>
              <w:pStyle w:val="ConsPlusNormal"/>
            </w:pPr>
          </w:p>
        </w:tc>
        <w:tc>
          <w:tcPr>
            <w:tcW w:w="857" w:type="dxa"/>
            <w:vMerge/>
          </w:tcPr>
          <w:p w:rsidR="00E35632" w:rsidRDefault="00E35632">
            <w:pPr>
              <w:pStyle w:val="ConsPlusNormal"/>
            </w:pPr>
          </w:p>
        </w:tc>
        <w:tc>
          <w:tcPr>
            <w:tcW w:w="1560" w:type="dxa"/>
            <w:tcBorders>
              <w:top w:val="nil"/>
            </w:tcBorders>
            <w:vAlign w:val="center"/>
          </w:tcPr>
          <w:p w:rsidR="00E35632" w:rsidRDefault="00E35632">
            <w:pPr>
              <w:pStyle w:val="ConsPlusNormal"/>
              <w:jc w:val="center"/>
            </w:pPr>
            <w:r>
              <w:t>0,5 - 2</w:t>
            </w:r>
          </w:p>
        </w:tc>
        <w:tc>
          <w:tcPr>
            <w:tcW w:w="1397" w:type="dxa"/>
            <w:tcBorders>
              <w:top w:val="nil"/>
            </w:tcBorders>
            <w:vAlign w:val="center"/>
          </w:tcPr>
          <w:p w:rsidR="00E35632" w:rsidRDefault="00E35632">
            <w:pPr>
              <w:pStyle w:val="ConsPlusNormal"/>
              <w:jc w:val="center"/>
            </w:pPr>
            <w:r>
              <w:t>0,5 - 0,8</w:t>
            </w:r>
          </w:p>
        </w:tc>
        <w:tc>
          <w:tcPr>
            <w:tcW w:w="1723" w:type="dxa"/>
            <w:tcBorders>
              <w:top w:val="nil"/>
            </w:tcBorders>
            <w:vAlign w:val="center"/>
          </w:tcPr>
          <w:p w:rsidR="00E35632" w:rsidRDefault="00E35632">
            <w:pPr>
              <w:pStyle w:val="ConsPlusNormal"/>
              <w:jc w:val="center"/>
            </w:pPr>
            <w:r>
              <w:t>2,0 - 3,5</w:t>
            </w:r>
          </w:p>
        </w:tc>
      </w:tr>
      <w:tr w:rsidR="00E35632">
        <w:tc>
          <w:tcPr>
            <w:tcW w:w="3523" w:type="dxa"/>
            <w:vMerge w:val="restart"/>
          </w:tcPr>
          <w:p w:rsidR="00E35632" w:rsidRDefault="00E35632">
            <w:pPr>
              <w:pStyle w:val="ConsPlusNormal"/>
            </w:pPr>
            <w:r>
              <w:t>Силикатизация газовая на основе силиката натрия и газа CO</w:t>
            </w:r>
            <w:r>
              <w:rPr>
                <w:vertAlign w:val="subscript"/>
              </w:rPr>
              <w:t>2</w:t>
            </w:r>
          </w:p>
        </w:tc>
        <w:tc>
          <w:tcPr>
            <w:tcW w:w="857" w:type="dxa"/>
            <w:vMerge w:val="restart"/>
            <w:vAlign w:val="center"/>
          </w:tcPr>
          <w:p w:rsidR="00E35632" w:rsidRDefault="00E35632">
            <w:pPr>
              <w:pStyle w:val="ConsPlusNormal"/>
              <w:jc w:val="center"/>
            </w:pPr>
            <w:r>
              <w:t>Лесс</w:t>
            </w:r>
          </w:p>
        </w:tc>
        <w:tc>
          <w:tcPr>
            <w:tcW w:w="1560" w:type="dxa"/>
            <w:tcBorders>
              <w:bottom w:val="nil"/>
            </w:tcBorders>
            <w:vAlign w:val="center"/>
          </w:tcPr>
          <w:p w:rsidR="00E35632" w:rsidRDefault="00E35632">
            <w:pPr>
              <w:pStyle w:val="ConsPlusNormal"/>
              <w:jc w:val="center"/>
            </w:pPr>
            <w:r>
              <w:t>0,1 - 0,5</w:t>
            </w:r>
          </w:p>
        </w:tc>
        <w:tc>
          <w:tcPr>
            <w:tcW w:w="1397" w:type="dxa"/>
            <w:tcBorders>
              <w:bottom w:val="nil"/>
            </w:tcBorders>
            <w:vAlign w:val="center"/>
          </w:tcPr>
          <w:p w:rsidR="00E35632" w:rsidRDefault="00E35632">
            <w:pPr>
              <w:pStyle w:val="ConsPlusNormal"/>
              <w:jc w:val="center"/>
            </w:pPr>
            <w:r>
              <w:t>0,4 - 0,6</w:t>
            </w:r>
          </w:p>
        </w:tc>
        <w:tc>
          <w:tcPr>
            <w:tcW w:w="1723" w:type="dxa"/>
            <w:tcBorders>
              <w:bottom w:val="nil"/>
            </w:tcBorders>
            <w:vAlign w:val="center"/>
          </w:tcPr>
          <w:p w:rsidR="00E35632" w:rsidRDefault="00E35632">
            <w:pPr>
              <w:pStyle w:val="ConsPlusNormal"/>
              <w:jc w:val="center"/>
            </w:pPr>
            <w:r>
              <w:t>0,5 - 2,0</w:t>
            </w:r>
          </w:p>
        </w:tc>
      </w:tr>
      <w:tr w:rsidR="00E35632">
        <w:tc>
          <w:tcPr>
            <w:tcW w:w="3523" w:type="dxa"/>
            <w:vMerge/>
          </w:tcPr>
          <w:p w:rsidR="00E35632" w:rsidRDefault="00E35632">
            <w:pPr>
              <w:pStyle w:val="ConsPlusNormal"/>
            </w:pPr>
          </w:p>
        </w:tc>
        <w:tc>
          <w:tcPr>
            <w:tcW w:w="857" w:type="dxa"/>
            <w:vMerge/>
          </w:tcPr>
          <w:p w:rsidR="00E35632" w:rsidRDefault="00E35632">
            <w:pPr>
              <w:pStyle w:val="ConsPlusNormal"/>
            </w:pPr>
          </w:p>
        </w:tc>
        <w:tc>
          <w:tcPr>
            <w:tcW w:w="1560" w:type="dxa"/>
            <w:tcBorders>
              <w:top w:val="nil"/>
            </w:tcBorders>
            <w:vAlign w:val="center"/>
          </w:tcPr>
          <w:p w:rsidR="00E35632" w:rsidRDefault="00E35632">
            <w:pPr>
              <w:pStyle w:val="ConsPlusNormal"/>
              <w:jc w:val="center"/>
            </w:pPr>
            <w:r>
              <w:t>0,5 - 2</w:t>
            </w:r>
          </w:p>
        </w:tc>
        <w:tc>
          <w:tcPr>
            <w:tcW w:w="1397" w:type="dxa"/>
            <w:tcBorders>
              <w:top w:val="nil"/>
            </w:tcBorders>
            <w:vAlign w:val="center"/>
          </w:tcPr>
          <w:p w:rsidR="00E35632" w:rsidRDefault="00E35632">
            <w:pPr>
              <w:pStyle w:val="ConsPlusNormal"/>
              <w:jc w:val="center"/>
            </w:pPr>
            <w:r>
              <w:t>0,6 - 1,0</w:t>
            </w:r>
          </w:p>
        </w:tc>
        <w:tc>
          <w:tcPr>
            <w:tcW w:w="1723" w:type="dxa"/>
            <w:tcBorders>
              <w:top w:val="nil"/>
            </w:tcBorders>
            <w:vAlign w:val="center"/>
          </w:tcPr>
          <w:p w:rsidR="00E35632" w:rsidRDefault="00E35632">
            <w:pPr>
              <w:pStyle w:val="ConsPlusNormal"/>
              <w:jc w:val="center"/>
            </w:pPr>
            <w:r>
              <w:t>2,0 - 3,5</w:t>
            </w:r>
          </w:p>
        </w:tc>
      </w:tr>
      <w:tr w:rsidR="00E35632">
        <w:tc>
          <w:tcPr>
            <w:tcW w:w="3523" w:type="dxa"/>
            <w:vMerge w:val="restart"/>
          </w:tcPr>
          <w:p w:rsidR="00E35632" w:rsidRDefault="00E35632">
            <w:pPr>
              <w:pStyle w:val="ConsPlusNormal"/>
            </w:pPr>
            <w:r>
              <w:t>Смолизация однорастворная двухкомпонентная на основе карбамидной смолы и кислого отвердителя</w:t>
            </w:r>
          </w:p>
        </w:tc>
        <w:tc>
          <w:tcPr>
            <w:tcW w:w="857" w:type="dxa"/>
            <w:vMerge w:val="restart"/>
            <w:vAlign w:val="center"/>
          </w:tcPr>
          <w:p w:rsidR="00E35632" w:rsidRDefault="00E35632">
            <w:pPr>
              <w:pStyle w:val="ConsPlusNormal"/>
              <w:jc w:val="center"/>
            </w:pPr>
            <w:r>
              <w:t>Песок</w:t>
            </w:r>
          </w:p>
        </w:tc>
        <w:tc>
          <w:tcPr>
            <w:tcW w:w="1560" w:type="dxa"/>
            <w:tcBorders>
              <w:bottom w:val="nil"/>
            </w:tcBorders>
            <w:vAlign w:val="center"/>
          </w:tcPr>
          <w:p w:rsidR="00E35632" w:rsidRDefault="00E35632">
            <w:pPr>
              <w:pStyle w:val="ConsPlusNormal"/>
              <w:jc w:val="center"/>
            </w:pPr>
            <w:r>
              <w:t>0,5 - 5</w:t>
            </w:r>
          </w:p>
        </w:tc>
        <w:tc>
          <w:tcPr>
            <w:tcW w:w="1397" w:type="dxa"/>
            <w:tcBorders>
              <w:bottom w:val="nil"/>
            </w:tcBorders>
            <w:vAlign w:val="center"/>
          </w:tcPr>
          <w:p w:rsidR="00E35632" w:rsidRDefault="00E35632">
            <w:pPr>
              <w:pStyle w:val="ConsPlusNormal"/>
              <w:jc w:val="center"/>
            </w:pPr>
            <w:r>
              <w:t>0,3 - 0,5</w:t>
            </w:r>
          </w:p>
        </w:tc>
        <w:tc>
          <w:tcPr>
            <w:tcW w:w="1723" w:type="dxa"/>
            <w:tcBorders>
              <w:bottom w:val="nil"/>
            </w:tcBorders>
            <w:vAlign w:val="center"/>
          </w:tcPr>
          <w:p w:rsidR="00E35632" w:rsidRDefault="00E35632">
            <w:pPr>
              <w:pStyle w:val="ConsPlusNormal"/>
              <w:jc w:val="center"/>
            </w:pPr>
            <w:r>
              <w:t>0,5 - 1,5</w:t>
            </w:r>
          </w:p>
        </w:tc>
      </w:tr>
      <w:tr w:rsidR="00E35632">
        <w:tblPrEx>
          <w:tblBorders>
            <w:insideH w:val="nil"/>
          </w:tblBorders>
        </w:tblPrEx>
        <w:tc>
          <w:tcPr>
            <w:tcW w:w="3523" w:type="dxa"/>
            <w:vMerge/>
          </w:tcPr>
          <w:p w:rsidR="00E35632" w:rsidRDefault="00E35632">
            <w:pPr>
              <w:pStyle w:val="ConsPlusNormal"/>
            </w:pPr>
          </w:p>
        </w:tc>
        <w:tc>
          <w:tcPr>
            <w:tcW w:w="857" w:type="dxa"/>
            <w:vMerge/>
          </w:tcPr>
          <w:p w:rsidR="00E35632" w:rsidRDefault="00E35632">
            <w:pPr>
              <w:pStyle w:val="ConsPlusNormal"/>
            </w:pPr>
          </w:p>
        </w:tc>
        <w:tc>
          <w:tcPr>
            <w:tcW w:w="1560" w:type="dxa"/>
            <w:tcBorders>
              <w:top w:val="nil"/>
              <w:bottom w:val="nil"/>
            </w:tcBorders>
            <w:vAlign w:val="center"/>
          </w:tcPr>
          <w:p w:rsidR="00E35632" w:rsidRDefault="00E35632">
            <w:pPr>
              <w:pStyle w:val="ConsPlusNormal"/>
              <w:jc w:val="center"/>
            </w:pPr>
            <w:r>
              <w:t>5 - 20</w:t>
            </w:r>
          </w:p>
        </w:tc>
        <w:tc>
          <w:tcPr>
            <w:tcW w:w="1397" w:type="dxa"/>
            <w:tcBorders>
              <w:top w:val="nil"/>
              <w:bottom w:val="nil"/>
            </w:tcBorders>
            <w:vAlign w:val="center"/>
          </w:tcPr>
          <w:p w:rsidR="00E35632" w:rsidRDefault="00E35632">
            <w:pPr>
              <w:pStyle w:val="ConsPlusNormal"/>
              <w:jc w:val="center"/>
            </w:pPr>
            <w:r>
              <w:t>0,5 - 0,65</w:t>
            </w:r>
          </w:p>
        </w:tc>
        <w:tc>
          <w:tcPr>
            <w:tcW w:w="1723" w:type="dxa"/>
            <w:tcBorders>
              <w:top w:val="nil"/>
              <w:bottom w:val="nil"/>
            </w:tcBorders>
            <w:vAlign w:val="center"/>
          </w:tcPr>
          <w:p w:rsidR="00E35632" w:rsidRDefault="00E35632">
            <w:pPr>
              <w:pStyle w:val="ConsPlusNormal"/>
              <w:jc w:val="center"/>
            </w:pPr>
            <w:r>
              <w:t>1,5 - 3,0</w:t>
            </w:r>
          </w:p>
        </w:tc>
      </w:tr>
      <w:tr w:rsidR="00E35632">
        <w:tc>
          <w:tcPr>
            <w:tcW w:w="3523" w:type="dxa"/>
            <w:vMerge/>
          </w:tcPr>
          <w:p w:rsidR="00E35632" w:rsidRDefault="00E35632">
            <w:pPr>
              <w:pStyle w:val="ConsPlusNormal"/>
            </w:pPr>
          </w:p>
        </w:tc>
        <w:tc>
          <w:tcPr>
            <w:tcW w:w="857" w:type="dxa"/>
            <w:vMerge/>
          </w:tcPr>
          <w:p w:rsidR="00E35632" w:rsidRDefault="00E35632">
            <w:pPr>
              <w:pStyle w:val="ConsPlusNormal"/>
            </w:pPr>
          </w:p>
        </w:tc>
        <w:tc>
          <w:tcPr>
            <w:tcW w:w="1560" w:type="dxa"/>
            <w:tcBorders>
              <w:top w:val="nil"/>
            </w:tcBorders>
            <w:vAlign w:val="center"/>
          </w:tcPr>
          <w:p w:rsidR="00E35632" w:rsidRDefault="00E35632">
            <w:pPr>
              <w:pStyle w:val="ConsPlusNormal"/>
              <w:jc w:val="center"/>
            </w:pPr>
            <w:r>
              <w:t>20 - 50</w:t>
            </w:r>
          </w:p>
        </w:tc>
        <w:tc>
          <w:tcPr>
            <w:tcW w:w="1397" w:type="dxa"/>
            <w:tcBorders>
              <w:top w:val="nil"/>
            </w:tcBorders>
            <w:vAlign w:val="center"/>
          </w:tcPr>
          <w:p w:rsidR="00E35632" w:rsidRDefault="00E35632">
            <w:pPr>
              <w:pStyle w:val="ConsPlusNormal"/>
              <w:jc w:val="center"/>
            </w:pPr>
            <w:r>
              <w:t>0,65 - 0,85</w:t>
            </w:r>
          </w:p>
        </w:tc>
        <w:tc>
          <w:tcPr>
            <w:tcW w:w="1723" w:type="dxa"/>
            <w:tcBorders>
              <w:top w:val="nil"/>
            </w:tcBorders>
            <w:vAlign w:val="center"/>
          </w:tcPr>
          <w:p w:rsidR="00E35632" w:rsidRDefault="00E35632">
            <w:pPr>
              <w:pStyle w:val="ConsPlusNormal"/>
              <w:jc w:val="center"/>
            </w:pPr>
            <w:r>
              <w:t>3,0 - 4,5</w:t>
            </w:r>
          </w:p>
        </w:tc>
      </w:tr>
      <w:tr w:rsidR="00E35632">
        <w:tc>
          <w:tcPr>
            <w:tcW w:w="3523" w:type="dxa"/>
          </w:tcPr>
          <w:p w:rsidR="00E35632" w:rsidRDefault="00E35632">
            <w:pPr>
              <w:pStyle w:val="ConsPlusNormal"/>
            </w:pPr>
            <w:r>
              <w:t>Цементация раствором ОТДВ</w:t>
            </w:r>
          </w:p>
        </w:tc>
        <w:tc>
          <w:tcPr>
            <w:tcW w:w="857" w:type="dxa"/>
          </w:tcPr>
          <w:p w:rsidR="00E35632" w:rsidRDefault="00E35632">
            <w:pPr>
              <w:pStyle w:val="ConsPlusNormal"/>
              <w:jc w:val="center"/>
            </w:pPr>
            <w:r>
              <w:t>Песок</w:t>
            </w:r>
          </w:p>
        </w:tc>
        <w:tc>
          <w:tcPr>
            <w:tcW w:w="1560" w:type="dxa"/>
            <w:vAlign w:val="center"/>
          </w:tcPr>
          <w:p w:rsidR="00E35632" w:rsidRDefault="00E35632">
            <w:pPr>
              <w:pStyle w:val="ConsPlusNormal"/>
              <w:jc w:val="center"/>
            </w:pPr>
            <w:r>
              <w:t>1 - 80</w:t>
            </w:r>
          </w:p>
        </w:tc>
        <w:tc>
          <w:tcPr>
            <w:tcW w:w="1397" w:type="dxa"/>
            <w:vAlign w:val="center"/>
          </w:tcPr>
          <w:p w:rsidR="00E35632" w:rsidRDefault="00E35632">
            <w:pPr>
              <w:pStyle w:val="ConsPlusNormal"/>
              <w:jc w:val="center"/>
            </w:pPr>
            <w:r>
              <w:t>0,2 - 0,7</w:t>
            </w:r>
          </w:p>
        </w:tc>
        <w:tc>
          <w:tcPr>
            <w:tcW w:w="1723" w:type="dxa"/>
            <w:vAlign w:val="center"/>
          </w:tcPr>
          <w:p w:rsidR="00E35632" w:rsidRDefault="00E35632">
            <w:pPr>
              <w:pStyle w:val="ConsPlusNormal"/>
              <w:jc w:val="center"/>
            </w:pPr>
            <w:r>
              <w:t>0,5 - 1,5</w:t>
            </w:r>
          </w:p>
        </w:tc>
      </w:tr>
    </w:tbl>
    <w:p w:rsidR="00E35632" w:rsidRDefault="00E35632">
      <w:pPr>
        <w:pStyle w:val="ConsPlusNormal"/>
        <w:jc w:val="both"/>
      </w:pPr>
    </w:p>
    <w:p w:rsidR="00E35632" w:rsidRDefault="00E35632">
      <w:pPr>
        <w:pStyle w:val="ConsPlusNormal"/>
        <w:ind w:firstLine="540"/>
        <w:jc w:val="both"/>
      </w:pPr>
      <w:r>
        <w:t xml:space="preserve">6.9.18 Расположение элементов закрепленного грунта в плане искусственных оснований может производиться по схемам, приведенным на </w:t>
      </w:r>
      <w:hyperlink w:anchor="P3681">
        <w:r>
          <w:rPr>
            <w:color w:val="0000FF"/>
          </w:rPr>
          <w:t>рисунке 6.13</w:t>
        </w:r>
      </w:hyperlink>
      <w:r>
        <w:t>.</w:t>
      </w:r>
    </w:p>
    <w:p w:rsidR="00E35632" w:rsidRDefault="00E35632">
      <w:pPr>
        <w:pStyle w:val="ConsPlusNormal"/>
        <w:jc w:val="both"/>
      </w:pPr>
    </w:p>
    <w:p w:rsidR="00E35632" w:rsidRDefault="00E35632">
      <w:pPr>
        <w:pStyle w:val="ConsPlusNormal"/>
        <w:jc w:val="center"/>
      </w:pPr>
      <w:r>
        <w:rPr>
          <w:noProof/>
          <w:position w:val="-372"/>
        </w:rPr>
        <w:lastRenderedPageBreak/>
        <w:drawing>
          <wp:inline distT="0" distB="0" distL="0" distR="0">
            <wp:extent cx="5715635" cy="4872990"/>
            <wp:effectExtent l="0" t="0" r="0" b="0"/>
            <wp:docPr id="4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5715635" cy="487299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r>
        <w:rPr>
          <w:i/>
        </w:rPr>
        <w:t>а</w:t>
      </w:r>
      <w:r>
        <w:t xml:space="preserve">, </w:t>
      </w:r>
      <w:r>
        <w:rPr>
          <w:i/>
        </w:rPr>
        <w:t>б</w:t>
      </w:r>
      <w:r>
        <w:t xml:space="preserve"> - сплошное из рядом расположенных элементов;</w:t>
      </w:r>
    </w:p>
    <w:p w:rsidR="00E35632" w:rsidRDefault="00E35632">
      <w:pPr>
        <w:pStyle w:val="ConsPlusNormal"/>
        <w:jc w:val="center"/>
      </w:pPr>
      <w:r>
        <w:rPr>
          <w:i/>
        </w:rPr>
        <w:t>в</w:t>
      </w:r>
      <w:r>
        <w:t xml:space="preserve">, </w:t>
      </w:r>
      <w:r>
        <w:rPr>
          <w:i/>
        </w:rPr>
        <w:t>г</w:t>
      </w:r>
      <w:r>
        <w:t xml:space="preserve"> - отдельно стоящих элементов; </w:t>
      </w:r>
      <w:r>
        <w:rPr>
          <w:i/>
        </w:rPr>
        <w:t>д</w:t>
      </w:r>
      <w:r>
        <w:t xml:space="preserve">, </w:t>
      </w:r>
      <w:r>
        <w:rPr>
          <w:i/>
        </w:rPr>
        <w:t>е</w:t>
      </w:r>
      <w:r>
        <w:t xml:space="preserve">, </w:t>
      </w:r>
      <w:r>
        <w:rPr>
          <w:i/>
        </w:rPr>
        <w:t>ж</w:t>
      </w:r>
      <w:r>
        <w:t xml:space="preserve"> - отдельно</w:t>
      </w:r>
    </w:p>
    <w:p w:rsidR="00E35632" w:rsidRDefault="00E35632">
      <w:pPr>
        <w:pStyle w:val="ConsPlusNormal"/>
        <w:jc w:val="center"/>
      </w:pPr>
      <w:r>
        <w:t>расположенных рядов сплошных элементов</w:t>
      </w:r>
    </w:p>
    <w:p w:rsidR="00E35632" w:rsidRDefault="00E35632">
      <w:pPr>
        <w:pStyle w:val="ConsPlusNormal"/>
        <w:jc w:val="both"/>
      </w:pPr>
    </w:p>
    <w:p w:rsidR="00E35632" w:rsidRDefault="00E35632">
      <w:pPr>
        <w:pStyle w:val="ConsPlusNormal"/>
        <w:jc w:val="center"/>
      </w:pPr>
      <w:bookmarkStart w:id="193" w:name="P3681"/>
      <w:bookmarkEnd w:id="193"/>
      <w:r>
        <w:rPr>
          <w:b/>
          <w:i/>
        </w:rPr>
        <w:t>Рисунок 6.13</w:t>
      </w:r>
      <w:r>
        <w:t xml:space="preserve"> </w:t>
      </w:r>
      <w:r>
        <w:rPr>
          <w:b/>
        </w:rPr>
        <w:t>- Принципиальные схемы расположения</w:t>
      </w:r>
    </w:p>
    <w:p w:rsidR="00E35632" w:rsidRDefault="00E35632">
      <w:pPr>
        <w:pStyle w:val="ConsPlusNormal"/>
        <w:jc w:val="center"/>
      </w:pPr>
      <w:r>
        <w:rPr>
          <w:b/>
        </w:rPr>
        <w:t>элементов закрепленного грунта в плане</w:t>
      </w:r>
    </w:p>
    <w:p w:rsidR="00E35632" w:rsidRDefault="00E35632">
      <w:pPr>
        <w:pStyle w:val="ConsPlusNormal"/>
        <w:jc w:val="both"/>
      </w:pPr>
    </w:p>
    <w:p w:rsidR="00E35632" w:rsidRDefault="00E35632">
      <w:pPr>
        <w:pStyle w:val="ConsPlusNormal"/>
        <w:ind w:firstLine="540"/>
        <w:jc w:val="both"/>
      </w:pPr>
      <w:r>
        <w:t>6.9.19 Геометрические параметры элементов (радиус закрепления) должны подтверждаться результатами опытно-производственных работ. Глубина закрепления назначается предварительно на основании данных инженерно-геологических изысканий, выбранного способа закрепления конструкций проектируемых фундаментов, проектных нагрузок и требований норм по предельно допустимым деформациям и уточняется по результатам расчетов.</w:t>
      </w:r>
    </w:p>
    <w:p w:rsidR="00E35632" w:rsidRDefault="00E35632">
      <w:pPr>
        <w:pStyle w:val="ConsPlusNormal"/>
        <w:spacing w:before="220"/>
        <w:ind w:firstLine="540"/>
        <w:jc w:val="both"/>
      </w:pPr>
      <w:r>
        <w:t xml:space="preserve">6.9.20 Расчет основания по предельным состояниям проводят в соответствии с требованиями </w:t>
      </w:r>
      <w:hyperlink w:anchor="P375">
        <w:r>
          <w:rPr>
            <w:color w:val="0000FF"/>
          </w:rPr>
          <w:t>разделов 5</w:t>
        </w:r>
      </w:hyperlink>
      <w:r>
        <w:t xml:space="preserve"> и </w:t>
      </w:r>
      <w:hyperlink w:anchor="P2321">
        <w:r>
          <w:rPr>
            <w:color w:val="0000FF"/>
          </w:rPr>
          <w:t>6</w:t>
        </w:r>
      </w:hyperlink>
      <w:r>
        <w:t>. По результатам расчета и работ на опытном участке, при необходимости, проводят корректировку геометрических параметров массива и отдельных элементов закрепленного грунта.</w:t>
      </w:r>
    </w:p>
    <w:p w:rsidR="00E35632" w:rsidRDefault="00E35632">
      <w:pPr>
        <w:pStyle w:val="ConsPlusNormal"/>
        <w:spacing w:before="220"/>
        <w:ind w:firstLine="540"/>
        <w:jc w:val="both"/>
      </w:pPr>
      <w:r>
        <w:t>6.9.21 В проекте закрепления должна быть определена последовательность устройства элементов в плане и по глубине массива и технологические параметры (скорость проходки буросмесителя/форсунки, интенсивность подачи раствора, режимы инъекции, давление), позволяющие обеспечить требуемую форму, размеры и прочность закрепляемого элемента.</w:t>
      </w:r>
    </w:p>
    <w:p w:rsidR="00E35632" w:rsidRDefault="00E35632">
      <w:pPr>
        <w:pStyle w:val="ConsPlusNormal"/>
        <w:spacing w:before="220"/>
        <w:ind w:firstLine="540"/>
        <w:jc w:val="both"/>
      </w:pPr>
      <w:r>
        <w:t>6.9.22 По результатам опытно-производственных работ уточняют технологические параметры и назначают прочностные и деформационные характеристики. При необходимости выполняют корректировку проекта с уточнением фактических параметров закрепленного грунта.</w:t>
      </w:r>
    </w:p>
    <w:p w:rsidR="00E35632" w:rsidRDefault="00E35632">
      <w:pPr>
        <w:pStyle w:val="ConsPlusNormal"/>
        <w:jc w:val="both"/>
      </w:pPr>
      <w:r>
        <w:lastRenderedPageBreak/>
        <w:t xml:space="preserve">(п. 6.9.22 в ред. </w:t>
      </w:r>
      <w:hyperlink r:id="rId686">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6.9.23 Технологией производства работ по созданию закрепленного массива грунта должна быть обеспечена минимизация негативного воздействия на основание фундаментов возводимого или существующего сооружения.</w:t>
      </w:r>
    </w:p>
    <w:p w:rsidR="00E35632" w:rsidRDefault="00E35632">
      <w:pPr>
        <w:pStyle w:val="ConsPlusNormal"/>
        <w:jc w:val="both"/>
      </w:pPr>
      <w:r>
        <w:t xml:space="preserve">(п. 6.9.23 в ред. </w:t>
      </w:r>
      <w:hyperlink r:id="rId687">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 xml:space="preserve">6.9.24 Выбор метода закрепления грунтов следует выполнять с учетом оценки конструктивной и экономической эффективности (см. </w:t>
      </w:r>
      <w:hyperlink w:anchor="P8265">
        <w:r>
          <w:rPr>
            <w:color w:val="0000FF"/>
          </w:rPr>
          <w:t>приложение Р</w:t>
        </w:r>
      </w:hyperlink>
      <w:r>
        <w:t>).</w:t>
      </w:r>
    </w:p>
    <w:p w:rsidR="00E35632" w:rsidRDefault="00E35632">
      <w:pPr>
        <w:pStyle w:val="ConsPlusNormal"/>
        <w:jc w:val="both"/>
      </w:pPr>
      <w:r>
        <w:t xml:space="preserve">(п. 6.9.24 введен </w:t>
      </w:r>
      <w:hyperlink r:id="rId688">
        <w:r>
          <w:rPr>
            <w:color w:val="0000FF"/>
          </w:rPr>
          <w:t>Изменением N 2</w:t>
        </w:r>
      </w:hyperlink>
      <w:r>
        <w:t>, утв. Приказом Минстроя России от 24.01.2019 N 43/пр)</w:t>
      </w:r>
    </w:p>
    <w:p w:rsidR="00E35632" w:rsidRDefault="00E35632">
      <w:pPr>
        <w:pStyle w:val="ConsPlusNormal"/>
        <w:spacing w:before="220"/>
        <w:ind w:firstLine="540"/>
        <w:jc w:val="both"/>
      </w:pPr>
      <w:r>
        <w:t>6.9.25 Критерии конструктивной эффективности должны обеспечивать выбор оптимального решения исходя из обеспечения безопасной эксплуатации объекта в соответствии с требованиями допустимых показателей по деформируемости отдельных элементов или объекта в целом. Критерии экономической эффективности должны обеспечивать минимизацию затрат для принятого варианта усиления в сравнении с другими вариантами при условии обеспечения требований конструктивной безопасности.</w:t>
      </w:r>
    </w:p>
    <w:p w:rsidR="00E35632" w:rsidRDefault="00E35632">
      <w:pPr>
        <w:pStyle w:val="ConsPlusNormal"/>
        <w:jc w:val="both"/>
      </w:pPr>
      <w:r>
        <w:t xml:space="preserve">(п. 6.9.25 введен </w:t>
      </w:r>
      <w:hyperlink r:id="rId689">
        <w:r>
          <w:rPr>
            <w:color w:val="0000FF"/>
          </w:rPr>
          <w:t>Изменением N 2</w:t>
        </w:r>
      </w:hyperlink>
      <w:r>
        <w:t>, утв. Приказом Минстроя России от 24.01.2019 N 43/пр)</w:t>
      </w:r>
    </w:p>
    <w:p w:rsidR="00E35632" w:rsidRDefault="00E35632">
      <w:pPr>
        <w:pStyle w:val="ConsPlusNormal"/>
        <w:spacing w:before="220"/>
        <w:ind w:firstLine="540"/>
        <w:jc w:val="both"/>
      </w:pPr>
      <w:r>
        <w:t xml:space="preserve">6.9.26 В качестве расчетных показателей критериев конструктивной эффективности для материалов, используемых при закреплении/усилении грунта/создания армированных массивов, следует принимать значения </w:t>
      </w:r>
      <w:r>
        <w:rPr>
          <w:i/>
        </w:rPr>
        <w:t>E</w:t>
      </w:r>
      <w:r>
        <w:rPr>
          <w:i/>
          <w:vertAlign w:val="subscript"/>
        </w:rPr>
        <w:t>p</w:t>
      </w:r>
      <w:r>
        <w:t xml:space="preserve">, </w:t>
      </w:r>
      <w:r>
        <w:rPr>
          <w:i/>
        </w:rPr>
        <w:t>R</w:t>
      </w:r>
      <w:r>
        <w:rPr>
          <w:i/>
          <w:vertAlign w:val="subscript"/>
        </w:rPr>
        <w:t>p</w:t>
      </w:r>
      <w:r>
        <w:t xml:space="preserve"> (модуль деформации и прочность на одноосное сжатие раствора, инъецируемого в грунт, независимо от способа инъекции.</w:t>
      </w:r>
    </w:p>
    <w:p w:rsidR="00E35632" w:rsidRDefault="00E35632">
      <w:pPr>
        <w:pStyle w:val="ConsPlusNormal"/>
        <w:jc w:val="both"/>
      </w:pPr>
      <w:r>
        <w:t xml:space="preserve">(п. 6.9.26 введен </w:t>
      </w:r>
      <w:hyperlink r:id="rId690">
        <w:r>
          <w:rPr>
            <w:color w:val="0000FF"/>
          </w:rPr>
          <w:t>Изменением N 2</w:t>
        </w:r>
      </w:hyperlink>
      <w:r>
        <w:t>, утв. Приказом Минстроя России от 24.01.2019 N 43/пр)</w:t>
      </w:r>
    </w:p>
    <w:p w:rsidR="00E35632" w:rsidRDefault="00E35632">
      <w:pPr>
        <w:pStyle w:val="ConsPlusTitle"/>
        <w:spacing w:before="220"/>
        <w:ind w:firstLine="540"/>
        <w:jc w:val="both"/>
        <w:outlineLvl w:val="2"/>
      </w:pPr>
      <w:bookmarkStart w:id="194" w:name="P3697"/>
      <w:bookmarkEnd w:id="194"/>
      <w:r>
        <w:t>6.10 Армированные грунты</w:t>
      </w:r>
    </w:p>
    <w:p w:rsidR="00E35632" w:rsidRDefault="00E35632">
      <w:pPr>
        <w:pStyle w:val="ConsPlusNormal"/>
        <w:spacing w:before="220"/>
        <w:ind w:firstLine="540"/>
        <w:jc w:val="both"/>
      </w:pPr>
      <w:r>
        <w:t>6.10.1 Армирование грунта является методом преобразования его свойств путем введения в него специальных элементов, обеспечивающих улучшение деформационных и прочностных характеристик.</w:t>
      </w:r>
    </w:p>
    <w:p w:rsidR="00E35632" w:rsidRDefault="00E35632">
      <w:pPr>
        <w:pStyle w:val="ConsPlusNormal"/>
        <w:spacing w:before="220"/>
        <w:ind w:firstLine="540"/>
        <w:jc w:val="both"/>
      </w:pPr>
      <w:r>
        <w:t>6.10.2 Армирование грунта подразделяется по характеру расположения армирующих элементов, по материалу элементов, по способу производства работ.</w:t>
      </w:r>
    </w:p>
    <w:p w:rsidR="00E35632" w:rsidRDefault="00E35632">
      <w:pPr>
        <w:pStyle w:val="ConsPlusNormal"/>
        <w:spacing w:before="220"/>
        <w:ind w:firstLine="540"/>
        <w:jc w:val="both"/>
      </w:pPr>
      <w:r>
        <w:t>По характеру расположения армирующих элементов армирование грунта подразделяется:</w:t>
      </w:r>
    </w:p>
    <w:p w:rsidR="00E35632" w:rsidRDefault="00E35632">
      <w:pPr>
        <w:pStyle w:val="ConsPlusNormal"/>
        <w:spacing w:before="220"/>
        <w:ind w:firstLine="540"/>
        <w:jc w:val="both"/>
      </w:pPr>
      <w:r>
        <w:t>- на вертикальное (</w:t>
      </w:r>
      <w:hyperlink w:anchor="P3734">
        <w:r>
          <w:rPr>
            <w:color w:val="0000FF"/>
          </w:rPr>
          <w:t>рисунок 6.14</w:t>
        </w:r>
      </w:hyperlink>
      <w:r>
        <w:t xml:space="preserve"> а, б);</w:t>
      </w:r>
    </w:p>
    <w:p w:rsidR="00E35632" w:rsidRDefault="00E35632">
      <w:pPr>
        <w:pStyle w:val="ConsPlusNormal"/>
        <w:spacing w:before="220"/>
        <w:ind w:firstLine="540"/>
        <w:jc w:val="both"/>
      </w:pPr>
      <w:r>
        <w:t>- горизонтальное (</w:t>
      </w:r>
      <w:hyperlink w:anchor="P3734">
        <w:r>
          <w:rPr>
            <w:color w:val="0000FF"/>
          </w:rPr>
          <w:t>рисунок 6.14</w:t>
        </w:r>
      </w:hyperlink>
      <w:r>
        <w:t xml:space="preserve"> в, г, д);</w:t>
      </w:r>
    </w:p>
    <w:p w:rsidR="00E35632" w:rsidRDefault="00E35632">
      <w:pPr>
        <w:pStyle w:val="ConsPlusNormal"/>
        <w:spacing w:before="220"/>
        <w:ind w:firstLine="540"/>
        <w:jc w:val="both"/>
      </w:pPr>
      <w:r>
        <w:t>- наклонное в одном или нескольких направлениях (</w:t>
      </w:r>
      <w:hyperlink w:anchor="P3734">
        <w:r>
          <w:rPr>
            <w:color w:val="0000FF"/>
          </w:rPr>
          <w:t>рисунок 6.14</w:t>
        </w:r>
      </w:hyperlink>
      <w:r>
        <w:t xml:space="preserve"> е, ж, з);</w:t>
      </w:r>
    </w:p>
    <w:p w:rsidR="00E35632" w:rsidRDefault="00E35632">
      <w:pPr>
        <w:pStyle w:val="ConsPlusNormal"/>
        <w:spacing w:before="220"/>
        <w:ind w:firstLine="540"/>
        <w:jc w:val="both"/>
      </w:pPr>
      <w:r>
        <w:t>- ячеистыми структурами (</w:t>
      </w:r>
      <w:hyperlink w:anchor="P3734">
        <w:r>
          <w:rPr>
            <w:color w:val="0000FF"/>
          </w:rPr>
          <w:t>рисунок 6.14</w:t>
        </w:r>
      </w:hyperlink>
      <w:r>
        <w:t xml:space="preserve"> и, к);</w:t>
      </w:r>
    </w:p>
    <w:p w:rsidR="00E35632" w:rsidRDefault="00E35632">
      <w:pPr>
        <w:pStyle w:val="ConsPlusNormal"/>
        <w:spacing w:before="220"/>
        <w:ind w:firstLine="540"/>
        <w:jc w:val="both"/>
      </w:pPr>
      <w:r>
        <w:t>- объемно-дисперсное.</w:t>
      </w:r>
    </w:p>
    <w:p w:rsidR="00E35632" w:rsidRDefault="00E35632">
      <w:pPr>
        <w:pStyle w:val="ConsPlusNormal"/>
        <w:spacing w:before="220"/>
        <w:ind w:firstLine="540"/>
        <w:jc w:val="both"/>
      </w:pPr>
      <w:r>
        <w:t>По материалу армирующих элементов армирование грунта подразделяется на выполняемое:</w:t>
      </w:r>
    </w:p>
    <w:p w:rsidR="00E35632" w:rsidRDefault="00E35632">
      <w:pPr>
        <w:pStyle w:val="ConsPlusNormal"/>
        <w:spacing w:before="220"/>
        <w:ind w:firstLine="540"/>
        <w:jc w:val="both"/>
      </w:pPr>
      <w:r>
        <w:t>- из железобетонных элементов;</w:t>
      </w:r>
    </w:p>
    <w:p w:rsidR="00E35632" w:rsidRDefault="00E35632">
      <w:pPr>
        <w:pStyle w:val="ConsPlusNormal"/>
        <w:spacing w:before="220"/>
        <w:ind w:firstLine="540"/>
        <w:jc w:val="both"/>
      </w:pPr>
      <w:r>
        <w:t xml:space="preserve">- закрепленного грунта, в том числе по струйной или буросмесительной технологии (см. </w:t>
      </w:r>
      <w:hyperlink w:anchor="P3542">
        <w:r>
          <w:rPr>
            <w:color w:val="0000FF"/>
          </w:rPr>
          <w:t>6.9</w:t>
        </w:r>
      </w:hyperlink>
      <w:r>
        <w:t>);</w:t>
      </w:r>
    </w:p>
    <w:p w:rsidR="00E35632" w:rsidRDefault="00E35632">
      <w:pPr>
        <w:pStyle w:val="ConsPlusNormal"/>
        <w:spacing w:before="220"/>
        <w:ind w:firstLine="540"/>
        <w:jc w:val="both"/>
      </w:pPr>
      <w:r>
        <w:t>- металлических элементов;</w:t>
      </w:r>
    </w:p>
    <w:p w:rsidR="00E35632" w:rsidRDefault="00E35632">
      <w:pPr>
        <w:pStyle w:val="ConsPlusNormal"/>
        <w:spacing w:before="220"/>
        <w:ind w:firstLine="540"/>
        <w:jc w:val="both"/>
      </w:pPr>
      <w:r>
        <w:t>- геотекстиля, полимерных пленок, волокон, нитей, кордовой ткани.</w:t>
      </w:r>
    </w:p>
    <w:p w:rsidR="00E35632" w:rsidRDefault="00E35632">
      <w:pPr>
        <w:pStyle w:val="ConsPlusNormal"/>
        <w:spacing w:before="220"/>
        <w:ind w:firstLine="540"/>
        <w:jc w:val="both"/>
      </w:pPr>
      <w:r>
        <w:t xml:space="preserve">В проекте может предусматриваться армирование как естественного массива грунта, так и </w:t>
      </w:r>
      <w:r>
        <w:lastRenderedPageBreak/>
        <w:t>грунта искусственного основания. По способу производства работ армирование грунта (массива грунта) подразделяется на армирование:</w:t>
      </w:r>
    </w:p>
    <w:p w:rsidR="00E35632" w:rsidRDefault="00E35632">
      <w:pPr>
        <w:pStyle w:val="ConsPlusNormal"/>
        <w:spacing w:before="220"/>
        <w:ind w:firstLine="540"/>
        <w:jc w:val="both"/>
      </w:pPr>
      <w:r>
        <w:t>- с использованием погружения инвентарных элементов;</w:t>
      </w:r>
    </w:p>
    <w:p w:rsidR="00E35632" w:rsidRDefault="00E35632">
      <w:pPr>
        <w:pStyle w:val="ConsPlusNormal"/>
        <w:spacing w:before="220"/>
        <w:ind w:firstLine="540"/>
        <w:jc w:val="both"/>
      </w:pPr>
      <w:r>
        <w:t>- бетонированием или инъекцией;</w:t>
      </w:r>
    </w:p>
    <w:p w:rsidR="00E35632" w:rsidRDefault="00E35632">
      <w:pPr>
        <w:pStyle w:val="ConsPlusNormal"/>
        <w:spacing w:before="220"/>
        <w:ind w:firstLine="540"/>
        <w:jc w:val="both"/>
      </w:pPr>
      <w:r>
        <w:t>- расстилкой и раскладкой армирующих элементов и последующей засыпкой или замывом.</w:t>
      </w:r>
    </w:p>
    <w:p w:rsidR="00E35632" w:rsidRDefault="00E35632">
      <w:pPr>
        <w:pStyle w:val="ConsPlusNormal"/>
        <w:spacing w:before="220"/>
        <w:ind w:firstLine="540"/>
        <w:jc w:val="both"/>
      </w:pPr>
      <w:r>
        <w:t>6.10.3 Вертикальное армирование следует применять для улучшения свойств естественных или устройства искусственных оснований, повышения устойчивости склонов и откосов, снижения деформаций окружающей застройки и подземных коммуникаций при проведении строительных работ в непосредственной близости от них.</w:t>
      </w:r>
    </w:p>
    <w:p w:rsidR="00E35632" w:rsidRDefault="00E35632">
      <w:pPr>
        <w:pStyle w:val="ConsPlusNormal"/>
        <w:spacing w:before="220"/>
        <w:ind w:firstLine="540"/>
        <w:jc w:val="both"/>
      </w:pPr>
      <w:r>
        <w:t>В качестве армирующих элементов допускается использовать железобетонные, бетонные, цементогрунтовые (устраиваемые путем цементации, струйной технологии или буросмесительным способом), металлические элементы, а также столбы из песчаных грунтов или щебня.</w:t>
      </w:r>
    </w:p>
    <w:p w:rsidR="00E35632" w:rsidRDefault="00E35632">
      <w:pPr>
        <w:pStyle w:val="ConsPlusNormal"/>
        <w:spacing w:before="220"/>
        <w:ind w:firstLine="540"/>
        <w:jc w:val="both"/>
      </w:pPr>
      <w:r>
        <w:t>6.10.4 Горизонтальное армирование следует предусматривать:</w:t>
      </w:r>
    </w:p>
    <w:p w:rsidR="00E35632" w:rsidRDefault="00E35632">
      <w:pPr>
        <w:pStyle w:val="ConsPlusNormal"/>
        <w:spacing w:before="220"/>
        <w:ind w:firstLine="540"/>
        <w:jc w:val="both"/>
      </w:pPr>
      <w:r>
        <w:t>- для исключения выпора слабых грунтов из-под сооружения или искусственной насыпи;</w:t>
      </w:r>
    </w:p>
    <w:p w:rsidR="00E35632" w:rsidRDefault="00E35632">
      <w:pPr>
        <w:pStyle w:val="ConsPlusNormal"/>
        <w:spacing w:before="220"/>
        <w:ind w:firstLine="540"/>
        <w:jc w:val="both"/>
      </w:pPr>
      <w:r>
        <w:t>- повышения устойчивости склонов и откосов;</w:t>
      </w:r>
    </w:p>
    <w:p w:rsidR="00E35632" w:rsidRDefault="00E35632">
      <w:pPr>
        <w:pStyle w:val="ConsPlusNormal"/>
        <w:spacing w:before="220"/>
        <w:ind w:firstLine="540"/>
        <w:jc w:val="both"/>
      </w:pPr>
      <w:r>
        <w:t>- снижения активного и повышения пассивного давления грунта на подпорные стены и сооружения.</w:t>
      </w:r>
    </w:p>
    <w:p w:rsidR="00E35632" w:rsidRDefault="00E35632">
      <w:pPr>
        <w:pStyle w:val="ConsPlusNormal"/>
        <w:spacing w:before="220"/>
        <w:ind w:firstLine="540"/>
        <w:jc w:val="both"/>
      </w:pPr>
      <w:r>
        <w:t>Горизонтальное армирование следует выполнять с применением металлических нагелей, геотекстиля, полимерных пленок и волокон, кордовой ткани.</w:t>
      </w:r>
    </w:p>
    <w:p w:rsidR="00E35632" w:rsidRDefault="00E35632">
      <w:pPr>
        <w:pStyle w:val="ConsPlusNormal"/>
        <w:spacing w:before="220"/>
        <w:ind w:firstLine="540"/>
        <w:jc w:val="both"/>
      </w:pPr>
      <w:r>
        <w:t>6.10.5 Наклонное армирование в одном или нескольких направлениях следует предусматривать для повышения устойчивости склонов и откосов; повышения несущей способности и деформационных характеристик основания, как при новом строительстве, так и при усилении оснований существующих сооружений; снижения активного и повышения пассивного давления грунта на подпорные стены и сооружения.</w:t>
      </w:r>
    </w:p>
    <w:p w:rsidR="00E35632" w:rsidRDefault="00E35632">
      <w:pPr>
        <w:pStyle w:val="ConsPlusNormal"/>
        <w:spacing w:before="220"/>
        <w:ind w:firstLine="540"/>
        <w:jc w:val="both"/>
      </w:pPr>
      <w:r>
        <w:t>Наклонное армирование может выполняться путем устройства элементов с применением свай, струйной и буросмесительной технологии или путем устройства грунтовых нагелей.</w:t>
      </w:r>
    </w:p>
    <w:p w:rsidR="00E35632" w:rsidRDefault="00E35632">
      <w:pPr>
        <w:pStyle w:val="ConsPlusNormal"/>
        <w:jc w:val="both"/>
      </w:pPr>
    </w:p>
    <w:p w:rsidR="00E35632" w:rsidRDefault="00E35632">
      <w:pPr>
        <w:pStyle w:val="ConsPlusNormal"/>
        <w:jc w:val="center"/>
      </w:pPr>
      <w:r>
        <w:rPr>
          <w:noProof/>
          <w:position w:val="-146"/>
        </w:rPr>
        <w:drawing>
          <wp:inline distT="0" distB="0" distL="0" distR="0">
            <wp:extent cx="5203825" cy="2004695"/>
            <wp:effectExtent l="0" t="0" r="0" b="0"/>
            <wp:docPr id="4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5203825" cy="2004695"/>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r>
        <w:rPr>
          <w:noProof/>
          <w:position w:val="-540"/>
        </w:rPr>
        <w:lastRenderedPageBreak/>
        <w:drawing>
          <wp:inline distT="0" distB="0" distL="0" distR="0">
            <wp:extent cx="5109845" cy="7000240"/>
            <wp:effectExtent l="0" t="0" r="0" b="0"/>
            <wp:docPr id="4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5109845" cy="700024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r>
        <w:rPr>
          <w:noProof/>
          <w:position w:val="-160"/>
        </w:rPr>
        <w:lastRenderedPageBreak/>
        <w:drawing>
          <wp:inline distT="0" distB="0" distL="0" distR="0">
            <wp:extent cx="5163185" cy="2172335"/>
            <wp:effectExtent l="0" t="0" r="0" b="0"/>
            <wp:docPr id="4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5163185" cy="2172335"/>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r>
        <w:rPr>
          <w:i/>
        </w:rPr>
        <w:t>1</w:t>
      </w:r>
      <w:r>
        <w:t xml:space="preserve"> - армирующие элементы; </w:t>
      </w:r>
      <w:r>
        <w:rPr>
          <w:i/>
        </w:rPr>
        <w:t>2</w:t>
      </w:r>
      <w:r>
        <w:t xml:space="preserve"> - слабый грунт;</w:t>
      </w:r>
    </w:p>
    <w:p w:rsidR="00E35632" w:rsidRDefault="00E35632">
      <w:pPr>
        <w:pStyle w:val="ConsPlusNormal"/>
        <w:jc w:val="center"/>
      </w:pPr>
      <w:r>
        <w:rPr>
          <w:i/>
        </w:rPr>
        <w:t>3</w:t>
      </w:r>
      <w:r>
        <w:t xml:space="preserve"> - насыпной грунт; </w:t>
      </w:r>
      <w:r>
        <w:rPr>
          <w:i/>
        </w:rPr>
        <w:t>4</w:t>
      </w:r>
      <w:r>
        <w:t xml:space="preserve"> - облицовка</w:t>
      </w:r>
    </w:p>
    <w:p w:rsidR="00E35632" w:rsidRDefault="00E35632">
      <w:pPr>
        <w:pStyle w:val="ConsPlusNormal"/>
        <w:jc w:val="both"/>
      </w:pPr>
    </w:p>
    <w:p w:rsidR="00E35632" w:rsidRDefault="00E35632">
      <w:pPr>
        <w:pStyle w:val="ConsPlusNormal"/>
        <w:jc w:val="center"/>
      </w:pPr>
      <w:bookmarkStart w:id="195" w:name="P3734"/>
      <w:bookmarkEnd w:id="195"/>
      <w:r>
        <w:rPr>
          <w:b/>
          <w:i/>
        </w:rPr>
        <w:t>Рисунок 6.14</w:t>
      </w:r>
      <w:r>
        <w:t xml:space="preserve"> </w:t>
      </w:r>
      <w:r>
        <w:rPr>
          <w:b/>
        </w:rPr>
        <w:t>- Схемы усиления</w:t>
      </w:r>
    </w:p>
    <w:p w:rsidR="00E35632" w:rsidRDefault="00E35632">
      <w:pPr>
        <w:pStyle w:val="ConsPlusNormal"/>
        <w:jc w:val="center"/>
      </w:pPr>
      <w:r>
        <w:rPr>
          <w:b/>
        </w:rPr>
        <w:t>основания армирующими элементами</w:t>
      </w:r>
    </w:p>
    <w:p w:rsidR="00E35632" w:rsidRDefault="00E35632">
      <w:pPr>
        <w:pStyle w:val="ConsPlusNormal"/>
        <w:jc w:val="both"/>
      </w:pPr>
    </w:p>
    <w:p w:rsidR="00E35632" w:rsidRDefault="00E35632">
      <w:pPr>
        <w:pStyle w:val="ConsPlusNormal"/>
        <w:ind w:firstLine="540"/>
        <w:jc w:val="both"/>
      </w:pPr>
      <w:r>
        <w:t>6.10.6 В проектной документации на устройство армированных оснований должны быть определены и указаны:</w:t>
      </w:r>
    </w:p>
    <w:p w:rsidR="00E35632" w:rsidRDefault="00E35632">
      <w:pPr>
        <w:pStyle w:val="ConsPlusNormal"/>
        <w:spacing w:before="220"/>
        <w:ind w:firstLine="540"/>
        <w:jc w:val="both"/>
      </w:pPr>
      <w:r>
        <w:t>- тип применяемых армирующих элементов, их номенклатура или размеры, их прочностные и деформационные характеристики;</w:t>
      </w:r>
    </w:p>
    <w:p w:rsidR="00E35632" w:rsidRDefault="00E35632">
      <w:pPr>
        <w:pStyle w:val="ConsPlusNormal"/>
        <w:spacing w:before="220"/>
        <w:ind w:firstLine="540"/>
        <w:jc w:val="both"/>
      </w:pPr>
      <w:r>
        <w:t>- размещение армирующих элементов в плане и по высоте;</w:t>
      </w:r>
    </w:p>
    <w:p w:rsidR="00E35632" w:rsidRDefault="00E35632">
      <w:pPr>
        <w:pStyle w:val="ConsPlusNormal"/>
        <w:spacing w:before="220"/>
        <w:ind w:firstLine="540"/>
        <w:jc w:val="both"/>
      </w:pPr>
      <w:r>
        <w:t>- прочностные и деформационные характеристики насыпного грунта (при наличии), требования к степени его уплотнения;</w:t>
      </w:r>
    </w:p>
    <w:p w:rsidR="00E35632" w:rsidRDefault="00E35632">
      <w:pPr>
        <w:pStyle w:val="ConsPlusNormal"/>
        <w:spacing w:before="220"/>
        <w:ind w:firstLine="540"/>
        <w:jc w:val="both"/>
      </w:pPr>
      <w:r>
        <w:t>- прочностные и деформационные характеристики армированного грунта в целом (при необходимости).</w:t>
      </w:r>
    </w:p>
    <w:p w:rsidR="00E35632" w:rsidRDefault="00E35632">
      <w:pPr>
        <w:pStyle w:val="ConsPlusNormal"/>
        <w:spacing w:before="220"/>
        <w:ind w:firstLine="540"/>
        <w:jc w:val="both"/>
      </w:pPr>
      <w:bookmarkStart w:id="196" w:name="P3742"/>
      <w:bookmarkEnd w:id="196"/>
      <w:r>
        <w:t xml:space="preserve">6.10.7 В случае применения армирования грунтовых массивов при наличии в основании агрессивных грунтов или подземных вод следует предусматривать разработку мероприятий по защите армирующих элементов от коррозии в соответствии с требованиями </w:t>
      </w:r>
      <w:hyperlink r:id="rId694">
        <w:r>
          <w:rPr>
            <w:color w:val="0000FF"/>
          </w:rPr>
          <w:t>СП 28.13330</w:t>
        </w:r>
      </w:hyperlink>
      <w:r>
        <w:t>.</w:t>
      </w:r>
    </w:p>
    <w:p w:rsidR="00E35632" w:rsidRDefault="00E35632">
      <w:pPr>
        <w:pStyle w:val="ConsPlusNormal"/>
        <w:spacing w:before="220"/>
        <w:ind w:firstLine="540"/>
        <w:jc w:val="both"/>
      </w:pPr>
      <w:r>
        <w:t>6.10.8 Проектирование оснований с применением упрочнения грунтов посредством их армирования горизонтальными, наклонными или вертикальными элементами в ненарушенных массивах природного сложения или в насыпных толщах при их послойном возведении следует предусматривать следующие этапы:</w:t>
      </w:r>
    </w:p>
    <w:p w:rsidR="00E35632" w:rsidRDefault="00E35632">
      <w:pPr>
        <w:pStyle w:val="ConsPlusNormal"/>
        <w:spacing w:before="220"/>
        <w:ind w:firstLine="540"/>
        <w:jc w:val="both"/>
      </w:pPr>
      <w:r>
        <w:t>- выявление зоны, в которой требуется выполнить армирование грунта;</w:t>
      </w:r>
    </w:p>
    <w:p w:rsidR="00E35632" w:rsidRDefault="00E35632">
      <w:pPr>
        <w:pStyle w:val="ConsPlusNormal"/>
        <w:spacing w:before="220"/>
        <w:ind w:firstLine="540"/>
        <w:jc w:val="both"/>
      </w:pPr>
      <w:r>
        <w:t>- оценка свойств массива или насыпи с учетом наличия в них армирующих элементов;</w:t>
      </w:r>
    </w:p>
    <w:p w:rsidR="00E35632" w:rsidRDefault="00E35632">
      <w:pPr>
        <w:pStyle w:val="ConsPlusNormal"/>
        <w:spacing w:before="220"/>
        <w:ind w:firstLine="540"/>
        <w:jc w:val="both"/>
      </w:pPr>
      <w:r>
        <w:t>- предварительное распределение армирующих элементов в выбранной зоне с назначением расстояний между ними по глубине и в плане, длин и иных геометрических характеристик армирующих элементов;</w:t>
      </w:r>
    </w:p>
    <w:p w:rsidR="00E35632" w:rsidRDefault="00E35632">
      <w:pPr>
        <w:pStyle w:val="ConsPlusNormal"/>
        <w:spacing w:before="220"/>
        <w:ind w:firstLine="540"/>
        <w:jc w:val="both"/>
      </w:pPr>
      <w:r>
        <w:t>- вычисление расчетных нагрузок и воздействий, определение напряжений в зонах армированного грунта;</w:t>
      </w:r>
    </w:p>
    <w:p w:rsidR="00E35632" w:rsidRDefault="00E35632">
      <w:pPr>
        <w:pStyle w:val="ConsPlusNormal"/>
        <w:spacing w:before="220"/>
        <w:ind w:firstLine="540"/>
        <w:jc w:val="both"/>
      </w:pPr>
      <w:r>
        <w:t xml:space="preserve">- в случае проектирования фундаментов, подбор требуемых размеров фундаментов в плане, проверка основания и фундаментов по двум группам предельных состояний с учетом анизотропии </w:t>
      </w:r>
      <w:r>
        <w:lastRenderedPageBreak/>
        <w:t>прочностных и деформационных характеристик армированного грунтового массива;</w:t>
      </w:r>
    </w:p>
    <w:p w:rsidR="00E35632" w:rsidRDefault="00E35632">
      <w:pPr>
        <w:pStyle w:val="ConsPlusNormal"/>
        <w:spacing w:before="220"/>
        <w:ind w:firstLine="540"/>
        <w:jc w:val="both"/>
      </w:pPr>
      <w:r>
        <w:t>- в случае проектирования откосов и подпорных конструкций, а также усиления склонов, проверка грунтового массива и подпорных конструкций по первой группе предельных состояний с учетом анизотропии характеристик армированного грунта или массива;</w:t>
      </w:r>
    </w:p>
    <w:p w:rsidR="00E35632" w:rsidRDefault="00E35632">
      <w:pPr>
        <w:pStyle w:val="ConsPlusNormal"/>
        <w:spacing w:before="220"/>
        <w:ind w:firstLine="540"/>
        <w:jc w:val="both"/>
      </w:pPr>
      <w:r>
        <w:t>- выбор конструкций и материалов для сжимаемых, растягиваемых или срезаемых армирующих элементов, уточнение их длин и наклона к горизонту в пределах соответствующих участков по высоте и в плане, назначение поперечных сечений элементов на основе проверки их прочности, сопротивления выдергиванию и вдавливанию, исходя из условия восприятия передаваемых на каждый из элементов усилий;</w:t>
      </w:r>
    </w:p>
    <w:p w:rsidR="00E35632" w:rsidRDefault="00E35632">
      <w:pPr>
        <w:pStyle w:val="ConsPlusNormal"/>
        <w:spacing w:before="220"/>
        <w:ind w:firstLine="540"/>
        <w:jc w:val="both"/>
      </w:pPr>
      <w:r>
        <w:t>- разработка мер по дренированию грунтового массива или насыпи и защите от коррозии армирующих элементов;</w:t>
      </w:r>
    </w:p>
    <w:p w:rsidR="00E35632" w:rsidRDefault="00E35632">
      <w:pPr>
        <w:pStyle w:val="ConsPlusNormal"/>
        <w:spacing w:before="220"/>
        <w:ind w:firstLine="540"/>
        <w:jc w:val="both"/>
      </w:pPr>
      <w:r>
        <w:t>- уточнение принятых параметров армирующих элементов на основе испытаний на моделях или в реальных условиях.</w:t>
      </w:r>
    </w:p>
    <w:p w:rsidR="00E35632" w:rsidRDefault="00E35632">
      <w:pPr>
        <w:pStyle w:val="ConsPlusNormal"/>
        <w:spacing w:before="220"/>
        <w:ind w:firstLine="540"/>
        <w:jc w:val="both"/>
      </w:pPr>
      <w:r>
        <w:t>6.10.9 Армирование грунтовых массивов и насыпей может осуществляться как с использованием одного армирующего материала, так и путем комбинации различных материалов и видов армирующих элементов.</w:t>
      </w:r>
    </w:p>
    <w:p w:rsidR="00E35632" w:rsidRDefault="00E35632">
      <w:pPr>
        <w:pStyle w:val="ConsPlusNormal"/>
        <w:spacing w:before="220"/>
        <w:ind w:firstLine="540"/>
        <w:jc w:val="both"/>
      </w:pPr>
      <w:r>
        <w:t>6.10.10 Армирующие материалы должны обладать необходимой прочностью, низкой ползучестью, долговечностью, высокими значениями коэффициента трения между армирующим материалом и грунтом.</w:t>
      </w:r>
    </w:p>
    <w:p w:rsidR="00E35632" w:rsidRDefault="00E35632">
      <w:pPr>
        <w:pStyle w:val="ConsPlusNormal"/>
        <w:spacing w:before="220"/>
        <w:ind w:firstLine="540"/>
        <w:jc w:val="both"/>
      </w:pPr>
      <w:r>
        <w:t xml:space="preserve">6.10.11 Армирующие элементы из стали должны удовлетворять требованиям </w:t>
      </w:r>
      <w:hyperlink r:id="rId695">
        <w:r>
          <w:rPr>
            <w:color w:val="0000FF"/>
          </w:rPr>
          <w:t>СП 16.13330</w:t>
        </w:r>
      </w:hyperlink>
      <w:r>
        <w:t xml:space="preserve">, а железобетонные и бетонные элементы - требованиям </w:t>
      </w:r>
      <w:hyperlink r:id="rId696">
        <w:r>
          <w:rPr>
            <w:color w:val="0000FF"/>
          </w:rPr>
          <w:t>СП 63.13330</w:t>
        </w:r>
      </w:hyperlink>
      <w:r>
        <w:t>.</w:t>
      </w:r>
    </w:p>
    <w:p w:rsidR="00E35632" w:rsidRDefault="00E35632">
      <w:pPr>
        <w:pStyle w:val="ConsPlusNormal"/>
        <w:spacing w:before="220"/>
        <w:ind w:firstLine="540"/>
        <w:jc w:val="both"/>
      </w:pPr>
      <w:r>
        <w:t>Армирующие элементы из геосинтетических материалов должны соответствовать требованиям действующих нормативных документов, иметь сопроводительную документацию, подтверждающую их соответствие нормативным требованиям, включая паспорта качества, и подвергаться входному контролю.</w:t>
      </w:r>
    </w:p>
    <w:p w:rsidR="00E35632" w:rsidRDefault="00E35632">
      <w:pPr>
        <w:pStyle w:val="ConsPlusNormal"/>
        <w:spacing w:before="220"/>
        <w:ind w:firstLine="540"/>
        <w:jc w:val="both"/>
      </w:pPr>
      <w:r>
        <w:t xml:space="preserve">Армирующие элементы из закрепленного грунта должны удовлетворять требованиям </w:t>
      </w:r>
      <w:hyperlink w:anchor="P3542">
        <w:r>
          <w:rPr>
            <w:color w:val="0000FF"/>
          </w:rPr>
          <w:t>6.9</w:t>
        </w:r>
      </w:hyperlink>
      <w:r>
        <w:t>.</w:t>
      </w:r>
    </w:p>
    <w:p w:rsidR="00E35632" w:rsidRDefault="00E35632">
      <w:pPr>
        <w:pStyle w:val="ConsPlusNormal"/>
        <w:spacing w:before="220"/>
        <w:ind w:firstLine="540"/>
        <w:jc w:val="both"/>
      </w:pPr>
      <w:r>
        <w:t>6.10.12 Расчет или проверка армированных оснований и армирующих их элементов должны быть выполнены по двум группам предельных состояний:</w:t>
      </w:r>
    </w:p>
    <w:p w:rsidR="00E35632" w:rsidRDefault="00E35632">
      <w:pPr>
        <w:pStyle w:val="ConsPlusNormal"/>
        <w:spacing w:before="220"/>
        <w:ind w:firstLine="540"/>
        <w:jc w:val="both"/>
      </w:pPr>
      <w:r>
        <w:t>Первая группа:</w:t>
      </w:r>
    </w:p>
    <w:p w:rsidR="00E35632" w:rsidRDefault="00E35632">
      <w:pPr>
        <w:pStyle w:val="ConsPlusNormal"/>
        <w:spacing w:before="220"/>
        <w:ind w:firstLine="540"/>
        <w:jc w:val="both"/>
      </w:pPr>
      <w:r>
        <w:t>- по несущей способности (предельному сопротивлению) грунта основания;</w:t>
      </w:r>
    </w:p>
    <w:p w:rsidR="00E35632" w:rsidRDefault="00E35632">
      <w:pPr>
        <w:pStyle w:val="ConsPlusNormal"/>
        <w:spacing w:before="220"/>
        <w:ind w:firstLine="540"/>
        <w:jc w:val="both"/>
      </w:pPr>
      <w:r>
        <w:t>- общей устойчивости оснований, если на них передаются значительные горизонтальные нагрузки, сооружение устраивается на откосе или вблизи него или армированное основание подстилается крутопадающими слоями грунта;</w:t>
      </w:r>
    </w:p>
    <w:p w:rsidR="00E35632" w:rsidRDefault="00E35632">
      <w:pPr>
        <w:pStyle w:val="ConsPlusNormal"/>
        <w:spacing w:before="220"/>
        <w:ind w:firstLine="540"/>
        <w:jc w:val="both"/>
      </w:pPr>
      <w:r>
        <w:t>- сопротивлению выдергиванию и вдавливанию армирующих элементов;</w:t>
      </w:r>
    </w:p>
    <w:p w:rsidR="00E35632" w:rsidRDefault="00E35632">
      <w:pPr>
        <w:pStyle w:val="ConsPlusNormal"/>
        <w:spacing w:before="220"/>
        <w:ind w:firstLine="540"/>
        <w:jc w:val="both"/>
      </w:pPr>
      <w:r>
        <w:t>- прочности материала армирующих элементов и облицовок.</w:t>
      </w:r>
    </w:p>
    <w:p w:rsidR="00E35632" w:rsidRDefault="00E35632">
      <w:pPr>
        <w:pStyle w:val="ConsPlusNormal"/>
        <w:spacing w:before="220"/>
        <w:ind w:firstLine="540"/>
        <w:jc w:val="both"/>
      </w:pPr>
      <w:r>
        <w:t>Вторая группа:</w:t>
      </w:r>
    </w:p>
    <w:p w:rsidR="00E35632" w:rsidRDefault="00E35632">
      <w:pPr>
        <w:pStyle w:val="ConsPlusNormal"/>
        <w:spacing w:before="220"/>
        <w:ind w:firstLine="540"/>
        <w:jc w:val="both"/>
      </w:pPr>
      <w:r>
        <w:t>- по деформациям;</w:t>
      </w:r>
    </w:p>
    <w:p w:rsidR="00E35632" w:rsidRDefault="00E35632">
      <w:pPr>
        <w:pStyle w:val="ConsPlusNormal"/>
        <w:spacing w:before="220"/>
        <w:ind w:firstLine="540"/>
        <w:jc w:val="both"/>
      </w:pPr>
      <w:r>
        <w:t xml:space="preserve">- по образованию или чрезмерному раскрытию трещин в железобетонных и бетонных армирующих элементах, если это требуется для защиты от коррозии (см. </w:t>
      </w:r>
      <w:hyperlink w:anchor="P3742">
        <w:r>
          <w:rPr>
            <w:color w:val="0000FF"/>
          </w:rPr>
          <w:t>6.10.7</w:t>
        </w:r>
      </w:hyperlink>
      <w:r>
        <w:t>).</w:t>
      </w:r>
    </w:p>
    <w:p w:rsidR="00E35632" w:rsidRDefault="00E35632">
      <w:pPr>
        <w:pStyle w:val="ConsPlusNormal"/>
        <w:spacing w:before="220"/>
        <w:ind w:firstLine="540"/>
        <w:jc w:val="both"/>
      </w:pPr>
      <w:r>
        <w:lastRenderedPageBreak/>
        <w:t xml:space="preserve">6.10.13 При проведении расчетов по предельным состояниям армированные в одном направлении основания допускается рассматривать как трансверсально-изотропную среду. Свойства такой среды допускается определять расчетом, натурными испытаниями либо численным моделированием в соответствии с требованиями </w:t>
      </w:r>
      <w:hyperlink w:anchor="P377">
        <w:r>
          <w:rPr>
            <w:color w:val="0000FF"/>
          </w:rPr>
          <w:t>5.1</w:t>
        </w:r>
      </w:hyperlink>
      <w:r>
        <w:t>.</w:t>
      </w:r>
    </w:p>
    <w:p w:rsidR="00E35632" w:rsidRDefault="00E35632">
      <w:pPr>
        <w:pStyle w:val="ConsPlusNormal"/>
        <w:spacing w:before="220"/>
        <w:ind w:firstLine="540"/>
        <w:jc w:val="both"/>
      </w:pPr>
      <w:r>
        <w:t>Основания, армированные в двух и более направлениях, а также ячеистыми структурами, допускается при проектировании рассматривать как анизотропную либо изотропную среду в зависимости от взаимного расположения разнонаправленных армирующих элементов. Свойства таких оснований следует определять численным моделированием или натурными испытаниями.</w:t>
      </w:r>
    </w:p>
    <w:p w:rsidR="00E35632" w:rsidRDefault="00E35632">
      <w:pPr>
        <w:pStyle w:val="ConsPlusNormal"/>
        <w:spacing w:before="220"/>
        <w:ind w:firstLine="540"/>
        <w:jc w:val="both"/>
      </w:pPr>
      <w:r>
        <w:t>Искусственные основания, устраиваемые с применением объемно-дисперсного армирования, следует рассматривать как изотропную среду. Свойства таких оснований следует определять на приготовленных образцах лабораторными или на опытных фрагментах натурными испытаниями.</w:t>
      </w:r>
    </w:p>
    <w:p w:rsidR="00E35632" w:rsidRDefault="00E35632">
      <w:pPr>
        <w:pStyle w:val="ConsPlusNormal"/>
        <w:spacing w:before="220"/>
        <w:ind w:firstLine="540"/>
        <w:jc w:val="both"/>
      </w:pPr>
      <w:r>
        <w:t>6.10.14 При применении геосинтетических материалов в качестве армирующих элементов коэффициенты трения между материалом и грунтом, а также прочность на разрыв их соединений следует определять на основании испытаний.</w:t>
      </w:r>
    </w:p>
    <w:p w:rsidR="00E35632" w:rsidRDefault="00E35632">
      <w:pPr>
        <w:pStyle w:val="ConsPlusNormal"/>
        <w:spacing w:before="220"/>
        <w:ind w:firstLine="540"/>
        <w:jc w:val="both"/>
      </w:pPr>
      <w:r>
        <w:t xml:space="preserve">6.10.15 При проектировании армированных массивов и насыпей следует проверить невозможность наступления предельных состояний первой группы, при которых происходит сдвиг или опрокидывание армированной области в целом, либо потеря несущей способности или сдвиг подстилающего неармированного грунта (см. </w:t>
      </w:r>
      <w:hyperlink w:anchor="P3780">
        <w:r>
          <w:rPr>
            <w:color w:val="0000FF"/>
          </w:rPr>
          <w:t>рисунок 6.15</w:t>
        </w:r>
      </w:hyperlink>
      <w:r>
        <w:t>).</w:t>
      </w:r>
    </w:p>
    <w:p w:rsidR="00E35632" w:rsidRDefault="00E35632">
      <w:pPr>
        <w:pStyle w:val="ConsPlusNormal"/>
        <w:spacing w:before="220"/>
        <w:ind w:firstLine="540"/>
        <w:jc w:val="both"/>
      </w:pPr>
      <w:r>
        <w:t xml:space="preserve">При выполнении проверки общей устойчивости и несущей способности основания в таких случаях армированный массив допускается считать недеформируемым жестким телом, а расчет следует выполнять в соответствии с требованиями </w:t>
      </w:r>
      <w:hyperlink w:anchor="P1830">
        <w:r>
          <w:rPr>
            <w:color w:val="0000FF"/>
          </w:rPr>
          <w:t>5.7.1</w:t>
        </w:r>
      </w:hyperlink>
      <w:r>
        <w:t xml:space="preserve">, </w:t>
      </w:r>
      <w:hyperlink w:anchor="P1873">
        <w:r>
          <w:rPr>
            <w:color w:val="0000FF"/>
          </w:rPr>
          <w:t>5.7.6</w:t>
        </w:r>
      </w:hyperlink>
      <w:r>
        <w:t xml:space="preserve"> - </w:t>
      </w:r>
      <w:hyperlink w:anchor="P1882">
        <w:r>
          <w:rPr>
            <w:color w:val="0000FF"/>
          </w:rPr>
          <w:t>5.7.10</w:t>
        </w:r>
      </w:hyperlink>
      <w:r>
        <w:t>.</w:t>
      </w:r>
    </w:p>
    <w:p w:rsidR="00E35632" w:rsidRDefault="00E35632">
      <w:pPr>
        <w:pStyle w:val="ConsPlusNormal"/>
        <w:jc w:val="both"/>
      </w:pPr>
    </w:p>
    <w:p w:rsidR="00E35632" w:rsidRDefault="00E35632">
      <w:pPr>
        <w:pStyle w:val="ConsPlusNormal"/>
        <w:jc w:val="center"/>
      </w:pPr>
      <w:r>
        <w:rPr>
          <w:noProof/>
          <w:position w:val="-269"/>
        </w:rPr>
        <w:drawing>
          <wp:inline distT="0" distB="0" distL="0" distR="0">
            <wp:extent cx="5180330" cy="3561080"/>
            <wp:effectExtent l="0" t="0" r="0" b="0"/>
            <wp:docPr id="4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5180330" cy="356108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r>
        <w:rPr>
          <w:i/>
        </w:rPr>
        <w:t>а</w:t>
      </w:r>
      <w:r>
        <w:t xml:space="preserve"> - сдвиг по подошве; </w:t>
      </w:r>
      <w:r>
        <w:rPr>
          <w:i/>
        </w:rPr>
        <w:t>б</w:t>
      </w:r>
      <w:r>
        <w:t xml:space="preserve"> - опрокидывание;</w:t>
      </w:r>
    </w:p>
    <w:p w:rsidR="00E35632" w:rsidRDefault="00E35632">
      <w:pPr>
        <w:pStyle w:val="ConsPlusNormal"/>
        <w:jc w:val="center"/>
      </w:pPr>
      <w:r>
        <w:rPr>
          <w:i/>
        </w:rPr>
        <w:t>в</w:t>
      </w:r>
      <w:r>
        <w:t xml:space="preserve"> - потеря несущей способности подстилающего</w:t>
      </w:r>
    </w:p>
    <w:p w:rsidR="00E35632" w:rsidRDefault="00E35632">
      <w:pPr>
        <w:pStyle w:val="ConsPlusNormal"/>
        <w:jc w:val="center"/>
      </w:pPr>
      <w:r>
        <w:t xml:space="preserve">массива грунта; </w:t>
      </w:r>
      <w:r>
        <w:rPr>
          <w:i/>
        </w:rPr>
        <w:t>г</w:t>
      </w:r>
      <w:r>
        <w:t xml:space="preserve"> - глубинный сдвиг</w:t>
      </w:r>
    </w:p>
    <w:p w:rsidR="00E35632" w:rsidRDefault="00E35632">
      <w:pPr>
        <w:pStyle w:val="ConsPlusNormal"/>
        <w:jc w:val="both"/>
      </w:pPr>
    </w:p>
    <w:p w:rsidR="00E35632" w:rsidRDefault="00E35632">
      <w:pPr>
        <w:pStyle w:val="ConsPlusNormal"/>
        <w:jc w:val="center"/>
      </w:pPr>
      <w:bookmarkStart w:id="197" w:name="P3780"/>
      <w:bookmarkEnd w:id="197"/>
      <w:r>
        <w:rPr>
          <w:b/>
          <w:i/>
        </w:rPr>
        <w:t>Рисунок 6.15</w:t>
      </w:r>
      <w:r>
        <w:t xml:space="preserve"> </w:t>
      </w:r>
      <w:r>
        <w:rPr>
          <w:b/>
        </w:rPr>
        <w:t>- Механизмы потери общей</w:t>
      </w:r>
    </w:p>
    <w:p w:rsidR="00E35632" w:rsidRDefault="00E35632">
      <w:pPr>
        <w:pStyle w:val="ConsPlusNormal"/>
        <w:jc w:val="center"/>
      </w:pPr>
      <w:r>
        <w:rPr>
          <w:b/>
        </w:rPr>
        <w:lastRenderedPageBreak/>
        <w:t>устойчивости и несущей способности оснований</w:t>
      </w:r>
    </w:p>
    <w:p w:rsidR="00E35632" w:rsidRDefault="00E35632">
      <w:pPr>
        <w:pStyle w:val="ConsPlusNormal"/>
        <w:jc w:val="center"/>
      </w:pPr>
      <w:r>
        <w:rPr>
          <w:b/>
        </w:rPr>
        <w:t>армированных массивов и грунтов</w:t>
      </w:r>
    </w:p>
    <w:p w:rsidR="00E35632" w:rsidRDefault="00E35632">
      <w:pPr>
        <w:pStyle w:val="ConsPlusNormal"/>
        <w:jc w:val="both"/>
      </w:pPr>
    </w:p>
    <w:p w:rsidR="00E35632" w:rsidRDefault="00E35632">
      <w:pPr>
        <w:pStyle w:val="ConsPlusNormal"/>
        <w:ind w:firstLine="540"/>
        <w:jc w:val="both"/>
      </w:pPr>
      <w:r>
        <w:t>6.10.16 Расчетные величины усилий в армирующих элементах допускается определять методами предельного равновесия или с помощью моделирования изменения напряженно-деформированного состояния армированного массива численными методами.</w:t>
      </w:r>
    </w:p>
    <w:p w:rsidR="00E35632" w:rsidRDefault="00E35632">
      <w:pPr>
        <w:pStyle w:val="ConsPlusNormal"/>
        <w:spacing w:before="220"/>
        <w:ind w:firstLine="540"/>
        <w:jc w:val="both"/>
      </w:pPr>
      <w:bookmarkStart w:id="198" w:name="P3785"/>
      <w:bookmarkEnd w:id="198"/>
      <w:r>
        <w:t>6.10.17 Армирующие элементы, в которых возникают растягивающие усилия, должны быть проверены расчетом по прочности их материала и по сопротивлению выдергиванию из грунтового массива или насыпного грунта.</w:t>
      </w:r>
    </w:p>
    <w:p w:rsidR="00E35632" w:rsidRDefault="00E35632">
      <w:pPr>
        <w:pStyle w:val="ConsPlusNormal"/>
        <w:spacing w:before="220"/>
        <w:ind w:firstLine="540"/>
        <w:jc w:val="both"/>
      </w:pPr>
      <w:r>
        <w:t>Проверку прочности по материалу растянутого армирующего элемента следует выполнять исходя из условия</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1212850" cy="267970"/>
            <wp:effectExtent l="0" t="0" r="0" b="0"/>
            <wp:docPr id="4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212850" cy="267970"/>
                    </a:xfrm>
                    <a:prstGeom prst="rect">
                      <a:avLst/>
                    </a:prstGeom>
                    <a:noFill/>
                    <a:ln>
                      <a:noFill/>
                    </a:ln>
                  </pic:spPr>
                </pic:pic>
              </a:graphicData>
            </a:graphic>
          </wp:inline>
        </w:drawing>
      </w:r>
      <w:r>
        <w:t xml:space="preserve"> (6.40)</w:t>
      </w:r>
    </w:p>
    <w:p w:rsidR="00E35632" w:rsidRDefault="00E35632">
      <w:pPr>
        <w:pStyle w:val="ConsPlusNormal"/>
        <w:jc w:val="both"/>
      </w:pPr>
    </w:p>
    <w:p w:rsidR="00E35632" w:rsidRDefault="00E35632">
      <w:pPr>
        <w:pStyle w:val="ConsPlusNormal"/>
        <w:ind w:firstLine="540"/>
        <w:jc w:val="both"/>
      </w:pPr>
      <w:r>
        <w:t xml:space="preserve">где </w:t>
      </w:r>
      <w:r>
        <w:rPr>
          <w:noProof/>
          <w:position w:val="-8"/>
        </w:rPr>
        <w:drawing>
          <wp:inline distT="0" distB="0" distL="0" distR="0">
            <wp:extent cx="175895" cy="251460"/>
            <wp:effectExtent l="0" t="0" r="0" b="0"/>
            <wp:docPr id="4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75895" cy="251460"/>
                    </a:xfrm>
                    <a:prstGeom prst="rect">
                      <a:avLst/>
                    </a:prstGeom>
                    <a:noFill/>
                    <a:ln>
                      <a:noFill/>
                    </a:ln>
                  </pic:spPr>
                </pic:pic>
              </a:graphicData>
            </a:graphic>
          </wp:inline>
        </w:drawing>
      </w:r>
      <w:r>
        <w:t xml:space="preserve"> - коэффициент надежности по ответственности сооружения;</w:t>
      </w:r>
    </w:p>
    <w:p w:rsidR="00E35632" w:rsidRDefault="00E35632">
      <w:pPr>
        <w:pStyle w:val="ConsPlusNormal"/>
        <w:spacing w:before="220"/>
        <w:ind w:firstLine="540"/>
        <w:jc w:val="both"/>
      </w:pPr>
      <w:r>
        <w:rPr>
          <w:i/>
        </w:rPr>
        <w:t>N</w:t>
      </w:r>
      <w:r>
        <w:rPr>
          <w:i/>
          <w:vertAlign w:val="subscript"/>
        </w:rPr>
        <w:t>d</w:t>
      </w:r>
      <w:r>
        <w:t xml:space="preserve"> - расчетное значение продольного усилия (нагрузочного эффекта) в анкерном элементе (кН или кН/м), определенное по первой группе предельных состояний;</w:t>
      </w:r>
    </w:p>
    <w:p w:rsidR="00E35632" w:rsidRDefault="00E35632">
      <w:pPr>
        <w:pStyle w:val="ConsPlusNormal"/>
        <w:spacing w:before="220"/>
        <w:ind w:firstLine="540"/>
        <w:jc w:val="both"/>
      </w:pPr>
      <w:r>
        <w:rPr>
          <w:i/>
        </w:rPr>
        <w:t>R</w:t>
      </w:r>
      <w:r>
        <w:rPr>
          <w:i/>
          <w:vertAlign w:val="subscript"/>
        </w:rPr>
        <w:t>r,d</w:t>
      </w:r>
      <w:r>
        <w:t xml:space="preserve"> - расчетное значение прочности армирующего элемента или его стыка на разрыв (кН или кН/м);</w:t>
      </w:r>
    </w:p>
    <w:p w:rsidR="00E35632" w:rsidRDefault="00E35632">
      <w:pPr>
        <w:pStyle w:val="ConsPlusNormal"/>
        <w:spacing w:before="220"/>
        <w:ind w:firstLine="540"/>
        <w:jc w:val="both"/>
      </w:pPr>
      <w:r>
        <w:rPr>
          <w:noProof/>
          <w:position w:val="-8"/>
        </w:rPr>
        <w:drawing>
          <wp:inline distT="0" distB="0" distL="0" distR="0">
            <wp:extent cx="175895" cy="251460"/>
            <wp:effectExtent l="0" t="0" r="0" b="0"/>
            <wp:docPr id="4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75895" cy="251460"/>
                    </a:xfrm>
                    <a:prstGeom prst="rect">
                      <a:avLst/>
                    </a:prstGeom>
                    <a:noFill/>
                    <a:ln>
                      <a:noFill/>
                    </a:ln>
                  </pic:spPr>
                </pic:pic>
              </a:graphicData>
            </a:graphic>
          </wp:inline>
        </w:drawing>
      </w:r>
      <w:r>
        <w:t xml:space="preserve"> - коэффициент надежности по ответственности сооружения, принимаемый в соответствии с </w:t>
      </w:r>
      <w:hyperlink r:id="rId701">
        <w:r>
          <w:rPr>
            <w:color w:val="0000FF"/>
          </w:rPr>
          <w:t>ГОСТ 27751</w:t>
        </w:r>
      </w:hyperlink>
      <w:r>
        <w:t>.</w:t>
      </w:r>
    </w:p>
    <w:p w:rsidR="00E35632" w:rsidRDefault="00E35632">
      <w:pPr>
        <w:pStyle w:val="ConsPlusNormal"/>
        <w:spacing w:before="220"/>
        <w:ind w:firstLine="540"/>
        <w:jc w:val="both"/>
      </w:pPr>
      <w:r>
        <w:t>Проверку по сопротивлению выдергиванию из грунтового массива или насыпного грунта армирующего элемента следует выполнять исходя из условия</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1285240" cy="267970"/>
            <wp:effectExtent l="0" t="0" r="0" b="0"/>
            <wp:docPr id="4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1285240" cy="267970"/>
                    </a:xfrm>
                    <a:prstGeom prst="rect">
                      <a:avLst/>
                    </a:prstGeom>
                    <a:noFill/>
                    <a:ln>
                      <a:noFill/>
                    </a:ln>
                  </pic:spPr>
                </pic:pic>
              </a:graphicData>
            </a:graphic>
          </wp:inline>
        </w:drawing>
      </w:r>
      <w:r>
        <w:t xml:space="preserve"> (6.41)</w:t>
      </w:r>
    </w:p>
    <w:p w:rsidR="00E35632" w:rsidRDefault="00E35632">
      <w:pPr>
        <w:pStyle w:val="ConsPlusNormal"/>
        <w:jc w:val="both"/>
      </w:pPr>
    </w:p>
    <w:p w:rsidR="00E35632" w:rsidRDefault="00E35632">
      <w:pPr>
        <w:pStyle w:val="ConsPlusNormal"/>
        <w:ind w:firstLine="540"/>
        <w:jc w:val="both"/>
      </w:pPr>
      <w:r>
        <w:t xml:space="preserve">где </w:t>
      </w:r>
      <w:r>
        <w:rPr>
          <w:i/>
        </w:rPr>
        <w:t>F</w:t>
      </w:r>
      <w:r>
        <w:rPr>
          <w:i/>
          <w:vertAlign w:val="subscript"/>
        </w:rPr>
        <w:t>r,d</w:t>
      </w:r>
      <w:r>
        <w:t xml:space="preserve"> - расчетное значение предельного сопротивления анкерной части армирующего элемента выдергиванию из грунта (кН или кН/м), определенное для расчетов по первой группе предельных состояний;</w:t>
      </w:r>
    </w:p>
    <w:p w:rsidR="00E35632" w:rsidRDefault="00E35632">
      <w:pPr>
        <w:pStyle w:val="ConsPlusNormal"/>
        <w:spacing w:before="220"/>
        <w:ind w:firstLine="540"/>
        <w:jc w:val="both"/>
      </w:pPr>
      <w:r>
        <w:rPr>
          <w:noProof/>
          <w:position w:val="-10"/>
        </w:rPr>
        <w:drawing>
          <wp:inline distT="0" distB="0" distL="0" distR="0">
            <wp:extent cx="276860" cy="267970"/>
            <wp:effectExtent l="0" t="0" r="0" b="0"/>
            <wp:docPr id="4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276860" cy="267970"/>
                    </a:xfrm>
                    <a:prstGeom prst="rect">
                      <a:avLst/>
                    </a:prstGeom>
                    <a:noFill/>
                    <a:ln>
                      <a:noFill/>
                    </a:ln>
                  </pic:spPr>
                </pic:pic>
              </a:graphicData>
            </a:graphic>
          </wp:inline>
        </w:drawing>
      </w:r>
      <w:r>
        <w:t xml:space="preserve"> - коэффициент условий работы, принимаемый равным:</w:t>
      </w:r>
    </w:p>
    <w:p w:rsidR="00E35632" w:rsidRDefault="00E35632">
      <w:pPr>
        <w:pStyle w:val="ConsPlusNormal"/>
        <w:spacing w:before="220"/>
        <w:ind w:firstLine="540"/>
        <w:jc w:val="both"/>
      </w:pPr>
      <w:r>
        <w:t>1,2 - если расчетное значение предельного сопротивления выдергиванию определено по результатам полевых испытаний;</w:t>
      </w:r>
    </w:p>
    <w:p w:rsidR="00E35632" w:rsidRDefault="00E35632">
      <w:pPr>
        <w:pStyle w:val="ConsPlusNormal"/>
        <w:spacing w:before="220"/>
        <w:ind w:firstLine="540"/>
        <w:jc w:val="both"/>
      </w:pPr>
      <w:r>
        <w:t>1,4 - если расчетное значение предельного сопротивления выдергиванию определено расчетом.</w:t>
      </w:r>
    </w:p>
    <w:p w:rsidR="00E35632" w:rsidRDefault="00E35632">
      <w:pPr>
        <w:pStyle w:val="ConsPlusNormal"/>
        <w:spacing w:before="220"/>
        <w:ind w:firstLine="540"/>
        <w:jc w:val="both"/>
      </w:pPr>
      <w:r>
        <w:t>6.10.18 Армирующие элементы, в которых возникают сжимающие усилия, должны быть проверены расчетом по прочности их материала и по сопротивлению вдавливанию в грунтовый массив (несущей способности по грунту).</w:t>
      </w:r>
    </w:p>
    <w:p w:rsidR="00E35632" w:rsidRDefault="00E35632">
      <w:pPr>
        <w:pStyle w:val="ConsPlusNormal"/>
        <w:spacing w:before="220"/>
        <w:ind w:firstLine="540"/>
        <w:jc w:val="both"/>
      </w:pPr>
      <w:r>
        <w:t>Проверку прочности по материалу сжатого армирующего элемента следует выполнять исходя из условия</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1117600" cy="251460"/>
            <wp:effectExtent l="0" t="0" r="0" b="0"/>
            <wp:docPr id="4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17600" cy="251460"/>
                    </a:xfrm>
                    <a:prstGeom prst="rect">
                      <a:avLst/>
                    </a:prstGeom>
                    <a:noFill/>
                    <a:ln>
                      <a:noFill/>
                    </a:ln>
                  </pic:spPr>
                </pic:pic>
              </a:graphicData>
            </a:graphic>
          </wp:inline>
        </w:drawing>
      </w:r>
      <w:r>
        <w:t xml:space="preserve"> (6.42)</w:t>
      </w:r>
    </w:p>
    <w:p w:rsidR="00E35632" w:rsidRDefault="00E35632">
      <w:pPr>
        <w:pStyle w:val="ConsPlusNormal"/>
        <w:jc w:val="both"/>
      </w:pPr>
    </w:p>
    <w:p w:rsidR="00E35632" w:rsidRDefault="00E35632">
      <w:pPr>
        <w:pStyle w:val="ConsPlusNormal"/>
        <w:ind w:firstLine="540"/>
        <w:jc w:val="both"/>
      </w:pPr>
      <w:r>
        <w:lastRenderedPageBreak/>
        <w:t xml:space="preserve">где </w:t>
      </w:r>
      <w:r>
        <w:rPr>
          <w:i/>
        </w:rPr>
        <w:t>N</w:t>
      </w:r>
      <w:r>
        <w:rPr>
          <w:i/>
          <w:vertAlign w:val="subscript"/>
        </w:rPr>
        <w:t>d</w:t>
      </w:r>
      <w:r>
        <w:t xml:space="preserve"> и </w:t>
      </w:r>
      <w:r>
        <w:rPr>
          <w:noProof/>
          <w:position w:val="-8"/>
        </w:rPr>
        <w:drawing>
          <wp:inline distT="0" distB="0" distL="0" distR="0">
            <wp:extent cx="175895" cy="251460"/>
            <wp:effectExtent l="0" t="0" r="0" b="0"/>
            <wp:docPr id="4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75895" cy="251460"/>
                    </a:xfrm>
                    <a:prstGeom prst="rect">
                      <a:avLst/>
                    </a:prstGeom>
                    <a:noFill/>
                    <a:ln>
                      <a:noFill/>
                    </a:ln>
                  </pic:spPr>
                </pic:pic>
              </a:graphicData>
            </a:graphic>
          </wp:inline>
        </w:drawing>
      </w:r>
      <w:r>
        <w:t xml:space="preserve"> - то же, что в </w:t>
      </w:r>
      <w:hyperlink w:anchor="P3785">
        <w:r>
          <w:rPr>
            <w:color w:val="0000FF"/>
          </w:rPr>
          <w:t>6.10.17</w:t>
        </w:r>
      </w:hyperlink>
      <w:r>
        <w:t>;</w:t>
      </w:r>
    </w:p>
    <w:p w:rsidR="00E35632" w:rsidRDefault="00E35632">
      <w:pPr>
        <w:pStyle w:val="ConsPlusNormal"/>
        <w:spacing w:before="220"/>
        <w:ind w:firstLine="540"/>
        <w:jc w:val="both"/>
      </w:pPr>
      <w:r>
        <w:rPr>
          <w:i/>
        </w:rPr>
        <w:t>R</w:t>
      </w:r>
      <w:r>
        <w:rPr>
          <w:i/>
          <w:vertAlign w:val="subscript"/>
        </w:rPr>
        <w:t>d</w:t>
      </w:r>
      <w:r>
        <w:t xml:space="preserve"> - расчетное значение прочности армирующего элемента на сжатие (кН или кН/м);</w:t>
      </w:r>
    </w:p>
    <w:p w:rsidR="00E35632" w:rsidRDefault="00E35632">
      <w:pPr>
        <w:pStyle w:val="ConsPlusNormal"/>
        <w:spacing w:before="220"/>
        <w:ind w:firstLine="540"/>
        <w:jc w:val="both"/>
      </w:pPr>
      <w:r>
        <w:rPr>
          <w:noProof/>
          <w:position w:val="-8"/>
        </w:rPr>
        <w:drawing>
          <wp:inline distT="0" distB="0" distL="0" distR="0">
            <wp:extent cx="175895" cy="251460"/>
            <wp:effectExtent l="0" t="0" r="0" b="0"/>
            <wp:docPr id="4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75895" cy="251460"/>
                    </a:xfrm>
                    <a:prstGeom prst="rect">
                      <a:avLst/>
                    </a:prstGeom>
                    <a:noFill/>
                    <a:ln>
                      <a:noFill/>
                    </a:ln>
                  </pic:spPr>
                </pic:pic>
              </a:graphicData>
            </a:graphic>
          </wp:inline>
        </w:drawing>
      </w:r>
      <w:r>
        <w:t xml:space="preserve"> - коэффициент условий работы по материалу элемента, принимаемый равным 1,0.</w:t>
      </w:r>
    </w:p>
    <w:p w:rsidR="00E35632" w:rsidRDefault="00E35632">
      <w:pPr>
        <w:pStyle w:val="ConsPlusNormal"/>
        <w:spacing w:before="220"/>
        <w:ind w:firstLine="540"/>
        <w:jc w:val="both"/>
      </w:pPr>
      <w:r>
        <w:t>Проверку несущей способности армирующего элемента по грунту следует выполнять исходя из условия</w:t>
      </w:r>
    </w:p>
    <w:p w:rsidR="00E35632" w:rsidRDefault="00E35632">
      <w:pPr>
        <w:pStyle w:val="ConsPlusNormal"/>
        <w:jc w:val="both"/>
      </w:pPr>
    </w:p>
    <w:p w:rsidR="00E35632" w:rsidRDefault="00E35632">
      <w:pPr>
        <w:pStyle w:val="ConsPlusNormal"/>
        <w:jc w:val="center"/>
      </w:pPr>
      <w:bookmarkStart w:id="199" w:name="P3812"/>
      <w:bookmarkEnd w:id="199"/>
      <w:r>
        <w:rPr>
          <w:noProof/>
          <w:position w:val="-10"/>
        </w:rPr>
        <w:drawing>
          <wp:inline distT="0" distB="0" distL="0" distR="0">
            <wp:extent cx="1212850" cy="267970"/>
            <wp:effectExtent l="0" t="0" r="0" b="0"/>
            <wp:docPr id="4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212850" cy="267970"/>
                    </a:xfrm>
                    <a:prstGeom prst="rect">
                      <a:avLst/>
                    </a:prstGeom>
                    <a:noFill/>
                    <a:ln>
                      <a:noFill/>
                    </a:ln>
                  </pic:spPr>
                </pic:pic>
              </a:graphicData>
            </a:graphic>
          </wp:inline>
        </w:drawing>
      </w:r>
      <w:r>
        <w:t xml:space="preserve"> (6.43)</w:t>
      </w:r>
    </w:p>
    <w:p w:rsidR="00E35632" w:rsidRDefault="00E35632">
      <w:pPr>
        <w:pStyle w:val="ConsPlusNormal"/>
        <w:jc w:val="both"/>
      </w:pPr>
    </w:p>
    <w:p w:rsidR="00E35632" w:rsidRDefault="00E35632">
      <w:pPr>
        <w:pStyle w:val="ConsPlusNormal"/>
        <w:ind w:firstLine="540"/>
        <w:jc w:val="both"/>
      </w:pPr>
      <w:r>
        <w:t xml:space="preserve">где </w:t>
      </w:r>
      <w:r>
        <w:rPr>
          <w:i/>
        </w:rPr>
        <w:t>F</w:t>
      </w:r>
      <w:r>
        <w:rPr>
          <w:i/>
          <w:vertAlign w:val="subscript"/>
        </w:rPr>
        <w:t>d</w:t>
      </w:r>
      <w:r>
        <w:t xml:space="preserve"> - расчетное значение предельного сопротивления армирующего элемента вдавливанию (кН или кН/м), определенное по первой группе предельных состояний;</w:t>
      </w:r>
    </w:p>
    <w:p w:rsidR="00E35632" w:rsidRDefault="00E35632">
      <w:pPr>
        <w:pStyle w:val="ConsPlusNormal"/>
        <w:jc w:val="both"/>
      </w:pPr>
      <w:r>
        <w:t xml:space="preserve">(в ред. </w:t>
      </w:r>
      <w:hyperlink r:id="rId706">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rPr>
          <w:noProof/>
          <w:position w:val="-10"/>
        </w:rPr>
        <w:drawing>
          <wp:inline distT="0" distB="0" distL="0" distR="0">
            <wp:extent cx="276860" cy="267970"/>
            <wp:effectExtent l="0" t="0" r="0" b="0"/>
            <wp:docPr id="4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276860" cy="267970"/>
                    </a:xfrm>
                    <a:prstGeom prst="rect">
                      <a:avLst/>
                    </a:prstGeom>
                    <a:noFill/>
                    <a:ln>
                      <a:noFill/>
                    </a:ln>
                  </pic:spPr>
                </pic:pic>
              </a:graphicData>
            </a:graphic>
          </wp:inline>
        </w:drawing>
      </w:r>
      <w:r>
        <w:t xml:space="preserve"> - коэффициент условий работы по грунту, принимаемый равным:</w:t>
      </w:r>
    </w:p>
    <w:p w:rsidR="00E35632" w:rsidRDefault="00E35632">
      <w:pPr>
        <w:pStyle w:val="ConsPlusNormal"/>
        <w:spacing w:before="220"/>
        <w:ind w:firstLine="540"/>
        <w:jc w:val="both"/>
      </w:pPr>
      <w:r>
        <w:t>1,2 - если расчетное значение предельного сопротивления вдавливанию определено по результатам полевых испытаний статической нагрузкой;</w:t>
      </w:r>
    </w:p>
    <w:p w:rsidR="00E35632" w:rsidRDefault="00E35632">
      <w:pPr>
        <w:pStyle w:val="ConsPlusNormal"/>
        <w:spacing w:before="220"/>
        <w:ind w:firstLine="540"/>
        <w:jc w:val="both"/>
      </w:pPr>
      <w:r>
        <w:t>1,4 - если расчетное значение предельного сопротивления выдергиванию определено расчетом.</w:t>
      </w:r>
    </w:p>
    <w:p w:rsidR="00E35632" w:rsidRDefault="00E35632">
      <w:pPr>
        <w:pStyle w:val="ConsPlusNormal"/>
        <w:spacing w:before="220"/>
        <w:ind w:firstLine="540"/>
        <w:jc w:val="both"/>
      </w:pPr>
      <w:r>
        <w:t xml:space="preserve">Во всех случаях должно также выполняться условие </w:t>
      </w:r>
      <w:r>
        <w:rPr>
          <w:noProof/>
          <w:position w:val="-10"/>
        </w:rPr>
        <w:drawing>
          <wp:inline distT="0" distB="0" distL="0" distR="0">
            <wp:extent cx="1130935" cy="267970"/>
            <wp:effectExtent l="0" t="0" r="0" b="0"/>
            <wp:docPr id="4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130935" cy="267970"/>
                    </a:xfrm>
                    <a:prstGeom prst="rect">
                      <a:avLst/>
                    </a:prstGeom>
                    <a:noFill/>
                    <a:ln>
                      <a:noFill/>
                    </a:ln>
                  </pic:spPr>
                </pic:pic>
              </a:graphicData>
            </a:graphic>
          </wp:inline>
        </w:drawing>
      </w:r>
      <w:r>
        <w:t>.</w:t>
      </w:r>
    </w:p>
    <w:p w:rsidR="00E35632" w:rsidRDefault="00E35632">
      <w:pPr>
        <w:pStyle w:val="ConsPlusNormal"/>
        <w:spacing w:before="220"/>
        <w:ind w:firstLine="540"/>
        <w:jc w:val="both"/>
      </w:pPr>
      <w:r>
        <w:t>6.10.19 Для расчетов оснований из армированных грунтов и армированных массивов по второй группе предельных состояний их деформационные характеристики следует определять на основании численного моделирования с учетом деформационных характеристик армирующих элементов или путем экспериментального загружения фрагмента грунтового массива, включающего армирующий элемент или группу таких элементов.</w:t>
      </w:r>
    </w:p>
    <w:p w:rsidR="00E35632" w:rsidRDefault="00E35632">
      <w:pPr>
        <w:pStyle w:val="ConsPlusNormal"/>
        <w:spacing w:before="220"/>
        <w:ind w:firstLine="540"/>
        <w:jc w:val="both"/>
      </w:pPr>
      <w:r>
        <w:t>6.10.20 Для проведения предварительных расчетов оснований по деформациям расчетные значения эффективного (интегрального) модуля общей деформации армированного грунта или массива в перпендикулярных направлениях как для трансверсально-изотропной среды допускается определять по формулам</w:t>
      </w:r>
    </w:p>
    <w:p w:rsidR="00E35632" w:rsidRDefault="00E35632">
      <w:pPr>
        <w:pStyle w:val="ConsPlusNormal"/>
        <w:spacing w:before="220"/>
        <w:ind w:firstLine="540"/>
        <w:jc w:val="both"/>
      </w:pPr>
      <w:r>
        <w:t>- в направлении, параллельном направлению армирования</w:t>
      </w:r>
    </w:p>
    <w:p w:rsidR="00E35632" w:rsidRDefault="00E35632">
      <w:pPr>
        <w:pStyle w:val="ConsPlusNormal"/>
        <w:jc w:val="both"/>
      </w:pPr>
    </w:p>
    <w:p w:rsidR="00E35632" w:rsidRDefault="00E35632">
      <w:pPr>
        <w:pStyle w:val="ConsPlusNormal"/>
        <w:jc w:val="center"/>
      </w:pPr>
      <w:bookmarkStart w:id="200" w:name="P3824"/>
      <w:bookmarkEnd w:id="200"/>
      <w:r>
        <w:rPr>
          <w:noProof/>
          <w:position w:val="-11"/>
        </w:rPr>
        <w:drawing>
          <wp:inline distT="0" distB="0" distL="0" distR="0">
            <wp:extent cx="1687195" cy="285750"/>
            <wp:effectExtent l="0" t="0" r="0" b="0"/>
            <wp:docPr id="4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687195" cy="285750"/>
                    </a:xfrm>
                    <a:prstGeom prst="rect">
                      <a:avLst/>
                    </a:prstGeom>
                    <a:noFill/>
                    <a:ln>
                      <a:noFill/>
                    </a:ln>
                  </pic:spPr>
                </pic:pic>
              </a:graphicData>
            </a:graphic>
          </wp:inline>
        </w:drawing>
      </w:r>
      <w:r>
        <w:t xml:space="preserve"> (6.44)</w:t>
      </w:r>
    </w:p>
    <w:p w:rsidR="00E35632" w:rsidRDefault="00E35632">
      <w:pPr>
        <w:pStyle w:val="ConsPlusNormal"/>
        <w:jc w:val="both"/>
      </w:pPr>
    </w:p>
    <w:p w:rsidR="00E35632" w:rsidRDefault="00E35632">
      <w:pPr>
        <w:pStyle w:val="ConsPlusNormal"/>
        <w:ind w:firstLine="540"/>
        <w:jc w:val="both"/>
      </w:pPr>
      <w:r>
        <w:t xml:space="preserve">где </w:t>
      </w:r>
      <w:r>
        <w:rPr>
          <w:noProof/>
          <w:position w:val="-10"/>
        </w:rPr>
        <w:drawing>
          <wp:inline distT="0" distB="0" distL="0" distR="0">
            <wp:extent cx="796290" cy="267335"/>
            <wp:effectExtent l="0" t="0" r="0" b="0"/>
            <wp:docPr id="4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796290" cy="267335"/>
                    </a:xfrm>
                    <a:prstGeom prst="rect">
                      <a:avLst/>
                    </a:prstGeom>
                    <a:noFill/>
                    <a:ln>
                      <a:noFill/>
                    </a:ln>
                  </pic:spPr>
                </pic:pic>
              </a:graphicData>
            </a:graphic>
          </wp:inline>
        </w:drawing>
      </w:r>
      <w:r>
        <w:t xml:space="preserve"> - коэффициент, характеризующий объемную долю армирующих элементов в массиве грунта;</w:t>
      </w:r>
    </w:p>
    <w:p w:rsidR="00E35632" w:rsidRDefault="00E35632">
      <w:pPr>
        <w:pStyle w:val="ConsPlusNormal"/>
        <w:spacing w:before="220"/>
        <w:ind w:firstLine="540"/>
        <w:jc w:val="both"/>
      </w:pPr>
      <w:r>
        <w:rPr>
          <w:i/>
        </w:rPr>
        <w:t>V</w:t>
      </w:r>
      <w:r>
        <w:rPr>
          <w:vertAlign w:val="subscript"/>
        </w:rPr>
        <w:t>гр</w:t>
      </w:r>
      <w:r>
        <w:t xml:space="preserve"> - объем усиливаемого армированием грунта;</w:t>
      </w:r>
    </w:p>
    <w:p w:rsidR="00E35632" w:rsidRDefault="00E35632">
      <w:pPr>
        <w:pStyle w:val="ConsPlusNormal"/>
        <w:spacing w:before="220"/>
        <w:ind w:firstLine="540"/>
        <w:jc w:val="both"/>
      </w:pPr>
      <w:r>
        <w:rPr>
          <w:i/>
        </w:rPr>
        <w:t>V</w:t>
      </w:r>
      <w:r>
        <w:rPr>
          <w:vertAlign w:val="subscript"/>
        </w:rPr>
        <w:t>ар</w:t>
      </w:r>
      <w:r>
        <w:t xml:space="preserve"> - объем армирующих элементов;</w:t>
      </w:r>
    </w:p>
    <w:p w:rsidR="00E35632" w:rsidRDefault="00E35632">
      <w:pPr>
        <w:pStyle w:val="ConsPlusNormal"/>
        <w:spacing w:before="220"/>
        <w:ind w:firstLine="540"/>
        <w:jc w:val="both"/>
      </w:pPr>
      <w:r>
        <w:rPr>
          <w:i/>
        </w:rPr>
        <w:t>E</w:t>
      </w:r>
      <w:r>
        <w:rPr>
          <w:i/>
          <w:vertAlign w:val="subscript"/>
        </w:rPr>
        <w:t>ар</w:t>
      </w:r>
      <w:r>
        <w:t xml:space="preserve">, </w:t>
      </w:r>
      <w:r>
        <w:rPr>
          <w:i/>
        </w:rPr>
        <w:t>E</w:t>
      </w:r>
      <w:r>
        <w:rPr>
          <w:i/>
          <w:vertAlign w:val="subscript"/>
        </w:rPr>
        <w:t>гр</w:t>
      </w:r>
      <w:r>
        <w:t xml:space="preserve"> - расчетные значения модуля упругости армирующих элементов и модуля деформации грунта.</w:t>
      </w:r>
    </w:p>
    <w:p w:rsidR="00E35632" w:rsidRDefault="00E35632">
      <w:pPr>
        <w:pStyle w:val="ConsPlusNormal"/>
        <w:spacing w:before="220"/>
        <w:ind w:firstLine="540"/>
        <w:jc w:val="both"/>
      </w:pPr>
      <w:r>
        <w:t xml:space="preserve">Коэффициент </w:t>
      </w:r>
      <w:r>
        <w:rPr>
          <w:noProof/>
          <w:position w:val="-1"/>
        </w:rPr>
        <w:drawing>
          <wp:inline distT="0" distB="0" distL="0" distR="0">
            <wp:extent cx="167640" cy="158750"/>
            <wp:effectExtent l="0" t="0" r="0" b="0"/>
            <wp:docPr id="4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67640" cy="158750"/>
                    </a:xfrm>
                    <a:prstGeom prst="rect">
                      <a:avLst/>
                    </a:prstGeom>
                    <a:noFill/>
                    <a:ln>
                      <a:noFill/>
                    </a:ln>
                  </pic:spPr>
                </pic:pic>
              </a:graphicData>
            </a:graphic>
          </wp:inline>
        </w:drawing>
      </w:r>
      <w:r>
        <w:t>, используемый в формуле (6.44), должен удовлетворять условию совместности деформаций армирующих элементов и грунта:</w:t>
      </w:r>
    </w:p>
    <w:p w:rsidR="00E35632" w:rsidRDefault="00E35632">
      <w:pPr>
        <w:pStyle w:val="ConsPlusNormal"/>
        <w:jc w:val="both"/>
      </w:pPr>
    </w:p>
    <w:p w:rsidR="00E35632" w:rsidRDefault="00E35632">
      <w:pPr>
        <w:pStyle w:val="ConsPlusNormal"/>
        <w:jc w:val="center"/>
      </w:pPr>
      <w:r>
        <w:rPr>
          <w:noProof/>
          <w:position w:val="-29"/>
        </w:rPr>
        <w:drawing>
          <wp:inline distT="0" distB="0" distL="0" distR="0">
            <wp:extent cx="1718310" cy="513715"/>
            <wp:effectExtent l="0" t="0" r="0" b="0"/>
            <wp:docPr id="4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1718310" cy="513715"/>
                    </a:xfrm>
                    <a:prstGeom prst="rect">
                      <a:avLst/>
                    </a:prstGeom>
                    <a:noFill/>
                    <a:ln>
                      <a:noFill/>
                    </a:ln>
                  </pic:spPr>
                </pic:pic>
              </a:graphicData>
            </a:graphic>
          </wp:inline>
        </w:drawing>
      </w:r>
      <w:r>
        <w:t xml:space="preserve"> (6.44а)</w:t>
      </w:r>
    </w:p>
    <w:p w:rsidR="00E35632" w:rsidRDefault="00E35632">
      <w:pPr>
        <w:pStyle w:val="ConsPlusNormal"/>
        <w:jc w:val="both"/>
      </w:pPr>
    </w:p>
    <w:p w:rsidR="00E35632" w:rsidRDefault="00E35632">
      <w:pPr>
        <w:pStyle w:val="ConsPlusNormal"/>
        <w:ind w:firstLine="540"/>
        <w:jc w:val="both"/>
      </w:pPr>
      <w:r>
        <w:t xml:space="preserve">где </w:t>
      </w:r>
      <w:r>
        <w:rPr>
          <w:noProof/>
          <w:position w:val="-8"/>
        </w:rPr>
        <w:drawing>
          <wp:inline distT="0" distB="0" distL="0" distR="0">
            <wp:extent cx="911860" cy="251460"/>
            <wp:effectExtent l="0" t="0" r="0" b="0"/>
            <wp:docPr id="4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911860" cy="251460"/>
                    </a:xfrm>
                    <a:prstGeom prst="rect">
                      <a:avLst/>
                    </a:prstGeom>
                    <a:noFill/>
                    <a:ln>
                      <a:noFill/>
                    </a:ln>
                  </pic:spPr>
                </pic:pic>
              </a:graphicData>
            </a:graphic>
          </wp:inline>
        </w:drawing>
      </w:r>
      <w:r>
        <w:rPr>
          <w:i/>
        </w:rPr>
        <w:t>;</w:t>
      </w:r>
    </w:p>
    <w:p w:rsidR="00E35632" w:rsidRDefault="00E35632">
      <w:pPr>
        <w:pStyle w:val="ConsPlusNormal"/>
        <w:spacing w:before="220"/>
        <w:ind w:firstLine="540"/>
        <w:jc w:val="both"/>
      </w:pPr>
      <w:r>
        <w:rPr>
          <w:i/>
        </w:rPr>
        <w:t>n</w:t>
      </w:r>
      <w:r>
        <w:t xml:space="preserve"> - число армирующих элементов в основании проектируемого фундамента;</w:t>
      </w:r>
    </w:p>
    <w:p w:rsidR="00E35632" w:rsidRDefault="00E35632">
      <w:pPr>
        <w:pStyle w:val="ConsPlusNormal"/>
        <w:spacing w:before="220"/>
        <w:ind w:firstLine="540"/>
        <w:jc w:val="both"/>
      </w:pPr>
      <w:r>
        <w:rPr>
          <w:i/>
        </w:rPr>
        <w:t>F -</w:t>
      </w:r>
      <w:r>
        <w:t xml:space="preserve"> расчетная нагрузка на проектируемый фундамент, кН;</w:t>
      </w:r>
    </w:p>
    <w:p w:rsidR="00E35632" w:rsidRDefault="00E35632">
      <w:pPr>
        <w:pStyle w:val="ConsPlusNormal"/>
        <w:spacing w:before="220"/>
        <w:ind w:firstLine="540"/>
        <w:jc w:val="both"/>
      </w:pPr>
      <w:r>
        <w:rPr>
          <w:i/>
        </w:rPr>
        <w:t>F</w:t>
      </w:r>
      <w:r>
        <w:rPr>
          <w:i/>
          <w:vertAlign w:val="subscript"/>
        </w:rPr>
        <w:t>d</w:t>
      </w:r>
      <w:r>
        <w:t xml:space="preserve"> - то же, что в </w:t>
      </w:r>
      <w:hyperlink w:anchor="P3812">
        <w:r>
          <w:rPr>
            <w:color w:val="0000FF"/>
          </w:rPr>
          <w:t>(6.43)</w:t>
        </w:r>
      </w:hyperlink>
      <w:r>
        <w:t>;</w:t>
      </w:r>
    </w:p>
    <w:p w:rsidR="00E35632" w:rsidRDefault="00E35632">
      <w:pPr>
        <w:pStyle w:val="ConsPlusNormal"/>
        <w:spacing w:before="220"/>
        <w:ind w:firstLine="540"/>
        <w:jc w:val="both"/>
      </w:pPr>
      <w:r>
        <w:t>- в направлениях, перпендикулярных к направлению армирования</w:t>
      </w:r>
    </w:p>
    <w:p w:rsidR="00E35632" w:rsidRDefault="00E35632">
      <w:pPr>
        <w:pStyle w:val="ConsPlusNormal"/>
        <w:jc w:val="both"/>
      </w:pPr>
    </w:p>
    <w:p w:rsidR="00E35632" w:rsidRDefault="00E35632">
      <w:pPr>
        <w:pStyle w:val="ConsPlusNormal"/>
        <w:jc w:val="center"/>
      </w:pPr>
      <w:r>
        <w:rPr>
          <w:noProof/>
          <w:position w:val="-13"/>
        </w:rPr>
        <w:drawing>
          <wp:inline distT="0" distB="0" distL="0" distR="0">
            <wp:extent cx="2336800" cy="309880"/>
            <wp:effectExtent l="0" t="0" r="0" b="0"/>
            <wp:docPr id="4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336800" cy="309880"/>
                    </a:xfrm>
                    <a:prstGeom prst="rect">
                      <a:avLst/>
                    </a:prstGeom>
                    <a:noFill/>
                    <a:ln>
                      <a:noFill/>
                    </a:ln>
                  </pic:spPr>
                </pic:pic>
              </a:graphicData>
            </a:graphic>
          </wp:inline>
        </w:drawing>
      </w:r>
      <w:r>
        <w:t xml:space="preserve"> (6.45).</w:t>
      </w:r>
    </w:p>
    <w:p w:rsidR="00E35632" w:rsidRDefault="00E35632">
      <w:pPr>
        <w:pStyle w:val="ConsPlusNormal"/>
        <w:jc w:val="both"/>
      </w:pPr>
    </w:p>
    <w:p w:rsidR="00E35632" w:rsidRDefault="00E35632">
      <w:pPr>
        <w:pStyle w:val="ConsPlusNormal"/>
        <w:jc w:val="both"/>
      </w:pPr>
      <w:r>
        <w:t xml:space="preserve">(п. 6.10.20 в ред. </w:t>
      </w:r>
      <w:hyperlink r:id="rId715">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 xml:space="preserve">6.10.21 Предварительные расчеты осадок оснований, армированных вертикальными элементами, допускается выполнять в соответствии с требованиями </w:t>
      </w:r>
      <w:hyperlink w:anchor="P805">
        <w:r>
          <w:rPr>
            <w:color w:val="0000FF"/>
          </w:rPr>
          <w:t>5.6</w:t>
        </w:r>
      </w:hyperlink>
      <w:r>
        <w:t xml:space="preserve">, используя в расчетах </w:t>
      </w:r>
      <w:hyperlink w:anchor="P3824">
        <w:r>
          <w:rPr>
            <w:color w:val="0000FF"/>
          </w:rPr>
          <w:t>(6.44)</w:t>
        </w:r>
      </w:hyperlink>
      <w:r>
        <w:t>, в том случае, если выполняется условие:</w:t>
      </w:r>
    </w:p>
    <w:p w:rsidR="00E35632" w:rsidRDefault="00E35632">
      <w:pPr>
        <w:pStyle w:val="ConsPlusNormal"/>
        <w:jc w:val="both"/>
      </w:pPr>
      <w:r>
        <w:t xml:space="preserve">(в ред. </w:t>
      </w:r>
      <w:hyperlink r:id="rId716">
        <w:r>
          <w:rPr>
            <w:color w:val="0000FF"/>
          </w:rPr>
          <w:t>Изменения N 3</w:t>
        </w:r>
      </w:hyperlink>
      <w:r>
        <w:t>, утв. Приказом Минстроя России от 22.11.2019 N 722/пр)</w:t>
      </w:r>
    </w:p>
    <w:p w:rsidR="00E35632" w:rsidRDefault="00E35632">
      <w:pPr>
        <w:pStyle w:val="ConsPlusNormal"/>
        <w:jc w:val="both"/>
      </w:pPr>
    </w:p>
    <w:p w:rsidR="00E35632" w:rsidRDefault="00E35632">
      <w:pPr>
        <w:pStyle w:val="ConsPlusNormal"/>
        <w:jc w:val="center"/>
      </w:pPr>
      <w:r>
        <w:rPr>
          <w:noProof/>
          <w:position w:val="-29"/>
        </w:rPr>
        <w:drawing>
          <wp:inline distT="0" distB="0" distL="0" distR="0">
            <wp:extent cx="1676400" cy="513080"/>
            <wp:effectExtent l="0" t="0" r="0" b="0"/>
            <wp:docPr id="4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676400" cy="513080"/>
                    </a:xfrm>
                    <a:prstGeom prst="rect">
                      <a:avLst/>
                    </a:prstGeom>
                    <a:noFill/>
                    <a:ln>
                      <a:noFill/>
                    </a:ln>
                  </pic:spPr>
                </pic:pic>
              </a:graphicData>
            </a:graphic>
          </wp:inline>
        </w:drawing>
      </w:r>
      <w:r>
        <w:t xml:space="preserve"> (6.46)</w:t>
      </w:r>
    </w:p>
    <w:p w:rsidR="00E35632" w:rsidRDefault="00E35632">
      <w:pPr>
        <w:pStyle w:val="ConsPlusNormal"/>
        <w:jc w:val="both"/>
      </w:pPr>
    </w:p>
    <w:p w:rsidR="00E35632" w:rsidRDefault="00E35632">
      <w:pPr>
        <w:pStyle w:val="ConsPlusNormal"/>
        <w:ind w:firstLine="540"/>
        <w:jc w:val="both"/>
      </w:pPr>
      <w:r>
        <w:t xml:space="preserve">где </w:t>
      </w:r>
      <w:r>
        <w:rPr>
          <w:i/>
        </w:rPr>
        <w:t>R</w:t>
      </w:r>
      <w:r>
        <w:rPr>
          <w:vertAlign w:val="subscript"/>
        </w:rPr>
        <w:t>1</w:t>
      </w:r>
      <w:r>
        <w:t xml:space="preserve"> - расчетное сопротивление нормированного грунта под подошвой фундамента, определяемое в соответствии с </w:t>
      </w:r>
      <w:hyperlink w:anchor="P849">
        <w:r>
          <w:rPr>
            <w:color w:val="0000FF"/>
          </w:rPr>
          <w:t>5.6.7</w:t>
        </w:r>
      </w:hyperlink>
      <w:r>
        <w:t>, кПа;</w:t>
      </w:r>
    </w:p>
    <w:p w:rsidR="00E35632" w:rsidRDefault="00E35632">
      <w:pPr>
        <w:pStyle w:val="ConsPlusNormal"/>
        <w:spacing w:before="220"/>
        <w:ind w:firstLine="540"/>
        <w:jc w:val="both"/>
      </w:pPr>
      <w:r>
        <w:rPr>
          <w:i/>
        </w:rPr>
        <w:t>R</w:t>
      </w:r>
      <w:r>
        <w:rPr>
          <w:vertAlign w:val="subscript"/>
        </w:rPr>
        <w:t>2</w:t>
      </w:r>
      <w:r>
        <w:t xml:space="preserve"> - расчетное сопротивление материала элементов усиления при условии замены естественного грунта армированным, кПа;</w:t>
      </w:r>
    </w:p>
    <w:p w:rsidR="00E35632" w:rsidRDefault="00E35632">
      <w:pPr>
        <w:pStyle w:val="ConsPlusNormal"/>
        <w:spacing w:before="220"/>
        <w:ind w:firstLine="540"/>
        <w:jc w:val="both"/>
      </w:pPr>
      <w:r>
        <w:rPr>
          <w:i/>
        </w:rPr>
        <w:t>p</w:t>
      </w:r>
      <w:r>
        <w:t xml:space="preserve"> - расчетное значение по второй группе предельных состояний среднего давления под подошвой фундамента, кПа </w:t>
      </w:r>
      <w:hyperlink w:anchor="P849">
        <w:r>
          <w:rPr>
            <w:color w:val="0000FF"/>
          </w:rPr>
          <w:t>(5.6.7)</w:t>
        </w:r>
      </w:hyperlink>
      <w:r>
        <w:t>;</w:t>
      </w:r>
    </w:p>
    <w:p w:rsidR="00E35632" w:rsidRDefault="00E35632">
      <w:pPr>
        <w:pStyle w:val="ConsPlusNormal"/>
        <w:spacing w:before="220"/>
        <w:ind w:firstLine="540"/>
        <w:jc w:val="both"/>
      </w:pPr>
      <w:r>
        <w:rPr>
          <w:noProof/>
          <w:position w:val="-8"/>
        </w:rPr>
        <w:drawing>
          <wp:inline distT="0" distB="0" distL="0" distR="0">
            <wp:extent cx="175895" cy="251460"/>
            <wp:effectExtent l="0" t="0" r="0" b="0"/>
            <wp:docPr id="4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175895" cy="251460"/>
                    </a:xfrm>
                    <a:prstGeom prst="rect">
                      <a:avLst/>
                    </a:prstGeom>
                    <a:noFill/>
                    <a:ln>
                      <a:noFill/>
                    </a:ln>
                  </pic:spPr>
                </pic:pic>
              </a:graphicData>
            </a:graphic>
          </wp:inline>
        </w:drawing>
      </w:r>
      <w:r>
        <w:t xml:space="preserve"> - коэффициент условий работы, учитывающий однородность грунтовых условий и принимаемый равным:</w:t>
      </w:r>
    </w:p>
    <w:p w:rsidR="00E35632" w:rsidRDefault="00E35632">
      <w:pPr>
        <w:pStyle w:val="ConsPlusNormal"/>
        <w:spacing w:before="220"/>
        <w:ind w:firstLine="540"/>
        <w:jc w:val="both"/>
      </w:pPr>
      <w:r>
        <w:t>1,0 - при шаге армирующих элементов менее 3</w:t>
      </w:r>
      <w:r>
        <w:rPr>
          <w:i/>
        </w:rPr>
        <w:t>d</w:t>
      </w:r>
      <w:r>
        <w:t>,</w:t>
      </w:r>
    </w:p>
    <w:p w:rsidR="00E35632" w:rsidRDefault="00E35632">
      <w:pPr>
        <w:pStyle w:val="ConsPlusNormal"/>
        <w:spacing w:before="220"/>
        <w:ind w:firstLine="540"/>
        <w:jc w:val="both"/>
      </w:pPr>
      <w:r>
        <w:t>0,9 - при шаге от 3</w:t>
      </w:r>
      <w:r>
        <w:rPr>
          <w:i/>
        </w:rPr>
        <w:t>d</w:t>
      </w:r>
      <w:r>
        <w:t xml:space="preserve"> до 5</w:t>
      </w:r>
      <w:r>
        <w:rPr>
          <w:i/>
        </w:rPr>
        <w:t>d</w:t>
      </w:r>
      <w:r>
        <w:t>,</w:t>
      </w:r>
    </w:p>
    <w:p w:rsidR="00E35632" w:rsidRDefault="00E35632">
      <w:pPr>
        <w:pStyle w:val="ConsPlusNormal"/>
        <w:spacing w:before="220"/>
        <w:ind w:firstLine="540"/>
        <w:jc w:val="both"/>
      </w:pPr>
      <w:r>
        <w:t>0,8 - при шаге более 5</w:t>
      </w:r>
      <w:r>
        <w:rPr>
          <w:i/>
        </w:rPr>
        <w:t>d,</w:t>
      </w:r>
    </w:p>
    <w:p w:rsidR="00E35632" w:rsidRDefault="00E35632">
      <w:pPr>
        <w:pStyle w:val="ConsPlusNormal"/>
        <w:spacing w:before="220"/>
        <w:ind w:firstLine="540"/>
        <w:jc w:val="both"/>
      </w:pPr>
      <w:r>
        <w:t xml:space="preserve">где </w:t>
      </w:r>
      <w:r>
        <w:rPr>
          <w:i/>
        </w:rPr>
        <w:t>d</w:t>
      </w:r>
      <w:r>
        <w:t xml:space="preserve"> - средний размер поперечного сечения армирующего элемента;</w:t>
      </w:r>
    </w:p>
    <w:p w:rsidR="00E35632" w:rsidRDefault="00E35632">
      <w:pPr>
        <w:pStyle w:val="ConsPlusNormal"/>
        <w:spacing w:before="220"/>
        <w:ind w:firstLine="540"/>
        <w:jc w:val="both"/>
      </w:pPr>
      <w:r>
        <w:rPr>
          <w:noProof/>
          <w:position w:val="-8"/>
        </w:rPr>
        <w:drawing>
          <wp:inline distT="0" distB="0" distL="0" distR="0">
            <wp:extent cx="175895" cy="251460"/>
            <wp:effectExtent l="0" t="0" r="0" b="0"/>
            <wp:docPr id="4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75895" cy="251460"/>
                    </a:xfrm>
                    <a:prstGeom prst="rect">
                      <a:avLst/>
                    </a:prstGeom>
                    <a:noFill/>
                    <a:ln>
                      <a:noFill/>
                    </a:ln>
                  </pic:spPr>
                </pic:pic>
              </a:graphicData>
            </a:graphic>
          </wp:inline>
        </w:drawing>
      </w:r>
      <w:r>
        <w:t xml:space="preserve"> - коэффициент надежности по ответственности сооружения, принимаемый равным 1,2; 1,1 и 1,0 соответственно для сооружений повышенного, нормального и пониженного уровня ответственности в соответствии с </w:t>
      </w:r>
      <w:hyperlink r:id="rId719">
        <w:r>
          <w:rPr>
            <w:color w:val="0000FF"/>
          </w:rPr>
          <w:t>ГОСТ 27751</w:t>
        </w:r>
      </w:hyperlink>
      <w:r>
        <w:t>.</w:t>
      </w:r>
    </w:p>
    <w:p w:rsidR="00E35632" w:rsidRDefault="00E35632">
      <w:pPr>
        <w:pStyle w:val="ConsPlusNormal"/>
        <w:spacing w:before="220"/>
        <w:ind w:firstLine="540"/>
        <w:jc w:val="both"/>
      </w:pPr>
      <w:r>
        <w:t xml:space="preserve">6.10.22 При проектировании оснований из армированных грунтов и массивов следует предусматривать проведение геотехнического мониторинга в соответствии с требованиями </w:t>
      </w:r>
      <w:hyperlink w:anchor="P4957">
        <w:r>
          <w:rPr>
            <w:color w:val="0000FF"/>
          </w:rPr>
          <w:t>раздела 12</w:t>
        </w:r>
      </w:hyperlink>
      <w:r>
        <w:t>.</w:t>
      </w:r>
    </w:p>
    <w:p w:rsidR="00E35632" w:rsidRDefault="00E35632">
      <w:pPr>
        <w:pStyle w:val="ConsPlusTitle"/>
        <w:spacing w:before="220"/>
        <w:ind w:firstLine="540"/>
        <w:jc w:val="both"/>
        <w:outlineLvl w:val="2"/>
      </w:pPr>
      <w:r>
        <w:t>6.11 Особенности проектирования оснований сооружений, возводимых на подрабатываемых территориях</w:t>
      </w:r>
    </w:p>
    <w:p w:rsidR="00E35632" w:rsidRDefault="00E35632">
      <w:pPr>
        <w:pStyle w:val="ConsPlusNormal"/>
        <w:spacing w:before="220"/>
        <w:ind w:firstLine="540"/>
        <w:jc w:val="both"/>
      </w:pPr>
      <w:r>
        <w:t>6.11.1 Основания сооружений следует проектировать с учетом неравномерных вертикальных и горизонтальных перемещений грунтового массива в результате подработки, т.е. устройства закрытых подземных выработок с целью выемки полезных ископаемых или строительства подземных сооружений.</w:t>
      </w:r>
    </w:p>
    <w:p w:rsidR="00E35632" w:rsidRDefault="00E35632">
      <w:pPr>
        <w:pStyle w:val="ConsPlusNormal"/>
        <w:spacing w:before="220"/>
        <w:ind w:firstLine="540"/>
        <w:jc w:val="both"/>
      </w:pPr>
      <w:r>
        <w:t>Зону влияния строительства и эксплуатации подземных выработок различного назначения в условиях существующей застройки можно считать подрабатываемой территорией.</w:t>
      </w:r>
    </w:p>
    <w:p w:rsidR="00E35632" w:rsidRDefault="00E35632">
      <w:pPr>
        <w:pStyle w:val="ConsPlusNormal"/>
        <w:spacing w:before="220"/>
        <w:ind w:firstLine="540"/>
        <w:jc w:val="both"/>
      </w:pPr>
      <w:r>
        <w:t xml:space="preserve">Параметры деформаций земной поверхности, в том числе кривизна поверхности, ее наклоны и горизонтальные перемещения, а также вертикальные уступы следует определять в соответствии с требованиями </w:t>
      </w:r>
      <w:hyperlink r:id="rId720">
        <w:r>
          <w:rPr>
            <w:color w:val="0000FF"/>
          </w:rPr>
          <w:t>СП 21.13330</w:t>
        </w:r>
      </w:hyperlink>
      <w:r>
        <w:t>.</w:t>
      </w:r>
    </w:p>
    <w:p w:rsidR="00E35632" w:rsidRDefault="00E35632">
      <w:pPr>
        <w:pStyle w:val="ConsPlusNormal"/>
        <w:spacing w:before="220"/>
        <w:ind w:firstLine="540"/>
        <w:jc w:val="both"/>
      </w:pPr>
      <w:r>
        <w:t>6.11.2 Результаты инженерно-геологических изысканий с учетом горно-геологического обоснования строительной площадки должны включать в себя:</w:t>
      </w:r>
    </w:p>
    <w:p w:rsidR="00E35632" w:rsidRDefault="00E35632">
      <w:pPr>
        <w:pStyle w:val="ConsPlusNormal"/>
        <w:spacing w:before="220"/>
        <w:ind w:firstLine="540"/>
        <w:jc w:val="both"/>
      </w:pPr>
      <w:r>
        <w:t>- оценку изменений геоморфологических и гидрогеологических условий участка застройки вследствие местного оседания земной поверхности (возможность образования провалов, активизации процесса сдвижения вследствие геологических нарушений, активизации оползневых процессов, изменения уровня подземных вод с учетом сезонных и многолетних перепадов, заболачивания территории и т.п.);</w:t>
      </w:r>
    </w:p>
    <w:p w:rsidR="00E35632" w:rsidRDefault="00E35632">
      <w:pPr>
        <w:pStyle w:val="ConsPlusNormal"/>
        <w:spacing w:before="220"/>
        <w:ind w:firstLine="540"/>
        <w:jc w:val="both"/>
      </w:pPr>
      <w:r>
        <w:t>- оценку возможных изменений физико-механических свойств грунтов вследствие изменения геологических и гидрогеологических условий площадки;</w:t>
      </w:r>
    </w:p>
    <w:p w:rsidR="00E35632" w:rsidRDefault="00E35632">
      <w:pPr>
        <w:pStyle w:val="ConsPlusNormal"/>
        <w:spacing w:before="220"/>
        <w:ind w:firstLine="540"/>
        <w:jc w:val="both"/>
      </w:pPr>
      <w:r>
        <w:t>- деформационные и прочностные характеристики грунтов, используемые при расчетах воздействий сдвигающегося грунта на заглубленные конструкции сооружений.</w:t>
      </w:r>
    </w:p>
    <w:p w:rsidR="00E35632" w:rsidRDefault="00E35632">
      <w:pPr>
        <w:pStyle w:val="ConsPlusNormal"/>
        <w:spacing w:before="220"/>
        <w:ind w:firstLine="540"/>
        <w:jc w:val="both"/>
      </w:pPr>
      <w:r>
        <w:t xml:space="preserve">6.11.3 Расчетные значения прочностных и деформационных характеристик грунта для определения усилий, действующих на фундаменты в результате деформаций земной поверхности, следует принимать равными нормативным </w:t>
      </w:r>
      <w:r>
        <w:rPr>
          <w:noProof/>
          <w:position w:val="-10"/>
        </w:rPr>
        <w:drawing>
          <wp:inline distT="0" distB="0" distL="0" distR="0">
            <wp:extent cx="544830" cy="267970"/>
            <wp:effectExtent l="0" t="0" r="0" b="0"/>
            <wp:docPr id="4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544830" cy="267970"/>
                    </a:xfrm>
                    <a:prstGeom prst="rect">
                      <a:avLst/>
                    </a:prstGeom>
                    <a:noFill/>
                    <a:ln>
                      <a:noFill/>
                    </a:ln>
                  </pic:spPr>
                </pic:pic>
              </a:graphicData>
            </a:graphic>
          </wp:inline>
        </w:drawing>
      </w:r>
      <w:r>
        <w:t>.</w:t>
      </w:r>
    </w:p>
    <w:p w:rsidR="00E35632" w:rsidRDefault="00E35632">
      <w:pPr>
        <w:pStyle w:val="ConsPlusNormal"/>
        <w:spacing w:before="220"/>
        <w:ind w:firstLine="540"/>
        <w:jc w:val="both"/>
      </w:pPr>
      <w:r>
        <w:t>Значение модуля деформации грунта в горизонтальном направлении допускается принимать равным 0,5</w:t>
      </w:r>
      <w:r>
        <w:rPr>
          <w:i/>
        </w:rPr>
        <w:t>E</w:t>
      </w:r>
      <w:r>
        <w:t xml:space="preserve"> для глинистых грунтов и 0,65</w:t>
      </w:r>
      <w:r>
        <w:rPr>
          <w:i/>
        </w:rPr>
        <w:t>E</w:t>
      </w:r>
      <w:r>
        <w:t xml:space="preserve"> - для песков, где </w:t>
      </w:r>
      <w:r>
        <w:rPr>
          <w:i/>
        </w:rPr>
        <w:t>E</w:t>
      </w:r>
      <w:r>
        <w:t xml:space="preserve"> - модуль деформации грунта в вертикальном направлении.</w:t>
      </w:r>
    </w:p>
    <w:p w:rsidR="00E35632" w:rsidRDefault="00E35632">
      <w:pPr>
        <w:pStyle w:val="ConsPlusNormal"/>
        <w:spacing w:before="220"/>
        <w:ind w:firstLine="540"/>
        <w:jc w:val="both"/>
      </w:pPr>
      <w:r>
        <w:t xml:space="preserve">6.11.4 Расчетные сопротивления грунтов основания </w:t>
      </w:r>
      <w:r>
        <w:rPr>
          <w:i/>
        </w:rPr>
        <w:t>R</w:t>
      </w:r>
      <w:r>
        <w:t xml:space="preserve"> следует определять в соответствии с </w:t>
      </w:r>
      <w:hyperlink w:anchor="P805">
        <w:r>
          <w:rPr>
            <w:color w:val="0000FF"/>
          </w:rPr>
          <w:t>5.6</w:t>
        </w:r>
      </w:hyperlink>
      <w:r>
        <w:t xml:space="preserve">. При этом коэффициент условий работы </w:t>
      </w:r>
      <w:r>
        <w:rPr>
          <w:noProof/>
          <w:position w:val="-8"/>
        </w:rPr>
        <w:drawing>
          <wp:inline distT="0" distB="0" distL="0" distR="0">
            <wp:extent cx="241935" cy="251460"/>
            <wp:effectExtent l="0" t="0" r="0" b="0"/>
            <wp:docPr id="4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в </w:t>
      </w:r>
      <w:hyperlink w:anchor="P851">
        <w:r>
          <w:rPr>
            <w:color w:val="0000FF"/>
          </w:rPr>
          <w:t>формуле (5.7)</w:t>
        </w:r>
      </w:hyperlink>
      <w:r>
        <w:t xml:space="preserve"> для сооружений жесткой конструктивной схемы, имеющих поэтажные и фундаментные пояса с замкнутым контуром, следует принимать по таблице 6.14; в остальных случаях </w:t>
      </w:r>
      <w:r>
        <w:rPr>
          <w:noProof/>
          <w:position w:val="-8"/>
        </w:rPr>
        <w:drawing>
          <wp:inline distT="0" distB="0" distL="0" distR="0">
            <wp:extent cx="479425" cy="251460"/>
            <wp:effectExtent l="0" t="0" r="0" b="0"/>
            <wp:docPr id="4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479425" cy="251460"/>
                    </a:xfrm>
                    <a:prstGeom prst="rect">
                      <a:avLst/>
                    </a:prstGeom>
                    <a:noFill/>
                    <a:ln>
                      <a:noFill/>
                    </a:ln>
                  </pic:spPr>
                </pic:pic>
              </a:graphicData>
            </a:graphic>
          </wp:inline>
        </w:drawing>
      </w:r>
      <w:r>
        <w:t>.</w:t>
      </w:r>
    </w:p>
    <w:p w:rsidR="00E35632" w:rsidRDefault="00E35632">
      <w:pPr>
        <w:pStyle w:val="ConsPlusNormal"/>
        <w:jc w:val="both"/>
      </w:pPr>
    </w:p>
    <w:p w:rsidR="00E35632" w:rsidRDefault="00E35632">
      <w:pPr>
        <w:pStyle w:val="ConsPlusNormal"/>
        <w:jc w:val="right"/>
      </w:pPr>
      <w:bookmarkStart w:id="201" w:name="P3870"/>
      <w:bookmarkEnd w:id="201"/>
      <w:r>
        <w:t>Таблица 6.14</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451"/>
        <w:gridCol w:w="1049"/>
        <w:gridCol w:w="1560"/>
        <w:gridCol w:w="1800"/>
        <w:gridCol w:w="1200"/>
      </w:tblGrid>
      <w:tr w:rsidR="00E35632">
        <w:tc>
          <w:tcPr>
            <w:tcW w:w="3451" w:type="dxa"/>
            <w:vMerge w:val="restart"/>
            <w:vAlign w:val="center"/>
          </w:tcPr>
          <w:p w:rsidR="00E35632" w:rsidRDefault="00E35632">
            <w:pPr>
              <w:pStyle w:val="ConsPlusNormal"/>
              <w:jc w:val="center"/>
            </w:pPr>
            <w:r>
              <w:t>Грунты</w:t>
            </w:r>
          </w:p>
        </w:tc>
        <w:tc>
          <w:tcPr>
            <w:tcW w:w="5609" w:type="dxa"/>
            <w:gridSpan w:val="4"/>
            <w:vAlign w:val="center"/>
          </w:tcPr>
          <w:p w:rsidR="00E35632" w:rsidRDefault="00E35632">
            <w:pPr>
              <w:pStyle w:val="ConsPlusNormal"/>
              <w:jc w:val="center"/>
            </w:pPr>
            <w:r>
              <w:t xml:space="preserve">Коэффициент </w:t>
            </w:r>
            <w:r>
              <w:rPr>
                <w:noProof/>
                <w:position w:val="-8"/>
              </w:rPr>
              <w:drawing>
                <wp:inline distT="0" distB="0" distL="0" distR="0">
                  <wp:extent cx="241935" cy="251460"/>
                  <wp:effectExtent l="0" t="0" r="0" b="0"/>
                  <wp:docPr id="4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для сооружений с жесткой конструктивной схемой при отношении длины сооружения или отсека к его высоте </w:t>
            </w:r>
            <w:r>
              <w:rPr>
                <w:i/>
              </w:rPr>
              <w:t>L/H</w:t>
            </w:r>
          </w:p>
        </w:tc>
      </w:tr>
      <w:tr w:rsidR="00E35632">
        <w:tc>
          <w:tcPr>
            <w:tcW w:w="3451" w:type="dxa"/>
            <w:vMerge/>
          </w:tcPr>
          <w:p w:rsidR="00E35632" w:rsidRDefault="00E35632">
            <w:pPr>
              <w:pStyle w:val="ConsPlusNormal"/>
            </w:pPr>
          </w:p>
        </w:tc>
        <w:tc>
          <w:tcPr>
            <w:tcW w:w="1049" w:type="dxa"/>
            <w:vAlign w:val="center"/>
          </w:tcPr>
          <w:p w:rsidR="00E35632" w:rsidRDefault="00E35632">
            <w:pPr>
              <w:pStyle w:val="ConsPlusNormal"/>
              <w:jc w:val="center"/>
            </w:pPr>
            <w:r>
              <w:rPr>
                <w:i/>
              </w:rPr>
              <w:t>L/H</w:t>
            </w:r>
            <w:r>
              <w:t xml:space="preserve"> &gt;= 4</w:t>
            </w:r>
          </w:p>
        </w:tc>
        <w:tc>
          <w:tcPr>
            <w:tcW w:w="1560" w:type="dxa"/>
            <w:vAlign w:val="center"/>
          </w:tcPr>
          <w:p w:rsidR="00E35632" w:rsidRDefault="00E35632">
            <w:pPr>
              <w:pStyle w:val="ConsPlusNormal"/>
              <w:jc w:val="center"/>
            </w:pPr>
            <w:r>
              <w:t xml:space="preserve">4 &gt; </w:t>
            </w:r>
            <w:r>
              <w:rPr>
                <w:i/>
              </w:rPr>
              <w:t>L/H</w:t>
            </w:r>
            <w:r>
              <w:t xml:space="preserve"> &gt; 2,5</w:t>
            </w:r>
          </w:p>
        </w:tc>
        <w:tc>
          <w:tcPr>
            <w:tcW w:w="1800" w:type="dxa"/>
            <w:vAlign w:val="center"/>
          </w:tcPr>
          <w:p w:rsidR="00E35632" w:rsidRDefault="00E35632">
            <w:pPr>
              <w:pStyle w:val="ConsPlusNormal"/>
              <w:jc w:val="center"/>
            </w:pPr>
            <w:r>
              <w:t xml:space="preserve">2,5 &gt;= </w:t>
            </w:r>
            <w:r>
              <w:rPr>
                <w:i/>
              </w:rPr>
              <w:t>L/H</w:t>
            </w:r>
            <w:r>
              <w:t xml:space="preserve"> &gt; 1,5</w:t>
            </w:r>
          </w:p>
        </w:tc>
        <w:tc>
          <w:tcPr>
            <w:tcW w:w="1200" w:type="dxa"/>
            <w:vAlign w:val="center"/>
          </w:tcPr>
          <w:p w:rsidR="00E35632" w:rsidRDefault="00E35632">
            <w:pPr>
              <w:pStyle w:val="ConsPlusNormal"/>
              <w:jc w:val="center"/>
            </w:pPr>
            <w:r>
              <w:rPr>
                <w:i/>
              </w:rPr>
              <w:t>L/H</w:t>
            </w:r>
            <w:r>
              <w:t xml:space="preserve"> &lt;= 1,5</w:t>
            </w:r>
          </w:p>
        </w:tc>
      </w:tr>
      <w:tr w:rsidR="00E35632">
        <w:tc>
          <w:tcPr>
            <w:tcW w:w="3451" w:type="dxa"/>
          </w:tcPr>
          <w:p w:rsidR="00E35632" w:rsidRDefault="00E35632">
            <w:pPr>
              <w:pStyle w:val="ConsPlusNormal"/>
            </w:pPr>
            <w:r>
              <w:lastRenderedPageBreak/>
              <w:t>Крупнообломочные с песчаным заполнителем и пески, кроме мелких и пылеватых</w:t>
            </w:r>
          </w:p>
        </w:tc>
        <w:tc>
          <w:tcPr>
            <w:tcW w:w="1049" w:type="dxa"/>
          </w:tcPr>
          <w:p w:rsidR="00E35632" w:rsidRDefault="00E35632">
            <w:pPr>
              <w:pStyle w:val="ConsPlusNormal"/>
              <w:jc w:val="center"/>
            </w:pPr>
            <w:r>
              <w:t>1,4</w:t>
            </w:r>
          </w:p>
        </w:tc>
        <w:tc>
          <w:tcPr>
            <w:tcW w:w="1560" w:type="dxa"/>
          </w:tcPr>
          <w:p w:rsidR="00E35632" w:rsidRDefault="00E35632">
            <w:pPr>
              <w:pStyle w:val="ConsPlusNormal"/>
              <w:jc w:val="center"/>
            </w:pPr>
            <w:r>
              <w:t>1,7</w:t>
            </w:r>
          </w:p>
        </w:tc>
        <w:tc>
          <w:tcPr>
            <w:tcW w:w="1800" w:type="dxa"/>
          </w:tcPr>
          <w:p w:rsidR="00E35632" w:rsidRDefault="00E35632">
            <w:pPr>
              <w:pStyle w:val="ConsPlusNormal"/>
              <w:jc w:val="center"/>
            </w:pPr>
            <w:r>
              <w:t>2,1</w:t>
            </w:r>
          </w:p>
        </w:tc>
        <w:tc>
          <w:tcPr>
            <w:tcW w:w="1200" w:type="dxa"/>
          </w:tcPr>
          <w:p w:rsidR="00E35632" w:rsidRDefault="00E35632">
            <w:pPr>
              <w:pStyle w:val="ConsPlusNormal"/>
              <w:jc w:val="center"/>
            </w:pPr>
            <w:r>
              <w:t>2,5</w:t>
            </w:r>
          </w:p>
        </w:tc>
      </w:tr>
      <w:tr w:rsidR="00E35632">
        <w:tc>
          <w:tcPr>
            <w:tcW w:w="3451" w:type="dxa"/>
          </w:tcPr>
          <w:p w:rsidR="00E35632" w:rsidRDefault="00E35632">
            <w:pPr>
              <w:pStyle w:val="ConsPlusNormal"/>
            </w:pPr>
            <w:r>
              <w:t>Пески мелкие</w:t>
            </w:r>
          </w:p>
        </w:tc>
        <w:tc>
          <w:tcPr>
            <w:tcW w:w="1049" w:type="dxa"/>
          </w:tcPr>
          <w:p w:rsidR="00E35632" w:rsidRDefault="00E35632">
            <w:pPr>
              <w:pStyle w:val="ConsPlusNormal"/>
              <w:jc w:val="center"/>
            </w:pPr>
            <w:r>
              <w:t>1,3</w:t>
            </w:r>
          </w:p>
        </w:tc>
        <w:tc>
          <w:tcPr>
            <w:tcW w:w="1560" w:type="dxa"/>
          </w:tcPr>
          <w:p w:rsidR="00E35632" w:rsidRDefault="00E35632">
            <w:pPr>
              <w:pStyle w:val="ConsPlusNormal"/>
              <w:jc w:val="center"/>
            </w:pPr>
            <w:r>
              <w:t>1,6</w:t>
            </w:r>
          </w:p>
        </w:tc>
        <w:tc>
          <w:tcPr>
            <w:tcW w:w="1800" w:type="dxa"/>
          </w:tcPr>
          <w:p w:rsidR="00E35632" w:rsidRDefault="00E35632">
            <w:pPr>
              <w:pStyle w:val="ConsPlusNormal"/>
              <w:jc w:val="center"/>
            </w:pPr>
            <w:r>
              <w:t>1,9</w:t>
            </w:r>
          </w:p>
        </w:tc>
        <w:tc>
          <w:tcPr>
            <w:tcW w:w="1200" w:type="dxa"/>
          </w:tcPr>
          <w:p w:rsidR="00E35632" w:rsidRDefault="00E35632">
            <w:pPr>
              <w:pStyle w:val="ConsPlusNormal"/>
              <w:jc w:val="center"/>
            </w:pPr>
            <w:r>
              <w:t>2,2</w:t>
            </w:r>
          </w:p>
        </w:tc>
      </w:tr>
      <w:tr w:rsidR="00E35632">
        <w:tc>
          <w:tcPr>
            <w:tcW w:w="3451" w:type="dxa"/>
          </w:tcPr>
          <w:p w:rsidR="00E35632" w:rsidRDefault="00E35632">
            <w:pPr>
              <w:pStyle w:val="ConsPlusNormal"/>
            </w:pPr>
            <w:r>
              <w:t>Пески пылеватые</w:t>
            </w:r>
          </w:p>
        </w:tc>
        <w:tc>
          <w:tcPr>
            <w:tcW w:w="1049" w:type="dxa"/>
          </w:tcPr>
          <w:p w:rsidR="00E35632" w:rsidRDefault="00E35632">
            <w:pPr>
              <w:pStyle w:val="ConsPlusNormal"/>
              <w:jc w:val="center"/>
            </w:pPr>
            <w:r>
              <w:t>1,1</w:t>
            </w:r>
          </w:p>
        </w:tc>
        <w:tc>
          <w:tcPr>
            <w:tcW w:w="1560" w:type="dxa"/>
          </w:tcPr>
          <w:p w:rsidR="00E35632" w:rsidRDefault="00E35632">
            <w:pPr>
              <w:pStyle w:val="ConsPlusNormal"/>
              <w:jc w:val="center"/>
            </w:pPr>
            <w:r>
              <w:t>1,3</w:t>
            </w:r>
          </w:p>
        </w:tc>
        <w:tc>
          <w:tcPr>
            <w:tcW w:w="1800" w:type="dxa"/>
          </w:tcPr>
          <w:p w:rsidR="00E35632" w:rsidRDefault="00E35632">
            <w:pPr>
              <w:pStyle w:val="ConsPlusNormal"/>
              <w:jc w:val="center"/>
            </w:pPr>
            <w:r>
              <w:t>1,7</w:t>
            </w:r>
          </w:p>
        </w:tc>
        <w:tc>
          <w:tcPr>
            <w:tcW w:w="1200" w:type="dxa"/>
          </w:tcPr>
          <w:p w:rsidR="00E35632" w:rsidRDefault="00E35632">
            <w:pPr>
              <w:pStyle w:val="ConsPlusNormal"/>
              <w:jc w:val="center"/>
            </w:pPr>
            <w:r>
              <w:t>2,0</w:t>
            </w:r>
          </w:p>
        </w:tc>
      </w:tr>
      <w:tr w:rsidR="00E35632">
        <w:tc>
          <w:tcPr>
            <w:tcW w:w="3451" w:type="dxa"/>
          </w:tcPr>
          <w:p w:rsidR="00E35632" w:rsidRDefault="00E35632">
            <w:pPr>
              <w:pStyle w:val="ConsPlusNormal"/>
            </w:pPr>
            <w:r>
              <w:t>Крупнообломочные с глинистым заполнителем</w:t>
            </w:r>
          </w:p>
        </w:tc>
        <w:tc>
          <w:tcPr>
            <w:tcW w:w="1049" w:type="dxa"/>
          </w:tcPr>
          <w:p w:rsidR="00E35632" w:rsidRDefault="00E35632">
            <w:pPr>
              <w:pStyle w:val="ConsPlusNormal"/>
              <w:jc w:val="center"/>
            </w:pPr>
            <w:r>
              <w:t>1,0</w:t>
            </w:r>
          </w:p>
        </w:tc>
        <w:tc>
          <w:tcPr>
            <w:tcW w:w="1560" w:type="dxa"/>
          </w:tcPr>
          <w:p w:rsidR="00E35632" w:rsidRDefault="00E35632">
            <w:pPr>
              <w:pStyle w:val="ConsPlusNormal"/>
              <w:jc w:val="center"/>
            </w:pPr>
            <w:r>
              <w:t>1,0</w:t>
            </w:r>
          </w:p>
        </w:tc>
        <w:tc>
          <w:tcPr>
            <w:tcW w:w="1800" w:type="dxa"/>
          </w:tcPr>
          <w:p w:rsidR="00E35632" w:rsidRDefault="00E35632">
            <w:pPr>
              <w:pStyle w:val="ConsPlusNormal"/>
              <w:jc w:val="center"/>
            </w:pPr>
            <w:r>
              <w:t>1,1</w:t>
            </w:r>
          </w:p>
        </w:tc>
        <w:tc>
          <w:tcPr>
            <w:tcW w:w="1200" w:type="dxa"/>
          </w:tcPr>
          <w:p w:rsidR="00E35632" w:rsidRDefault="00E35632">
            <w:pPr>
              <w:pStyle w:val="ConsPlusNormal"/>
              <w:jc w:val="center"/>
            </w:pPr>
            <w:r>
              <w:t>1,2</w:t>
            </w:r>
          </w:p>
        </w:tc>
      </w:tr>
      <w:tr w:rsidR="00E35632">
        <w:tc>
          <w:tcPr>
            <w:tcW w:w="3451" w:type="dxa"/>
          </w:tcPr>
          <w:p w:rsidR="00E35632" w:rsidRDefault="00E35632">
            <w:pPr>
              <w:pStyle w:val="ConsPlusNormal"/>
            </w:pPr>
            <w:r>
              <w:t xml:space="preserve">Глинистые с показателем текучести </w:t>
            </w:r>
            <w:r>
              <w:rPr>
                <w:i/>
              </w:rPr>
              <w:t>I</w:t>
            </w:r>
            <w:r>
              <w:rPr>
                <w:i/>
                <w:vertAlign w:val="subscript"/>
              </w:rPr>
              <w:t>L</w:t>
            </w:r>
            <w:r>
              <w:t xml:space="preserve"> &lt;= 0,5</w:t>
            </w:r>
          </w:p>
        </w:tc>
        <w:tc>
          <w:tcPr>
            <w:tcW w:w="1049" w:type="dxa"/>
          </w:tcPr>
          <w:p w:rsidR="00E35632" w:rsidRDefault="00E35632">
            <w:pPr>
              <w:pStyle w:val="ConsPlusNormal"/>
              <w:jc w:val="center"/>
            </w:pPr>
            <w:r>
              <w:t>1,0</w:t>
            </w:r>
          </w:p>
        </w:tc>
        <w:tc>
          <w:tcPr>
            <w:tcW w:w="1560" w:type="dxa"/>
          </w:tcPr>
          <w:p w:rsidR="00E35632" w:rsidRDefault="00E35632">
            <w:pPr>
              <w:pStyle w:val="ConsPlusNormal"/>
              <w:jc w:val="center"/>
            </w:pPr>
            <w:r>
              <w:t>1,0</w:t>
            </w:r>
          </w:p>
        </w:tc>
        <w:tc>
          <w:tcPr>
            <w:tcW w:w="1800" w:type="dxa"/>
          </w:tcPr>
          <w:p w:rsidR="00E35632" w:rsidRDefault="00E35632">
            <w:pPr>
              <w:pStyle w:val="ConsPlusNormal"/>
              <w:jc w:val="center"/>
            </w:pPr>
            <w:r>
              <w:t>1,1</w:t>
            </w:r>
          </w:p>
        </w:tc>
        <w:tc>
          <w:tcPr>
            <w:tcW w:w="1200" w:type="dxa"/>
          </w:tcPr>
          <w:p w:rsidR="00E35632" w:rsidRDefault="00E35632">
            <w:pPr>
              <w:pStyle w:val="ConsPlusNormal"/>
              <w:jc w:val="center"/>
            </w:pPr>
            <w:r>
              <w:t>1,2</w:t>
            </w:r>
          </w:p>
        </w:tc>
      </w:tr>
      <w:tr w:rsidR="00E35632">
        <w:tc>
          <w:tcPr>
            <w:tcW w:w="3451" w:type="dxa"/>
          </w:tcPr>
          <w:p w:rsidR="00E35632" w:rsidRDefault="00E35632">
            <w:pPr>
              <w:pStyle w:val="ConsPlusNormal"/>
            </w:pPr>
            <w:r>
              <w:t xml:space="preserve">То же, с показателем текучести </w:t>
            </w:r>
            <w:r>
              <w:rPr>
                <w:i/>
              </w:rPr>
              <w:t>I</w:t>
            </w:r>
            <w:r>
              <w:rPr>
                <w:i/>
                <w:vertAlign w:val="subscript"/>
              </w:rPr>
              <w:t>L</w:t>
            </w:r>
            <w:r>
              <w:t xml:space="preserve"> &gt; 0,5</w:t>
            </w:r>
          </w:p>
        </w:tc>
        <w:tc>
          <w:tcPr>
            <w:tcW w:w="1049" w:type="dxa"/>
          </w:tcPr>
          <w:p w:rsidR="00E35632" w:rsidRDefault="00E35632">
            <w:pPr>
              <w:pStyle w:val="ConsPlusNormal"/>
              <w:jc w:val="center"/>
            </w:pPr>
            <w:r>
              <w:t>1,0</w:t>
            </w:r>
          </w:p>
        </w:tc>
        <w:tc>
          <w:tcPr>
            <w:tcW w:w="1560" w:type="dxa"/>
          </w:tcPr>
          <w:p w:rsidR="00E35632" w:rsidRDefault="00E35632">
            <w:pPr>
              <w:pStyle w:val="ConsPlusNormal"/>
              <w:jc w:val="center"/>
            </w:pPr>
            <w:r>
              <w:t>1,0</w:t>
            </w:r>
          </w:p>
        </w:tc>
        <w:tc>
          <w:tcPr>
            <w:tcW w:w="1800" w:type="dxa"/>
          </w:tcPr>
          <w:p w:rsidR="00E35632" w:rsidRDefault="00E35632">
            <w:pPr>
              <w:pStyle w:val="ConsPlusNormal"/>
              <w:jc w:val="center"/>
            </w:pPr>
            <w:r>
              <w:t>1,0</w:t>
            </w:r>
          </w:p>
        </w:tc>
        <w:tc>
          <w:tcPr>
            <w:tcW w:w="1200" w:type="dxa"/>
          </w:tcPr>
          <w:p w:rsidR="00E35632" w:rsidRDefault="00E35632">
            <w:pPr>
              <w:pStyle w:val="ConsPlusNormal"/>
              <w:jc w:val="center"/>
            </w:pPr>
            <w:r>
              <w:t>1,0</w:t>
            </w:r>
          </w:p>
        </w:tc>
      </w:tr>
    </w:tbl>
    <w:p w:rsidR="00E35632" w:rsidRDefault="00E35632">
      <w:pPr>
        <w:pStyle w:val="ConsPlusNormal"/>
        <w:jc w:val="both"/>
      </w:pPr>
    </w:p>
    <w:p w:rsidR="00E35632" w:rsidRDefault="00E35632">
      <w:pPr>
        <w:pStyle w:val="ConsPlusNormal"/>
        <w:ind w:firstLine="540"/>
        <w:jc w:val="both"/>
      </w:pPr>
      <w:r>
        <w:t xml:space="preserve">6.11.5 Значения коэффициента </w:t>
      </w:r>
      <w:r>
        <w:rPr>
          <w:noProof/>
          <w:position w:val="-8"/>
        </w:rPr>
        <w:drawing>
          <wp:inline distT="0" distB="0" distL="0" distR="0">
            <wp:extent cx="479425" cy="251460"/>
            <wp:effectExtent l="0" t="0" r="0" b="0"/>
            <wp:docPr id="4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79425" cy="251460"/>
                    </a:xfrm>
                    <a:prstGeom prst="rect">
                      <a:avLst/>
                    </a:prstGeom>
                    <a:noFill/>
                    <a:ln>
                      <a:noFill/>
                    </a:ln>
                  </pic:spPr>
                </pic:pic>
              </a:graphicData>
            </a:graphic>
          </wp:inline>
        </w:drawing>
      </w:r>
      <w:r>
        <w:t xml:space="preserve"> по </w:t>
      </w:r>
      <w:hyperlink w:anchor="P3870">
        <w:r>
          <w:rPr>
            <w:color w:val="0000FF"/>
          </w:rPr>
          <w:t>таблице 6.14</w:t>
        </w:r>
      </w:hyperlink>
      <w:r>
        <w:t xml:space="preserve"> относят к сооружениям, в которых помимо поэтажных поясов предусмотрен также фундаментный пояс.</w:t>
      </w:r>
    </w:p>
    <w:p w:rsidR="00E35632" w:rsidRDefault="00E35632">
      <w:pPr>
        <w:pStyle w:val="ConsPlusNormal"/>
        <w:jc w:val="both"/>
      </w:pPr>
      <w:r>
        <w:t xml:space="preserve">(в ред. </w:t>
      </w:r>
      <w:hyperlink r:id="rId725">
        <w:r>
          <w:rPr>
            <w:color w:val="0000FF"/>
          </w:rPr>
          <w:t>Изменения N 3</w:t>
        </w:r>
      </w:hyperlink>
      <w:r>
        <w:t>, утв. Приказом Минстроя России от 22.11.2019 N 722/пр)</w:t>
      </w:r>
    </w:p>
    <w:p w:rsidR="00E35632" w:rsidRDefault="00E35632">
      <w:pPr>
        <w:pStyle w:val="ConsPlusNormal"/>
        <w:jc w:val="both"/>
      </w:pPr>
    </w:p>
    <w:p w:rsidR="00E35632" w:rsidRDefault="00E35632">
      <w:pPr>
        <w:pStyle w:val="ConsPlusNormal"/>
        <w:ind w:firstLine="540"/>
        <w:jc w:val="both"/>
      </w:pPr>
      <w:r>
        <w:t xml:space="preserve">Таблица 6.15 исключена с 23.05.2020. - </w:t>
      </w:r>
      <w:hyperlink r:id="rId726">
        <w:r>
          <w:rPr>
            <w:color w:val="0000FF"/>
          </w:rPr>
          <w:t>Изменение N 3</w:t>
        </w:r>
      </w:hyperlink>
      <w:r>
        <w:t>, утв. Приказом Минстроя России от 22.11.2019 N 722/пр;</w:t>
      </w:r>
    </w:p>
    <w:p w:rsidR="00E35632" w:rsidRDefault="00E35632">
      <w:pPr>
        <w:pStyle w:val="ConsPlusNormal"/>
        <w:jc w:val="both"/>
      </w:pPr>
    </w:p>
    <w:p w:rsidR="00E35632" w:rsidRDefault="00E35632">
      <w:pPr>
        <w:pStyle w:val="ConsPlusNormal"/>
        <w:ind w:firstLine="540"/>
        <w:jc w:val="both"/>
      </w:pPr>
      <w:r>
        <w:t xml:space="preserve">6.11.6 Для сооружений жесткой конструктивной схемы, для которых расчетные давления на основание приняты с коэффициентом </w:t>
      </w:r>
      <w:r>
        <w:rPr>
          <w:noProof/>
          <w:position w:val="-8"/>
        </w:rPr>
        <w:drawing>
          <wp:inline distT="0" distB="0" distL="0" distR="0">
            <wp:extent cx="479425" cy="251460"/>
            <wp:effectExtent l="0" t="0" r="0" b="0"/>
            <wp:docPr id="4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79425" cy="251460"/>
                    </a:xfrm>
                    <a:prstGeom prst="rect">
                      <a:avLst/>
                    </a:prstGeom>
                    <a:noFill/>
                    <a:ln>
                      <a:noFill/>
                    </a:ln>
                  </pic:spPr>
                </pic:pic>
              </a:graphicData>
            </a:graphic>
          </wp:inline>
        </w:drawing>
      </w:r>
      <w:r>
        <w:t>, ширина подошвы бетонных и железобетонных монолитных и сборных фундаментов должна быть не менее 0,4 м.</w:t>
      </w:r>
    </w:p>
    <w:p w:rsidR="00E35632" w:rsidRDefault="00E35632">
      <w:pPr>
        <w:pStyle w:val="ConsPlusNormal"/>
        <w:spacing w:before="220"/>
        <w:ind w:firstLine="540"/>
        <w:jc w:val="both"/>
      </w:pPr>
      <w:r>
        <w:t>6.11.7 Краевое давление на грунт под подошвой фундаментов, в том числе плитных, следует определять с учетом дополнительных моментов, вызываемых деформацией земной поверхности при подработке.</w:t>
      </w:r>
    </w:p>
    <w:p w:rsidR="00E35632" w:rsidRDefault="00E35632">
      <w:pPr>
        <w:pStyle w:val="ConsPlusNormal"/>
        <w:spacing w:before="220"/>
        <w:ind w:firstLine="540"/>
        <w:jc w:val="both"/>
      </w:pPr>
      <w:r>
        <w:t>Краевое давление не должно превышать 1,4</w:t>
      </w:r>
      <w:r>
        <w:rPr>
          <w:i/>
        </w:rPr>
        <w:t>R</w:t>
      </w:r>
      <w:r>
        <w:t>, в угловой точке - 1,5</w:t>
      </w:r>
      <w:r>
        <w:rPr>
          <w:i/>
        </w:rPr>
        <w:t>R</w:t>
      </w:r>
      <w:r>
        <w:t>.</w:t>
      </w:r>
    </w:p>
    <w:p w:rsidR="00E35632" w:rsidRDefault="00E35632">
      <w:pPr>
        <w:pStyle w:val="ConsPlusNormal"/>
        <w:spacing w:before="220"/>
        <w:ind w:firstLine="540"/>
        <w:jc w:val="both"/>
      </w:pPr>
      <w:r>
        <w:t>6.11.8 Краевые давления на грунты основания плитных фундаментов сооружений башенного типа следует проверять с учетом наклона земной поверхности, ветровых нагрузок и возможного крена сооружений вследствие естественной неоднородности грунта основания.</w:t>
      </w:r>
    </w:p>
    <w:p w:rsidR="00E35632" w:rsidRDefault="00E35632">
      <w:pPr>
        <w:pStyle w:val="ConsPlusNormal"/>
        <w:spacing w:before="220"/>
        <w:ind w:firstLine="540"/>
        <w:jc w:val="both"/>
      </w:pPr>
      <w:r>
        <w:t xml:space="preserve">6.11.9 Расчет деформаций основания фундаментов допускается не проводить в случаях, указанных в </w:t>
      </w:r>
      <w:hyperlink w:anchor="P1808">
        <w:r>
          <w:rPr>
            <w:color w:val="0000FF"/>
          </w:rPr>
          <w:t>таблице 5.11</w:t>
        </w:r>
      </w:hyperlink>
      <w:r>
        <w:t>, и если конструкции сооружений проектируют с учетом неравномерного оседания земной поверхности.</w:t>
      </w:r>
    </w:p>
    <w:p w:rsidR="00E35632" w:rsidRDefault="00E35632">
      <w:pPr>
        <w:pStyle w:val="ConsPlusNormal"/>
        <w:spacing w:before="220"/>
        <w:ind w:firstLine="540"/>
        <w:jc w:val="both"/>
      </w:pPr>
      <w:r>
        <w:t>На площадках, сложенных специфическими грунтами, конструкции сооружений следует проектировать с учетом возможного совместного воздействия на них деформаций от подработок и проявления специфических свойств указанных грунтов.</w:t>
      </w:r>
    </w:p>
    <w:p w:rsidR="00E35632" w:rsidRDefault="00E35632">
      <w:pPr>
        <w:pStyle w:val="ConsPlusNormal"/>
        <w:spacing w:before="220"/>
        <w:ind w:firstLine="540"/>
        <w:jc w:val="both"/>
      </w:pPr>
      <w:r>
        <w:t>6.11.10 Для сооружений, возводимых на подрабатываемых территориях, следует применять фундаменты следующих конструктивных схем:</w:t>
      </w:r>
    </w:p>
    <w:p w:rsidR="00E35632" w:rsidRDefault="00E35632">
      <w:pPr>
        <w:pStyle w:val="ConsPlusNormal"/>
        <w:spacing w:before="220"/>
        <w:ind w:firstLine="540"/>
        <w:jc w:val="both"/>
      </w:pPr>
      <w:r>
        <w:t>- жесткой (плитные, ленточные с железобетонными монолитными поясами, столбчатые со связями-распорками между ними и т.п.);</w:t>
      </w:r>
    </w:p>
    <w:p w:rsidR="00E35632" w:rsidRDefault="00E35632">
      <w:pPr>
        <w:pStyle w:val="ConsPlusNormal"/>
        <w:spacing w:before="220"/>
        <w:ind w:firstLine="540"/>
        <w:jc w:val="both"/>
      </w:pPr>
      <w:r>
        <w:t xml:space="preserve">- податливой (фундаменты с горизонтальными швами скольжения между отдельными элементами - первый тип податливости; фундаменты с вертикальными элементами, имеющими </w:t>
      </w:r>
      <w:r>
        <w:lastRenderedPageBreak/>
        <w:t>возможность наклоняться при горизонтальных перемещениях грунта - второй тип податливости);</w:t>
      </w:r>
    </w:p>
    <w:p w:rsidR="00E35632" w:rsidRDefault="00E35632">
      <w:pPr>
        <w:pStyle w:val="ConsPlusNormal"/>
        <w:spacing w:before="220"/>
        <w:ind w:firstLine="540"/>
        <w:jc w:val="both"/>
      </w:pPr>
      <w:r>
        <w:t>- комбинированной (жесткие фундаменты, имеющие шов скольжения ниже уровня планировки или пола подвала).</w:t>
      </w:r>
    </w:p>
    <w:p w:rsidR="00E35632" w:rsidRDefault="00E35632">
      <w:pPr>
        <w:pStyle w:val="ConsPlusNormal"/>
        <w:spacing w:before="220"/>
        <w:ind w:firstLine="540"/>
        <w:jc w:val="both"/>
      </w:pPr>
      <w:r>
        <w:t>Конструктивную схему фундамента следует принимать в зависимости от расчетных деформаций земной поверхности, жесткости надфундаментных конструкций, сжимаемости грунтов оснований и пр.</w:t>
      </w:r>
    </w:p>
    <w:p w:rsidR="00E35632" w:rsidRDefault="00E35632">
      <w:pPr>
        <w:pStyle w:val="ConsPlusNormal"/>
        <w:spacing w:before="220"/>
        <w:ind w:firstLine="540"/>
        <w:jc w:val="both"/>
      </w:pPr>
      <w:r>
        <w:t>Примечание - Для зданий высотой более семи этажей и башенного типа применение наклоняющихся фундаментов не допускается.</w:t>
      </w:r>
    </w:p>
    <w:p w:rsidR="00E35632" w:rsidRDefault="00E35632">
      <w:pPr>
        <w:pStyle w:val="ConsPlusNormal"/>
        <w:jc w:val="both"/>
      </w:pPr>
    </w:p>
    <w:p w:rsidR="00E35632" w:rsidRDefault="00E35632">
      <w:pPr>
        <w:pStyle w:val="ConsPlusNormal"/>
        <w:ind w:firstLine="540"/>
        <w:jc w:val="both"/>
      </w:pPr>
      <w:r>
        <w:t>6.11.11 Фундаменты следует рассчитывать на нагрузки от воздействия относительных горизонтальных деформаций земной поверхности (растяжения и сжатия), вызывающих горизонтальные перемещения грунта в направлении как продольной, так и поперечной осей сооружений.</w:t>
      </w:r>
    </w:p>
    <w:p w:rsidR="00E35632" w:rsidRDefault="00E35632">
      <w:pPr>
        <w:pStyle w:val="ConsPlusNormal"/>
        <w:spacing w:before="220"/>
        <w:ind w:firstLine="540"/>
        <w:jc w:val="both"/>
      </w:pPr>
      <w:r>
        <w:t>Для восприятия усилий от воздействия горизонтальных перемещений грунта должны устраиваться: в ленточных фундаментах - железобетонные монолитные пояса (в податливых фундаментах - над швом скольжения); в столбчатых (в необходимых случаях) - связи-распорки; в плитных и свайных фундаментах должно предусматриваться соответствующее усиление армирования плиты и ростверка.</w:t>
      </w:r>
    </w:p>
    <w:p w:rsidR="00E35632" w:rsidRDefault="00E35632">
      <w:pPr>
        <w:pStyle w:val="ConsPlusNormal"/>
        <w:spacing w:before="220"/>
        <w:ind w:firstLine="540"/>
        <w:jc w:val="both"/>
      </w:pPr>
      <w:r>
        <w:t>6.11.12 Фундаменты жесткой конструктивной схемы при воздействии горизонтальных деформаций грунта следует рассчитывать на усилия, вызываемые следующими нагрузками:</w:t>
      </w:r>
    </w:p>
    <w:p w:rsidR="00E35632" w:rsidRDefault="00E35632">
      <w:pPr>
        <w:pStyle w:val="ConsPlusNormal"/>
        <w:spacing w:before="220"/>
        <w:ind w:firstLine="540"/>
        <w:jc w:val="both"/>
      </w:pPr>
      <w:r>
        <w:t>- силами трения (сдвигающими силами) по подошве фундаментов продольных и примыкающих стен, а также по боковым поверхностям фундаментов от перемещения грунта;</w:t>
      </w:r>
    </w:p>
    <w:p w:rsidR="00E35632" w:rsidRDefault="00E35632">
      <w:pPr>
        <w:pStyle w:val="ConsPlusNormal"/>
        <w:spacing w:before="220"/>
        <w:ind w:firstLine="540"/>
        <w:jc w:val="both"/>
      </w:pPr>
      <w:r>
        <w:t>- давлением перемещающегося грунта, действующего нормально к боковой поверхности фундаментов.</w:t>
      </w:r>
    </w:p>
    <w:p w:rsidR="00E35632" w:rsidRDefault="00E35632">
      <w:pPr>
        <w:pStyle w:val="ConsPlusNormal"/>
        <w:spacing w:before="220"/>
        <w:ind w:firstLine="540"/>
        <w:jc w:val="both"/>
      </w:pPr>
      <w:r>
        <w:t>Усилия от сил трения (сдвигающих сил) по подошве фундаментов примыкающих стен, боковое давление грунта на фундаменты и заглубленные части стен этих фундаментов должны передаваться на конструкции фундаментов, расположенных параллельно направлению рассматриваемого горизонтального перемещения грунта.</w:t>
      </w:r>
    </w:p>
    <w:p w:rsidR="00E35632" w:rsidRDefault="00E35632">
      <w:pPr>
        <w:pStyle w:val="ConsPlusNormal"/>
        <w:spacing w:before="220"/>
        <w:ind w:firstLine="540"/>
        <w:jc w:val="both"/>
      </w:pPr>
      <w:r>
        <w:t>6.11.13 Фундаменты податливой конструктивной схемы при воздействии горизонтальных деформаций грунта следует рассчитывать на нагрузки и усилия в зависимости от типа податливости.</w:t>
      </w:r>
    </w:p>
    <w:p w:rsidR="00E35632" w:rsidRDefault="00E35632">
      <w:pPr>
        <w:pStyle w:val="ConsPlusNormal"/>
        <w:spacing w:before="220"/>
        <w:ind w:firstLine="540"/>
        <w:jc w:val="both"/>
      </w:pPr>
      <w:r>
        <w:t>При первом типе податливости, когда фундаменты имеют возможность смещаться по шву скольжения, их следует рассчитывать на силы трения, возникающие в шве скольжения от сдвига фундаментов.</w:t>
      </w:r>
    </w:p>
    <w:p w:rsidR="00E35632" w:rsidRDefault="00E35632">
      <w:pPr>
        <w:pStyle w:val="ConsPlusNormal"/>
        <w:spacing w:before="220"/>
        <w:ind w:firstLine="540"/>
        <w:jc w:val="both"/>
      </w:pPr>
      <w:r>
        <w:t>При втором типе податливости, когда фундаменты имеют возможность наклоняться, их следует рассчитывать на наклоны и возникающее нормальное давление грунта.</w:t>
      </w:r>
    </w:p>
    <w:p w:rsidR="00E35632" w:rsidRDefault="00E35632">
      <w:pPr>
        <w:pStyle w:val="ConsPlusNormal"/>
        <w:spacing w:before="220"/>
        <w:ind w:firstLine="540"/>
        <w:jc w:val="both"/>
      </w:pPr>
      <w:r>
        <w:t>Податливые фундаменты второго типа, наклоняющиеся из плоскости стены, в ее плоскости могут работать как податливые фундаменты первого типа.</w:t>
      </w:r>
    </w:p>
    <w:p w:rsidR="00E35632" w:rsidRDefault="00E35632">
      <w:pPr>
        <w:pStyle w:val="ConsPlusNormal"/>
        <w:spacing w:before="220"/>
        <w:ind w:firstLine="540"/>
        <w:jc w:val="both"/>
      </w:pPr>
      <w:r>
        <w:t>Усилия от сил трения по шву скольжения и бокового давления фундаментов примыкающих стен должны передаваться на конструкции фундаментов, расположенных параллельно направлению рассматриваемого горизонтального перемещения.</w:t>
      </w:r>
    </w:p>
    <w:p w:rsidR="00E35632" w:rsidRDefault="00E35632">
      <w:pPr>
        <w:pStyle w:val="ConsPlusNormal"/>
        <w:spacing w:before="220"/>
        <w:ind w:firstLine="540"/>
        <w:jc w:val="both"/>
      </w:pPr>
      <w:r>
        <w:t xml:space="preserve">При перемещении наклоняющихся фундаментов следует предусматривать меры по обеспечению местной устойчивости элементов фундаментов и общей устойчивости сооружения в </w:t>
      </w:r>
      <w:r>
        <w:lastRenderedPageBreak/>
        <w:t>целом.</w:t>
      </w:r>
    </w:p>
    <w:p w:rsidR="00E35632" w:rsidRDefault="00E35632">
      <w:pPr>
        <w:pStyle w:val="ConsPlusNormal"/>
        <w:spacing w:before="220"/>
        <w:ind w:firstLine="540"/>
        <w:jc w:val="both"/>
      </w:pPr>
      <w:r>
        <w:t>6.11.14 При шарнирном сопряжении колонн каркаса с фундаментами и ригелем и отсутствии связей-распорок между фундаментами конструкции при воздействии горизонтальных деформаций работают по второму типу податливости.</w:t>
      </w:r>
    </w:p>
    <w:p w:rsidR="00E35632" w:rsidRDefault="00E35632">
      <w:pPr>
        <w:pStyle w:val="ConsPlusNormal"/>
        <w:spacing w:before="220"/>
        <w:ind w:firstLine="540"/>
        <w:jc w:val="both"/>
      </w:pPr>
      <w:r>
        <w:t>Нагрузки на фундаменты с жесткой заделкой колонн при отсутствии связей-распорок между фундаментами определяют в зависимости от перемещения основания, заглубления фундаментов, жесткости колонн, прочности и деформационных характеристик основания и грунта засыпки.</w:t>
      </w:r>
    </w:p>
    <w:p w:rsidR="00E35632" w:rsidRDefault="00E35632">
      <w:pPr>
        <w:pStyle w:val="ConsPlusNormal"/>
        <w:spacing w:before="220"/>
        <w:ind w:firstLine="540"/>
        <w:jc w:val="both"/>
      </w:pPr>
      <w:r>
        <w:t xml:space="preserve">6.11.15 На площадках, сложенных грунтами с модулем деформации </w:t>
      </w:r>
      <w:r>
        <w:rPr>
          <w:i/>
        </w:rPr>
        <w:t>E</w:t>
      </w:r>
      <w:r>
        <w:t xml:space="preserve"> &lt; 10 МПа, а также при возможности резкого ухудшения деформационно-прочностных характеристик грунтов основания вследствие изменения гидрогеологических условий площадки при подработке, следует принимать свайные или плитные фундаменты.</w:t>
      </w:r>
    </w:p>
    <w:p w:rsidR="00E35632" w:rsidRDefault="00E35632">
      <w:pPr>
        <w:pStyle w:val="ConsPlusNormal"/>
        <w:spacing w:before="220"/>
        <w:ind w:firstLine="540"/>
        <w:jc w:val="both"/>
      </w:pPr>
      <w:r>
        <w:t>Если в верхней зоне основания залегают слои ограниченной толщины насыпных, просадочных и других специфических грунтов, следует предусматривать прорезку этих слоев фундаментами.</w:t>
      </w:r>
    </w:p>
    <w:p w:rsidR="00E35632" w:rsidRDefault="00E35632">
      <w:pPr>
        <w:pStyle w:val="ConsPlusNormal"/>
        <w:spacing w:before="220"/>
        <w:ind w:firstLine="540"/>
        <w:jc w:val="both"/>
      </w:pPr>
      <w:r>
        <w:t>6.11.16 К основным мероприятиям, снижающим неблагоприятное воздействие деформаций земной поверхности на фундаменты и конструкции сооружений, относятся:</w:t>
      </w:r>
    </w:p>
    <w:p w:rsidR="00E35632" w:rsidRDefault="00E35632">
      <w:pPr>
        <w:pStyle w:val="ConsPlusNormal"/>
        <w:spacing w:before="220"/>
        <w:ind w:firstLine="540"/>
        <w:jc w:val="both"/>
      </w:pPr>
      <w:r>
        <w:t>а) уменьшение боковой поверхности фундаментов, имеющей контакт с грунтом;</w:t>
      </w:r>
    </w:p>
    <w:p w:rsidR="00E35632" w:rsidRDefault="00E35632">
      <w:pPr>
        <w:pStyle w:val="ConsPlusNormal"/>
        <w:spacing w:before="220"/>
        <w:ind w:firstLine="540"/>
        <w:jc w:val="both"/>
      </w:pPr>
      <w:r>
        <w:t>б) заложение фундаментного пояса на одном уровне в пределах отсека сооружения;</w:t>
      </w:r>
    </w:p>
    <w:p w:rsidR="00E35632" w:rsidRDefault="00E35632">
      <w:pPr>
        <w:pStyle w:val="ConsPlusNormal"/>
        <w:spacing w:before="220"/>
        <w:ind w:firstLine="540"/>
        <w:jc w:val="both"/>
      </w:pPr>
      <w:r>
        <w:t>в) устройство грунтовых подушек на основаниях, сложенных практически несжимаемыми грунтами;</w:t>
      </w:r>
    </w:p>
    <w:p w:rsidR="00E35632" w:rsidRDefault="00E35632">
      <w:pPr>
        <w:pStyle w:val="ConsPlusNormal"/>
        <w:spacing w:before="220"/>
        <w:ind w:firstLine="540"/>
        <w:jc w:val="both"/>
      </w:pPr>
      <w:r>
        <w:t>г) размещение подвалов и технических подполий под всей площадью отсека сооружения;</w:t>
      </w:r>
    </w:p>
    <w:p w:rsidR="00E35632" w:rsidRDefault="00E35632">
      <w:pPr>
        <w:pStyle w:val="ConsPlusNormal"/>
        <w:spacing w:before="220"/>
        <w:ind w:firstLine="540"/>
        <w:jc w:val="both"/>
      </w:pPr>
      <w:r>
        <w:t>д) засыпка грунтом пазух котлованов и выполнение грунтовых подушек из материалов, обладающих малым сцеплением и трением на контакте с поверхностью фундаментов;</w:t>
      </w:r>
    </w:p>
    <w:p w:rsidR="00E35632" w:rsidRDefault="00E35632">
      <w:pPr>
        <w:pStyle w:val="ConsPlusNormal"/>
        <w:spacing w:before="220"/>
        <w:ind w:firstLine="540"/>
        <w:jc w:val="both"/>
      </w:pPr>
      <w:r>
        <w:t>е) отрывка перед подработкой временных компенсационных траншей по периметру сооружения;</w:t>
      </w:r>
    </w:p>
    <w:p w:rsidR="00E35632" w:rsidRDefault="00E35632">
      <w:pPr>
        <w:pStyle w:val="ConsPlusNormal"/>
        <w:spacing w:before="220"/>
        <w:ind w:firstLine="540"/>
        <w:jc w:val="both"/>
      </w:pPr>
      <w:r>
        <w:t>ж) разрезка зданий на отсеки.</w:t>
      </w:r>
    </w:p>
    <w:p w:rsidR="00E35632" w:rsidRDefault="00E35632">
      <w:pPr>
        <w:pStyle w:val="ConsPlusNormal"/>
        <w:spacing w:before="220"/>
        <w:ind w:firstLine="540"/>
        <w:jc w:val="both"/>
      </w:pPr>
      <w:r>
        <w:t>6.11.17 Основным конструктивным мероприятием, снижающим неблагоприятное воздействие деформаций земной поверхности на фундаменты и конструкции зданий и сооружений, является разрезка зданий на отсеки, благодаря которой снижаются значения перемещений.</w:t>
      </w:r>
    </w:p>
    <w:p w:rsidR="00E35632" w:rsidRDefault="00E35632">
      <w:pPr>
        <w:pStyle w:val="ConsPlusNormal"/>
        <w:spacing w:before="220"/>
        <w:ind w:firstLine="540"/>
        <w:jc w:val="both"/>
      </w:pPr>
      <w:r>
        <w:t>6.11.18 При строительстве сооружений на территориях при возможности образования при подработке уступов выбор типа фундаментов и метода защиты сооружений должен зависеть от размеров уступов:</w:t>
      </w:r>
    </w:p>
    <w:p w:rsidR="00E35632" w:rsidRDefault="00E35632">
      <w:pPr>
        <w:pStyle w:val="ConsPlusNormal"/>
        <w:spacing w:before="220"/>
        <w:ind w:firstLine="540"/>
        <w:jc w:val="both"/>
      </w:pPr>
      <w:r>
        <w:t>- при уступах до 2 - 3 см фундаменты могут приниматься, как и для условий строительства на площадках с плавными деформациями земной поверхности, т.е. по жесткой или податливой (первого типа податливости) конструктивной схеме;</w:t>
      </w:r>
    </w:p>
    <w:p w:rsidR="00E35632" w:rsidRDefault="00E35632">
      <w:pPr>
        <w:pStyle w:val="ConsPlusNormal"/>
        <w:spacing w:before="220"/>
        <w:ind w:firstLine="540"/>
        <w:jc w:val="both"/>
      </w:pPr>
      <w:r>
        <w:t>- ожидаемых уступах более 3 см должна предусматриваться возможность выравнивания сооружения поддомкрачиванием или с помощью клиньев.</w:t>
      </w:r>
    </w:p>
    <w:p w:rsidR="00E35632" w:rsidRDefault="00E35632">
      <w:pPr>
        <w:pStyle w:val="ConsPlusNormal"/>
        <w:spacing w:before="220"/>
        <w:ind w:firstLine="540"/>
        <w:jc w:val="both"/>
      </w:pPr>
      <w:r>
        <w:t xml:space="preserve">6.11.19 При расчете деформаций, вызванных строительством подземных линейных сооружений (тоннелей, коллекторов, трубопроводов и т.п.) различного назначения в условиях </w:t>
      </w:r>
      <w:r>
        <w:lastRenderedPageBreak/>
        <w:t>существующей застройки, допускается учитывать интенсивность воздействия интегральными характеристиками (перебор грунта и др.).</w:t>
      </w:r>
    </w:p>
    <w:p w:rsidR="00E35632" w:rsidRDefault="00E35632">
      <w:pPr>
        <w:pStyle w:val="ConsPlusTitle"/>
        <w:spacing w:before="220"/>
        <w:ind w:firstLine="540"/>
        <w:jc w:val="both"/>
        <w:outlineLvl w:val="2"/>
      </w:pPr>
      <w:bookmarkStart w:id="202" w:name="P3956"/>
      <w:bookmarkEnd w:id="202"/>
      <w:r>
        <w:t>6.12 Особенности проектирования оснований сооружений, возводимых на закарстованных территориях</w:t>
      </w:r>
    </w:p>
    <w:p w:rsidR="00E35632" w:rsidRDefault="00E35632">
      <w:pPr>
        <w:pStyle w:val="ConsPlusNormal"/>
        <w:spacing w:before="220"/>
        <w:ind w:firstLine="540"/>
        <w:jc w:val="both"/>
      </w:pPr>
      <w:r>
        <w:t>6.12.1 К закарстованным относятся территории, в пределах которых распространены водорастворимые горные породы (известняки, доломиты, гипсы, мел и т.д.). Основания и фундаменты сооружений, возводимых на закарстованных территориях, следует проектировать с учетом развития карстовых процессов под поверхностью в массиве водорастворимых пород (полости, каверны и т.п.), в залегающей над ними грунтовой толще (зоны разуплотнения и т.п.) и возможности образования карстовых деформаций - провалов и оседаний (с выходом на поверхность).</w:t>
      </w:r>
    </w:p>
    <w:p w:rsidR="00E35632" w:rsidRDefault="00E35632">
      <w:pPr>
        <w:pStyle w:val="ConsPlusNormal"/>
        <w:spacing w:before="220"/>
        <w:ind w:firstLine="540"/>
        <w:jc w:val="both"/>
      </w:pPr>
      <w:bookmarkStart w:id="203" w:name="P3958"/>
      <w:bookmarkEnd w:id="203"/>
      <w:r>
        <w:t>6.12.2 При проектировании сооружений на закарстованных территориях необходимо обеспечить их прочность и устойчивость с учетом образования карстовых деформаций непосредственно под фундаментами сооружения и на прилегающей к нему территории, ограниченной расстоянием, за пределами которого негативное влияние на проектируемое сооружение исключено.</w:t>
      </w:r>
    </w:p>
    <w:p w:rsidR="00E35632" w:rsidRDefault="00E35632">
      <w:pPr>
        <w:pStyle w:val="ConsPlusNormal"/>
        <w:spacing w:before="220"/>
        <w:ind w:firstLine="540"/>
        <w:jc w:val="both"/>
      </w:pPr>
      <w:r>
        <w:t>Примечание - Требования настоящего раздела распространяются на все виды строительства, включая реконструкцию.</w:t>
      </w:r>
    </w:p>
    <w:p w:rsidR="00E35632" w:rsidRDefault="00E35632">
      <w:pPr>
        <w:pStyle w:val="ConsPlusNormal"/>
        <w:jc w:val="both"/>
      </w:pPr>
    </w:p>
    <w:p w:rsidR="00E35632" w:rsidRDefault="00E35632">
      <w:pPr>
        <w:pStyle w:val="ConsPlusNormal"/>
        <w:ind w:firstLine="540"/>
        <w:jc w:val="both"/>
      </w:pPr>
      <w:r>
        <w:t xml:space="preserve">6.12.3 Для обеспечения требования </w:t>
      </w:r>
      <w:hyperlink w:anchor="P3958">
        <w:r>
          <w:rPr>
            <w:color w:val="0000FF"/>
          </w:rPr>
          <w:t>6.12.2</w:t>
        </w:r>
      </w:hyperlink>
      <w:r>
        <w:t xml:space="preserve"> следует установить категорию опасности площадки строительства в карстово-суффозионном отношении с учетом </w:t>
      </w:r>
      <w:hyperlink w:anchor="P3963">
        <w:r>
          <w:rPr>
            <w:color w:val="0000FF"/>
          </w:rPr>
          <w:t>6.12.5</w:t>
        </w:r>
      </w:hyperlink>
      <w:r>
        <w:t xml:space="preserve">, определить необходимость проведения противокарстовых мероприятий согласно требованиям </w:t>
      </w:r>
      <w:hyperlink w:anchor="P4041">
        <w:r>
          <w:rPr>
            <w:color w:val="0000FF"/>
          </w:rPr>
          <w:t>6.12.9</w:t>
        </w:r>
      </w:hyperlink>
      <w:r>
        <w:t xml:space="preserve">, </w:t>
      </w:r>
      <w:hyperlink w:anchor="P4042">
        <w:r>
          <w:rPr>
            <w:color w:val="0000FF"/>
          </w:rPr>
          <w:t>6.12.10</w:t>
        </w:r>
      </w:hyperlink>
      <w:r>
        <w:t xml:space="preserve">, определить расчетные параметры карстовых деформаций согласно требованиям </w:t>
      </w:r>
      <w:hyperlink w:anchor="P4048">
        <w:r>
          <w:rPr>
            <w:color w:val="0000FF"/>
          </w:rPr>
          <w:t>6.12.11</w:t>
        </w:r>
      </w:hyperlink>
      <w:r>
        <w:t xml:space="preserve">, </w:t>
      </w:r>
      <w:hyperlink w:anchor="P4051">
        <w:r>
          <w:rPr>
            <w:color w:val="0000FF"/>
          </w:rPr>
          <w:t>6.12.12</w:t>
        </w:r>
      </w:hyperlink>
      <w:r>
        <w:t xml:space="preserve"> и запроектировать противокарстовые мероприятия в соответствии с требованиями </w:t>
      </w:r>
      <w:hyperlink w:anchor="P4066">
        <w:r>
          <w:rPr>
            <w:color w:val="0000FF"/>
          </w:rPr>
          <w:t>6.12.13</w:t>
        </w:r>
      </w:hyperlink>
      <w:r>
        <w:t xml:space="preserve">, </w:t>
      </w:r>
      <w:hyperlink w:anchor="P4106">
        <w:r>
          <w:rPr>
            <w:color w:val="0000FF"/>
          </w:rPr>
          <w:t>6.12.14</w:t>
        </w:r>
      </w:hyperlink>
      <w:r>
        <w:t>.</w:t>
      </w:r>
    </w:p>
    <w:p w:rsidR="00E35632" w:rsidRDefault="00E35632">
      <w:pPr>
        <w:pStyle w:val="ConsPlusNormal"/>
        <w:spacing w:before="220"/>
        <w:ind w:firstLine="540"/>
        <w:jc w:val="both"/>
      </w:pPr>
      <w:r>
        <w:t>6.12.4 По степени опасности в карстово-суффозионном отношении участки строительства подразделяются на три категории: неопасная, потенциально опасная, опасная.</w:t>
      </w:r>
    </w:p>
    <w:p w:rsidR="00E35632" w:rsidRDefault="00E35632">
      <w:pPr>
        <w:pStyle w:val="ConsPlusNormal"/>
        <w:spacing w:before="220"/>
        <w:ind w:firstLine="540"/>
        <w:jc w:val="both"/>
      </w:pPr>
      <w:bookmarkStart w:id="204" w:name="P3963"/>
      <w:bookmarkEnd w:id="204"/>
      <w:r>
        <w:t xml:space="preserve">6.12.5 Категория опасности участка строительства в карстово-суффозионном отношении определяется на основании результатов инженерно-геологических изысканий с учетом требований </w:t>
      </w:r>
      <w:hyperlink w:anchor="P4004">
        <w:r>
          <w:rPr>
            <w:color w:val="0000FF"/>
          </w:rPr>
          <w:t>6.12.8</w:t>
        </w:r>
      </w:hyperlink>
      <w:r>
        <w:t>.</w:t>
      </w:r>
    </w:p>
    <w:p w:rsidR="00E35632" w:rsidRDefault="00E35632">
      <w:pPr>
        <w:pStyle w:val="ConsPlusNormal"/>
        <w:spacing w:before="220"/>
        <w:ind w:firstLine="540"/>
        <w:jc w:val="both"/>
      </w:pPr>
      <w:r>
        <w:t xml:space="preserve">6.12.6 До выполнения инженерно-геологических изысканий необходимо провести предварительный анализ закарстованности участка строительства на основании имеющихся архивных данных, карт районирования, опыта изысканий и проектирования для рассматриваемой территории. С учетом результатов предварительного районирования и региональных особенностей территории назначается объем изысканий, определяемый в соответствии с требованиями </w:t>
      </w:r>
      <w:hyperlink r:id="rId727">
        <w:r>
          <w:rPr>
            <w:color w:val="0000FF"/>
          </w:rPr>
          <w:t>СП 47.13330</w:t>
        </w:r>
      </w:hyperlink>
      <w:r>
        <w:t>, а также с учетом дополнительных требований, которые могут быть предусмотрены программой изысканий.</w:t>
      </w:r>
    </w:p>
    <w:p w:rsidR="00E35632" w:rsidRDefault="00E35632">
      <w:pPr>
        <w:pStyle w:val="ConsPlusNormal"/>
        <w:spacing w:before="220"/>
        <w:ind w:firstLine="540"/>
        <w:jc w:val="both"/>
      </w:pPr>
      <w:r>
        <w:t>Примечание - В составе инженерно-геологических изысканий необходимо предусматривать выполнение не менее двух скважин, прорезающих толщу закарстованных грунтов, с заглублением не менее чем на 5 м в незакарстованные грунты. Исключением следует считать случаи развития мощной выдержанной толщи закарстованных грунтов (при этом достаточным является заглубление в закарстованные грунты на глубину не менее 15 м от их кровли).</w:t>
      </w:r>
    </w:p>
    <w:p w:rsidR="00E35632" w:rsidRDefault="00E35632">
      <w:pPr>
        <w:pStyle w:val="ConsPlusNormal"/>
        <w:jc w:val="both"/>
      </w:pPr>
      <w:r>
        <w:t xml:space="preserve">(п. 6.12.6 в ред. </w:t>
      </w:r>
      <w:hyperlink r:id="rId728">
        <w:r>
          <w:rPr>
            <w:color w:val="0000FF"/>
          </w:rPr>
          <w:t>Изменения N 4</w:t>
        </w:r>
      </w:hyperlink>
      <w:r>
        <w:t>, утв. Приказом Минстроя России от 27.12.2021 N 1022/пр)</w:t>
      </w:r>
    </w:p>
    <w:p w:rsidR="00E35632" w:rsidRDefault="00E35632">
      <w:pPr>
        <w:pStyle w:val="ConsPlusNormal"/>
        <w:jc w:val="both"/>
      </w:pPr>
    </w:p>
    <w:p w:rsidR="00E35632" w:rsidRDefault="00E35632">
      <w:pPr>
        <w:pStyle w:val="ConsPlusNormal"/>
        <w:ind w:firstLine="540"/>
        <w:jc w:val="both"/>
      </w:pPr>
      <w:r>
        <w:t>6.12.7 Материалы инженерно-геологических изысканий должны содержать (как на момент проведения изысканий, так и с учетом имеющихся архивных данных):</w:t>
      </w:r>
    </w:p>
    <w:p w:rsidR="00E35632" w:rsidRDefault="00E35632">
      <w:pPr>
        <w:pStyle w:val="ConsPlusNormal"/>
        <w:spacing w:before="220"/>
        <w:ind w:firstLine="540"/>
        <w:jc w:val="both"/>
      </w:pPr>
      <w:r>
        <w:t xml:space="preserve">- данные о поверхностных проявлениях карстовых деформаций (воронки, оседания земной </w:t>
      </w:r>
      <w:r>
        <w:lastRenderedPageBreak/>
        <w:t>поверхности, карры, поноры и т.п.), с указанием их геометрических параметров;</w:t>
      </w:r>
    </w:p>
    <w:p w:rsidR="00E35632" w:rsidRDefault="00E35632">
      <w:pPr>
        <w:pStyle w:val="ConsPlusNormal"/>
        <w:spacing w:before="220"/>
        <w:ind w:firstLine="540"/>
        <w:jc w:val="both"/>
      </w:pPr>
      <w:r>
        <w:t>- данные о подземных проявлениях карстовых процессов (полостях, кавернах, наличия в них заполнителя и его материале), в т.ч. сведения о зафиксированных в ходе бурения провалах бурового инструмента в водорастворимых горных породах;</w:t>
      </w:r>
    </w:p>
    <w:p w:rsidR="00E35632" w:rsidRDefault="00E35632">
      <w:pPr>
        <w:pStyle w:val="ConsPlusNormal"/>
        <w:spacing w:before="220"/>
        <w:ind w:firstLine="540"/>
        <w:jc w:val="both"/>
      </w:pPr>
      <w:r>
        <w:t xml:space="preserve">- количественную оценку скорости растворения средне- и легкорастворимых горных пород </w:t>
      </w:r>
      <w:hyperlink w:anchor="P3978">
        <w:r>
          <w:rPr>
            <w:color w:val="0000FF"/>
          </w:rPr>
          <w:t>(таблица 6.15а)</w:t>
        </w:r>
      </w:hyperlink>
      <w:r>
        <w:t xml:space="preserve"> (при необходимости);</w:t>
      </w:r>
    </w:p>
    <w:p w:rsidR="00E35632" w:rsidRDefault="00E35632">
      <w:pPr>
        <w:pStyle w:val="ConsPlusNormal"/>
        <w:jc w:val="both"/>
      </w:pPr>
      <w:r>
        <w:t xml:space="preserve">(в ред. </w:t>
      </w:r>
      <w:hyperlink r:id="rId729">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результаты геофизических исследований;</w:t>
      </w:r>
    </w:p>
    <w:p w:rsidR="00E35632" w:rsidRDefault="00E35632">
      <w:pPr>
        <w:pStyle w:val="ConsPlusNormal"/>
        <w:spacing w:before="220"/>
        <w:ind w:firstLine="540"/>
        <w:jc w:val="both"/>
      </w:pPr>
      <w:r>
        <w:t>- данные о гидрогеологической обстановке (агрессивность подземных вод, температура, гидравлические градиенты, напоры и скорости потоков подземных вод).</w:t>
      </w:r>
    </w:p>
    <w:p w:rsidR="00E35632" w:rsidRDefault="00E35632">
      <w:pPr>
        <w:pStyle w:val="ConsPlusNormal"/>
        <w:spacing w:before="220"/>
        <w:ind w:firstLine="540"/>
        <w:jc w:val="both"/>
      </w:pPr>
      <w:r>
        <w:t>Примечание - Для сопоставления показателей количественной оценки скорости растворения водорастворимых горных пород, установленных в результате инженерно-геологических изысканий, необходимо учитывать данные таблицы 6.15а.</w:t>
      </w:r>
    </w:p>
    <w:p w:rsidR="00E35632" w:rsidRDefault="00E35632">
      <w:pPr>
        <w:pStyle w:val="ConsPlusNormal"/>
        <w:jc w:val="both"/>
      </w:pPr>
      <w:r>
        <w:t xml:space="preserve">(в ред. </w:t>
      </w:r>
      <w:hyperlink r:id="rId730">
        <w:r>
          <w:rPr>
            <w:color w:val="0000FF"/>
          </w:rPr>
          <w:t>Изменения N 3</w:t>
        </w:r>
      </w:hyperlink>
      <w:r>
        <w:t>, утв. Приказом Минстроя России от 22.11.2019 N 722/пр)</w:t>
      </w:r>
    </w:p>
    <w:p w:rsidR="00E35632" w:rsidRDefault="00E35632">
      <w:pPr>
        <w:pStyle w:val="ConsPlusNormal"/>
        <w:jc w:val="both"/>
      </w:pPr>
    </w:p>
    <w:p w:rsidR="00E35632" w:rsidRDefault="00E35632">
      <w:pPr>
        <w:pStyle w:val="ConsPlusNormal"/>
        <w:jc w:val="right"/>
      </w:pPr>
      <w:bookmarkStart w:id="205" w:name="P3978"/>
      <w:bookmarkEnd w:id="205"/>
      <w:r>
        <w:t>Таблица 6.15а</w:t>
      </w:r>
    </w:p>
    <w:p w:rsidR="00E35632" w:rsidRDefault="00E35632">
      <w:pPr>
        <w:pStyle w:val="ConsPlusNormal"/>
        <w:jc w:val="center"/>
      </w:pPr>
      <w:r>
        <w:t xml:space="preserve">(таблица 6.15а в ред. </w:t>
      </w:r>
      <w:hyperlink r:id="rId731">
        <w:r>
          <w:rPr>
            <w:color w:val="0000FF"/>
          </w:rPr>
          <w:t>Изменения N 4</w:t>
        </w:r>
      </w:hyperlink>
      <w:r>
        <w:t>, утв. Приказом</w:t>
      </w:r>
    </w:p>
    <w:p w:rsidR="00E35632" w:rsidRDefault="00E35632">
      <w:pPr>
        <w:pStyle w:val="ConsPlusNormal"/>
        <w:jc w:val="center"/>
      </w:pPr>
      <w:r>
        <w:t>Минстроя России от 27.12.2021 N 1022/пр)</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438"/>
        <w:gridCol w:w="2211"/>
        <w:gridCol w:w="2211"/>
        <w:gridCol w:w="2211"/>
      </w:tblGrid>
      <w:tr w:rsidR="00E35632">
        <w:tc>
          <w:tcPr>
            <w:tcW w:w="9071" w:type="dxa"/>
            <w:gridSpan w:val="4"/>
            <w:vAlign w:val="center"/>
          </w:tcPr>
          <w:p w:rsidR="00E35632" w:rsidRDefault="00E35632">
            <w:pPr>
              <w:pStyle w:val="ConsPlusNormal"/>
              <w:jc w:val="center"/>
            </w:pPr>
            <w:r>
              <w:t>Характеристики скорости растворения горных пород</w:t>
            </w:r>
          </w:p>
        </w:tc>
      </w:tr>
      <w:tr w:rsidR="00E35632">
        <w:tc>
          <w:tcPr>
            <w:tcW w:w="2438" w:type="dxa"/>
            <w:vAlign w:val="center"/>
          </w:tcPr>
          <w:p w:rsidR="00E35632" w:rsidRDefault="00E35632">
            <w:pPr>
              <w:pStyle w:val="ConsPlusNormal"/>
              <w:jc w:val="center"/>
            </w:pPr>
            <w:r>
              <w:t>Разновидность скальных грунтов по растворимости</w:t>
            </w:r>
          </w:p>
        </w:tc>
        <w:tc>
          <w:tcPr>
            <w:tcW w:w="2211" w:type="dxa"/>
            <w:vAlign w:val="center"/>
          </w:tcPr>
          <w:p w:rsidR="00E35632" w:rsidRDefault="00E35632">
            <w:pPr>
              <w:pStyle w:val="ConsPlusNormal"/>
              <w:jc w:val="center"/>
            </w:pPr>
            <w:r>
              <w:t xml:space="preserve">Преобладающий минерал </w:t>
            </w:r>
            <w:hyperlink w:anchor="P3999">
              <w:r>
                <w:rPr>
                  <w:color w:val="0000FF"/>
                </w:rPr>
                <w:t>&lt;1&gt;</w:t>
              </w:r>
            </w:hyperlink>
          </w:p>
        </w:tc>
        <w:tc>
          <w:tcPr>
            <w:tcW w:w="2211" w:type="dxa"/>
            <w:vAlign w:val="center"/>
          </w:tcPr>
          <w:p w:rsidR="00E35632" w:rsidRDefault="00E35632">
            <w:pPr>
              <w:pStyle w:val="ConsPlusNormal"/>
              <w:jc w:val="center"/>
            </w:pPr>
            <w:r>
              <w:t xml:space="preserve">Степень растворимости </w:t>
            </w:r>
            <w:r>
              <w:rPr>
                <w:i/>
              </w:rPr>
              <w:t>q</w:t>
            </w:r>
            <w:r>
              <w:rPr>
                <w:i/>
                <w:vertAlign w:val="subscript"/>
              </w:rPr>
              <w:t>sr</w:t>
            </w:r>
            <w:r>
              <w:t>, г/л</w:t>
            </w:r>
          </w:p>
        </w:tc>
        <w:tc>
          <w:tcPr>
            <w:tcW w:w="2211" w:type="dxa"/>
            <w:vAlign w:val="center"/>
          </w:tcPr>
          <w:p w:rsidR="00E35632" w:rsidRDefault="00E35632">
            <w:pPr>
              <w:pStyle w:val="ConsPlusNormal"/>
              <w:jc w:val="center"/>
            </w:pPr>
            <w:r>
              <w:t xml:space="preserve">Скорость растворения </w:t>
            </w:r>
            <w:hyperlink w:anchor="P3999">
              <w:r>
                <w:rPr>
                  <w:color w:val="0000FF"/>
                </w:rPr>
                <w:t>&lt;1&gt;</w:t>
              </w:r>
            </w:hyperlink>
            <w:r>
              <w:t xml:space="preserve">, </w:t>
            </w:r>
            <w:hyperlink w:anchor="P4000">
              <w:r>
                <w:rPr>
                  <w:color w:val="0000FF"/>
                </w:rPr>
                <w:t>&lt;2&gt;</w:t>
              </w:r>
            </w:hyperlink>
            <w:r>
              <w:t>, см/год</w:t>
            </w:r>
          </w:p>
        </w:tc>
      </w:tr>
      <w:tr w:rsidR="00E35632">
        <w:tc>
          <w:tcPr>
            <w:tcW w:w="2438" w:type="dxa"/>
          </w:tcPr>
          <w:p w:rsidR="00E35632" w:rsidRDefault="00E35632">
            <w:pPr>
              <w:pStyle w:val="ConsPlusNormal"/>
            </w:pPr>
            <w:r>
              <w:t>Труднорастворимый</w:t>
            </w:r>
          </w:p>
        </w:tc>
        <w:tc>
          <w:tcPr>
            <w:tcW w:w="2211" w:type="dxa"/>
          </w:tcPr>
          <w:p w:rsidR="00E35632" w:rsidRDefault="00E35632">
            <w:pPr>
              <w:pStyle w:val="ConsPlusNormal"/>
            </w:pPr>
            <w:r>
              <w:t>Кальцит, доломит, ангидрит</w:t>
            </w:r>
          </w:p>
        </w:tc>
        <w:tc>
          <w:tcPr>
            <w:tcW w:w="2211" w:type="dxa"/>
          </w:tcPr>
          <w:p w:rsidR="00E35632" w:rsidRDefault="00E35632">
            <w:pPr>
              <w:pStyle w:val="ConsPlusNormal"/>
            </w:pPr>
            <w:r>
              <w:t>&lt; 1</w:t>
            </w:r>
          </w:p>
        </w:tc>
        <w:tc>
          <w:tcPr>
            <w:tcW w:w="2211" w:type="dxa"/>
          </w:tcPr>
          <w:p w:rsidR="00E35632" w:rsidRDefault="00E35632">
            <w:pPr>
              <w:pStyle w:val="ConsPlusNormal"/>
            </w:pPr>
            <w:r>
              <w:t>0,01 - 1</w:t>
            </w:r>
          </w:p>
        </w:tc>
      </w:tr>
      <w:tr w:rsidR="00E35632">
        <w:tc>
          <w:tcPr>
            <w:tcW w:w="2438" w:type="dxa"/>
          </w:tcPr>
          <w:p w:rsidR="00E35632" w:rsidRDefault="00E35632">
            <w:pPr>
              <w:pStyle w:val="ConsPlusNormal"/>
            </w:pPr>
            <w:r>
              <w:t>Среднерастворимый</w:t>
            </w:r>
          </w:p>
        </w:tc>
        <w:tc>
          <w:tcPr>
            <w:tcW w:w="2211" w:type="dxa"/>
          </w:tcPr>
          <w:p w:rsidR="00E35632" w:rsidRDefault="00E35632">
            <w:pPr>
              <w:pStyle w:val="ConsPlusNormal"/>
            </w:pPr>
            <w:r>
              <w:t>Гипс</w:t>
            </w:r>
          </w:p>
        </w:tc>
        <w:tc>
          <w:tcPr>
            <w:tcW w:w="2211" w:type="dxa"/>
          </w:tcPr>
          <w:p w:rsidR="00E35632" w:rsidRDefault="00E35632">
            <w:pPr>
              <w:pStyle w:val="ConsPlusNormal"/>
            </w:pPr>
            <w:r>
              <w:t>1 - 10</w:t>
            </w:r>
          </w:p>
        </w:tc>
        <w:tc>
          <w:tcPr>
            <w:tcW w:w="2211" w:type="dxa"/>
          </w:tcPr>
          <w:p w:rsidR="00E35632" w:rsidRDefault="00E35632">
            <w:pPr>
              <w:pStyle w:val="ConsPlusNormal"/>
            </w:pPr>
            <w:r>
              <w:t>1 - 10</w:t>
            </w:r>
          </w:p>
        </w:tc>
      </w:tr>
      <w:tr w:rsidR="00E35632">
        <w:tc>
          <w:tcPr>
            <w:tcW w:w="2438" w:type="dxa"/>
          </w:tcPr>
          <w:p w:rsidR="00E35632" w:rsidRDefault="00E35632">
            <w:pPr>
              <w:pStyle w:val="ConsPlusNormal"/>
            </w:pPr>
            <w:r>
              <w:t>Легкорастворимый</w:t>
            </w:r>
          </w:p>
        </w:tc>
        <w:tc>
          <w:tcPr>
            <w:tcW w:w="2211" w:type="dxa"/>
          </w:tcPr>
          <w:p w:rsidR="00E35632" w:rsidRDefault="00E35632">
            <w:pPr>
              <w:pStyle w:val="ConsPlusNormal"/>
            </w:pPr>
            <w:r>
              <w:t>Галит, сильвин</w:t>
            </w:r>
          </w:p>
        </w:tc>
        <w:tc>
          <w:tcPr>
            <w:tcW w:w="2211" w:type="dxa"/>
          </w:tcPr>
          <w:p w:rsidR="00E35632" w:rsidRDefault="00E35632">
            <w:pPr>
              <w:pStyle w:val="ConsPlusNormal"/>
            </w:pPr>
            <w:r>
              <w:t>&gt; 10</w:t>
            </w:r>
          </w:p>
        </w:tc>
        <w:tc>
          <w:tcPr>
            <w:tcW w:w="2211" w:type="dxa"/>
          </w:tcPr>
          <w:p w:rsidR="00E35632" w:rsidRDefault="00E35632">
            <w:pPr>
              <w:pStyle w:val="ConsPlusNormal"/>
            </w:pPr>
            <w:r>
              <w:t>&gt; 10</w:t>
            </w:r>
          </w:p>
        </w:tc>
      </w:tr>
      <w:tr w:rsidR="00E35632">
        <w:tc>
          <w:tcPr>
            <w:tcW w:w="9071" w:type="dxa"/>
            <w:gridSpan w:val="4"/>
          </w:tcPr>
          <w:p w:rsidR="00E35632" w:rsidRDefault="00E35632">
            <w:pPr>
              <w:pStyle w:val="ConsPlusNormal"/>
              <w:ind w:firstLine="283"/>
              <w:jc w:val="both"/>
            </w:pPr>
            <w:bookmarkStart w:id="206" w:name="P3999"/>
            <w:bookmarkEnd w:id="206"/>
            <w:r>
              <w:t>&lt;1&gt; В зависимости от условий конкретной площадки могут быть отнесены к другим разновидностям по растворимости.</w:t>
            </w:r>
          </w:p>
          <w:p w:rsidR="00E35632" w:rsidRDefault="00E35632">
            <w:pPr>
              <w:pStyle w:val="ConsPlusNormal"/>
              <w:ind w:firstLine="283"/>
              <w:jc w:val="both"/>
            </w:pPr>
            <w:bookmarkStart w:id="207" w:name="P4000"/>
            <w:bookmarkEnd w:id="207"/>
            <w:r>
              <w:t>&lt;2&gt; Для природных условий характерны скорости растворения, близкие к минимальным значениям. Максимальные значения скорости растворения характерны для лабораторных условий при проведении эксперимента с применением сильноагрессивных жидких сред.</w:t>
            </w:r>
          </w:p>
          <w:p w:rsidR="00E35632" w:rsidRDefault="00E35632">
            <w:pPr>
              <w:pStyle w:val="ConsPlusNormal"/>
            </w:pPr>
          </w:p>
          <w:p w:rsidR="00E35632" w:rsidRDefault="00E35632">
            <w:pPr>
              <w:pStyle w:val="ConsPlusNormal"/>
              <w:ind w:firstLine="283"/>
              <w:jc w:val="both"/>
            </w:pPr>
            <w:r>
              <w:t>Примечание - Скорость растворения горных пород можно определить в лабораторных и полевых условиях путем проведения экспериментальных исследований. Условия испытаний должны соответствовать условиям, определяющим течение гидро- и геохимических процессов, характерных для рассматриваемой площадки. Для территорий, на которых многолетними исследованиями установлено отсутствие условий для возможности растворения карбонатных грунтов, оценку скорости растворения не проводят. В обратной ситуации (при отсутствии результатов наблюдений) проведение оценки скорости растворения необходимо.</w:t>
            </w:r>
          </w:p>
        </w:tc>
      </w:tr>
    </w:tbl>
    <w:p w:rsidR="00E35632" w:rsidRDefault="00E35632">
      <w:pPr>
        <w:pStyle w:val="ConsPlusNormal"/>
        <w:ind w:firstLine="540"/>
        <w:jc w:val="both"/>
      </w:pPr>
    </w:p>
    <w:p w:rsidR="00E35632" w:rsidRDefault="00E35632">
      <w:pPr>
        <w:pStyle w:val="ConsPlusNormal"/>
        <w:ind w:firstLine="540"/>
        <w:jc w:val="both"/>
      </w:pPr>
      <w:bookmarkStart w:id="208" w:name="P4004"/>
      <w:bookmarkEnd w:id="208"/>
      <w:r>
        <w:t xml:space="preserve">6.12.8 Признаки категорий опасности в карстово-суффозионном отношении указаны в </w:t>
      </w:r>
      <w:hyperlink w:anchor="P4009">
        <w:r>
          <w:rPr>
            <w:color w:val="0000FF"/>
          </w:rPr>
          <w:t>таблице 6.16</w:t>
        </w:r>
      </w:hyperlink>
      <w:r>
        <w:t xml:space="preserve">. Для установления категории необходимо соответствие обоих признаков в пределах каждой (одной) категории согласно требованиям </w:t>
      </w:r>
      <w:hyperlink w:anchor="P4009">
        <w:r>
          <w:rPr>
            <w:color w:val="0000FF"/>
          </w:rPr>
          <w:t>таблицы 6.16</w:t>
        </w:r>
      </w:hyperlink>
      <w:r>
        <w:t>.</w:t>
      </w:r>
    </w:p>
    <w:p w:rsidR="00E35632" w:rsidRDefault="00E35632">
      <w:pPr>
        <w:pStyle w:val="ConsPlusNormal"/>
        <w:spacing w:before="220"/>
        <w:ind w:firstLine="540"/>
        <w:jc w:val="both"/>
      </w:pPr>
      <w:r>
        <w:lastRenderedPageBreak/>
        <w:t xml:space="preserve">В случае невозможности отнесения участка строительства к одной из категорий согласно </w:t>
      </w:r>
      <w:hyperlink w:anchor="P4009">
        <w:r>
          <w:rPr>
            <w:color w:val="0000FF"/>
          </w:rPr>
          <w:t>таблице 6.16</w:t>
        </w:r>
      </w:hyperlink>
      <w:r>
        <w:t xml:space="preserve"> для установления категории опасности в карстово-суффозионном отношении необходимо привлекать специализированные организации. В этом случае категория опасности участка должна быть установлена по результатам инженерно-геологических изысканий с использованием дополнительных признаков (мощность водоупорного слоя, градиент вертикальной фильтрации, мощность рыхлых грунтов и др.), учитывающих региональные особенности развития карста, а также с учетом дополнительных специальных геотехнических исследований.</w:t>
      </w:r>
    </w:p>
    <w:p w:rsidR="00E35632" w:rsidRDefault="00E35632">
      <w:pPr>
        <w:pStyle w:val="ConsPlusNormal"/>
        <w:spacing w:before="220"/>
        <w:ind w:firstLine="540"/>
        <w:jc w:val="both"/>
      </w:pPr>
      <w:r>
        <w:t xml:space="preserve">Примечание - Отнесение участка к неопасной категории по </w:t>
      </w:r>
      <w:hyperlink w:anchor="P4009">
        <w:r>
          <w:rPr>
            <w:color w:val="0000FF"/>
          </w:rPr>
          <w:t>таблице 6.16</w:t>
        </w:r>
      </w:hyperlink>
      <w:r>
        <w:t xml:space="preserve"> допускается только для зданий и сооружений геотехнической категории 1.</w:t>
      </w:r>
    </w:p>
    <w:p w:rsidR="00E35632" w:rsidRDefault="00E35632">
      <w:pPr>
        <w:pStyle w:val="ConsPlusNormal"/>
        <w:jc w:val="both"/>
      </w:pPr>
      <w:r>
        <w:t xml:space="preserve">(п. 6.12.8 в ред. </w:t>
      </w:r>
      <w:hyperlink r:id="rId732">
        <w:r>
          <w:rPr>
            <w:color w:val="0000FF"/>
          </w:rPr>
          <w:t>Изменения N 4</w:t>
        </w:r>
      </w:hyperlink>
      <w:r>
        <w:t>, утв. Приказом Минстроя России от 27.12.2021 N 1022/пр)</w:t>
      </w:r>
    </w:p>
    <w:p w:rsidR="00E35632" w:rsidRDefault="00E35632">
      <w:pPr>
        <w:pStyle w:val="ConsPlusNormal"/>
        <w:jc w:val="both"/>
      </w:pPr>
    </w:p>
    <w:p w:rsidR="00E35632" w:rsidRDefault="00E35632">
      <w:pPr>
        <w:pStyle w:val="ConsPlusNormal"/>
        <w:jc w:val="right"/>
      </w:pPr>
      <w:bookmarkStart w:id="209" w:name="P4009"/>
      <w:bookmarkEnd w:id="209"/>
      <w:r>
        <w:t>Таблица 6.16</w:t>
      </w:r>
    </w:p>
    <w:p w:rsidR="00E35632" w:rsidRDefault="00E35632">
      <w:pPr>
        <w:pStyle w:val="ConsPlusNormal"/>
        <w:jc w:val="center"/>
      </w:pPr>
      <w:r>
        <w:t xml:space="preserve">(таблица 6.16 в ред. </w:t>
      </w:r>
      <w:hyperlink r:id="rId733">
        <w:r>
          <w:rPr>
            <w:color w:val="0000FF"/>
          </w:rPr>
          <w:t>Изменения N 4</w:t>
        </w:r>
      </w:hyperlink>
      <w:r>
        <w:t>, утв. Приказом</w:t>
      </w:r>
    </w:p>
    <w:p w:rsidR="00E35632" w:rsidRDefault="00E35632">
      <w:pPr>
        <w:pStyle w:val="ConsPlusNormal"/>
        <w:jc w:val="center"/>
      </w:pPr>
      <w:r>
        <w:t>Минстроя России от 27.12.2021 N 1022/пр)</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608"/>
        <w:gridCol w:w="2154"/>
        <w:gridCol w:w="2154"/>
        <w:gridCol w:w="2154"/>
      </w:tblGrid>
      <w:tr w:rsidR="00E35632">
        <w:tc>
          <w:tcPr>
            <w:tcW w:w="9070" w:type="dxa"/>
            <w:gridSpan w:val="4"/>
            <w:vAlign w:val="center"/>
          </w:tcPr>
          <w:p w:rsidR="00E35632" w:rsidRDefault="00E35632">
            <w:pPr>
              <w:pStyle w:val="ConsPlusNormal"/>
              <w:jc w:val="center"/>
            </w:pPr>
            <w:r>
              <w:t>Категории опасности участка строительства в карстово-суффозионном отношении</w:t>
            </w:r>
          </w:p>
        </w:tc>
      </w:tr>
      <w:tr w:rsidR="00E35632">
        <w:tc>
          <w:tcPr>
            <w:tcW w:w="2608" w:type="dxa"/>
            <w:vAlign w:val="center"/>
          </w:tcPr>
          <w:p w:rsidR="00E35632" w:rsidRDefault="00E35632">
            <w:pPr>
              <w:pStyle w:val="ConsPlusNormal"/>
              <w:jc w:val="center"/>
            </w:pPr>
            <w:r>
              <w:t>Признаки</w:t>
            </w:r>
          </w:p>
        </w:tc>
        <w:tc>
          <w:tcPr>
            <w:tcW w:w="2154" w:type="dxa"/>
            <w:vAlign w:val="center"/>
          </w:tcPr>
          <w:p w:rsidR="00E35632" w:rsidRDefault="00E35632">
            <w:pPr>
              <w:pStyle w:val="ConsPlusNormal"/>
              <w:jc w:val="center"/>
            </w:pPr>
            <w:r>
              <w:t>Неопасная</w:t>
            </w:r>
          </w:p>
        </w:tc>
        <w:tc>
          <w:tcPr>
            <w:tcW w:w="2154" w:type="dxa"/>
            <w:vAlign w:val="center"/>
          </w:tcPr>
          <w:p w:rsidR="00E35632" w:rsidRDefault="00E35632">
            <w:pPr>
              <w:pStyle w:val="ConsPlusNormal"/>
              <w:jc w:val="center"/>
            </w:pPr>
            <w:r>
              <w:t>Потенциально опасная</w:t>
            </w:r>
          </w:p>
        </w:tc>
        <w:tc>
          <w:tcPr>
            <w:tcW w:w="2154" w:type="dxa"/>
            <w:vAlign w:val="center"/>
          </w:tcPr>
          <w:p w:rsidR="00E35632" w:rsidRDefault="00E35632">
            <w:pPr>
              <w:pStyle w:val="ConsPlusNormal"/>
              <w:jc w:val="center"/>
            </w:pPr>
            <w:r>
              <w:t>Опасная</w:t>
            </w:r>
          </w:p>
        </w:tc>
      </w:tr>
      <w:tr w:rsidR="00E35632">
        <w:tc>
          <w:tcPr>
            <w:tcW w:w="2608" w:type="dxa"/>
          </w:tcPr>
          <w:p w:rsidR="00E35632" w:rsidRDefault="00E35632">
            <w:pPr>
              <w:pStyle w:val="ConsPlusNormal"/>
            </w:pPr>
            <w:r>
              <w:t>Поверхностные проявления карстовых деформаций</w:t>
            </w:r>
          </w:p>
        </w:tc>
        <w:tc>
          <w:tcPr>
            <w:tcW w:w="2154" w:type="dxa"/>
          </w:tcPr>
          <w:p w:rsidR="00E35632" w:rsidRDefault="00E35632">
            <w:pPr>
              <w:pStyle w:val="ConsPlusNormal"/>
              <w:jc w:val="center"/>
            </w:pPr>
            <w:r>
              <w:t xml:space="preserve">Отсутствуют в радиусе </w:t>
            </w:r>
            <w:r>
              <w:rPr>
                <w:i/>
              </w:rPr>
              <w:t>i</w:t>
            </w:r>
            <w:r>
              <w:t>, м</w:t>
            </w:r>
          </w:p>
        </w:tc>
        <w:tc>
          <w:tcPr>
            <w:tcW w:w="2154" w:type="dxa"/>
          </w:tcPr>
          <w:p w:rsidR="00E35632" w:rsidRDefault="00E35632">
            <w:pPr>
              <w:pStyle w:val="ConsPlusNormal"/>
              <w:jc w:val="center"/>
            </w:pPr>
            <w:r>
              <w:t xml:space="preserve">Отсутствуют в радиусе </w:t>
            </w:r>
            <w:r>
              <w:rPr>
                <w:i/>
              </w:rPr>
              <w:t>i</w:t>
            </w:r>
            <w:r>
              <w:t>, м</w:t>
            </w:r>
          </w:p>
        </w:tc>
        <w:tc>
          <w:tcPr>
            <w:tcW w:w="2154" w:type="dxa"/>
          </w:tcPr>
          <w:p w:rsidR="00E35632" w:rsidRDefault="00E35632">
            <w:pPr>
              <w:pStyle w:val="ConsPlusNormal"/>
              <w:jc w:val="center"/>
            </w:pPr>
            <w:r>
              <w:t xml:space="preserve">Присутствуют в радиусе </w:t>
            </w:r>
            <w:r>
              <w:rPr>
                <w:i/>
              </w:rPr>
              <w:t>i</w:t>
            </w:r>
            <w:r>
              <w:t>, м</w:t>
            </w:r>
          </w:p>
        </w:tc>
      </w:tr>
      <w:tr w:rsidR="00E35632">
        <w:tc>
          <w:tcPr>
            <w:tcW w:w="2608" w:type="dxa"/>
          </w:tcPr>
          <w:p w:rsidR="00E35632" w:rsidRDefault="00E35632">
            <w:pPr>
              <w:pStyle w:val="ConsPlusNormal"/>
            </w:pPr>
            <w:r>
              <w:t>Подземные проявления карстовых процессов</w:t>
            </w:r>
          </w:p>
        </w:tc>
        <w:tc>
          <w:tcPr>
            <w:tcW w:w="2154" w:type="dxa"/>
          </w:tcPr>
          <w:p w:rsidR="00E35632" w:rsidRDefault="00E35632">
            <w:pPr>
              <w:pStyle w:val="ConsPlusNormal"/>
              <w:jc w:val="center"/>
            </w:pPr>
            <w:r>
              <w:t>Отсутствуют</w:t>
            </w:r>
          </w:p>
        </w:tc>
        <w:tc>
          <w:tcPr>
            <w:tcW w:w="2154" w:type="dxa"/>
          </w:tcPr>
          <w:p w:rsidR="00E35632" w:rsidRDefault="00E35632">
            <w:pPr>
              <w:pStyle w:val="ConsPlusNormal"/>
              <w:jc w:val="center"/>
            </w:pPr>
            <w:r>
              <w:t>Средней интенсивности</w:t>
            </w:r>
          </w:p>
        </w:tc>
        <w:tc>
          <w:tcPr>
            <w:tcW w:w="2154" w:type="dxa"/>
          </w:tcPr>
          <w:p w:rsidR="00E35632" w:rsidRDefault="00E35632">
            <w:pPr>
              <w:pStyle w:val="ConsPlusNormal"/>
              <w:jc w:val="center"/>
            </w:pPr>
            <w:r>
              <w:t>Высокой интенсивности</w:t>
            </w:r>
          </w:p>
        </w:tc>
      </w:tr>
      <w:tr w:rsidR="00E35632">
        <w:tc>
          <w:tcPr>
            <w:tcW w:w="9070" w:type="dxa"/>
            <w:gridSpan w:val="4"/>
          </w:tcPr>
          <w:p w:rsidR="00E35632" w:rsidRDefault="00E35632">
            <w:pPr>
              <w:pStyle w:val="ConsPlusNormal"/>
              <w:ind w:firstLine="283"/>
              <w:jc w:val="both"/>
            </w:pPr>
            <w:r>
              <w:t>Примечания</w:t>
            </w:r>
          </w:p>
          <w:p w:rsidR="00E35632" w:rsidRDefault="00E35632">
            <w:pPr>
              <w:pStyle w:val="ConsPlusNormal"/>
              <w:ind w:firstLine="283"/>
              <w:jc w:val="both"/>
            </w:pPr>
            <w:r>
              <w:t xml:space="preserve">1 Радиус зоны исследования </w:t>
            </w:r>
            <w:r>
              <w:rPr>
                <w:i/>
              </w:rPr>
              <w:t>i</w:t>
            </w:r>
            <w:r>
              <w:t xml:space="preserve"> ограничивается выделенными при районировании участками, выполненными с учетом указаний </w:t>
            </w:r>
            <w:hyperlink w:anchor="P4033">
              <w:r>
                <w:rPr>
                  <w:color w:val="0000FF"/>
                </w:rPr>
                <w:t>6.12.8а</w:t>
              </w:r>
            </w:hyperlink>
            <w:r>
              <w:t>, но не должен превышать:</w:t>
            </w:r>
          </w:p>
          <w:p w:rsidR="00E35632" w:rsidRDefault="00E35632">
            <w:pPr>
              <w:pStyle w:val="ConsPlusNormal"/>
              <w:ind w:firstLine="283"/>
              <w:jc w:val="both"/>
            </w:pPr>
            <w:r>
              <w:t>- для городских агломераций и участков, по которым имеются архивные данные и результаты многолетних наблюдений за поверхностными проявлениями карстовых деформаций, - 500 м;</w:t>
            </w:r>
          </w:p>
          <w:p w:rsidR="00E35632" w:rsidRDefault="00E35632">
            <w:pPr>
              <w:pStyle w:val="ConsPlusNormal"/>
              <w:ind w:firstLine="283"/>
              <w:jc w:val="both"/>
            </w:pPr>
            <w:r>
              <w:t>- для незастроенных участков и участков, по которым отсутствуют архивные данные и результаты многолетних наблюдений за поверхностными карстовыми деформациями, - 1 км.</w:t>
            </w:r>
          </w:p>
          <w:p w:rsidR="00E35632" w:rsidRDefault="00E35632">
            <w:pPr>
              <w:pStyle w:val="ConsPlusNormal"/>
              <w:ind w:firstLine="283"/>
              <w:jc w:val="both"/>
            </w:pPr>
            <w:r>
              <w:t>2 Средняя интенсивность подземных проявлений карстовых процессов принимается при наличии полостей суммарной высотой (по одной скважине) до 1 м и/или при наличии зон дробления и разуплотнения, мощность которых составляет до 5 м и/или по результатам геофизических исследований выделяются единичные аномалии.</w:t>
            </w:r>
          </w:p>
          <w:p w:rsidR="00E35632" w:rsidRDefault="00E35632">
            <w:pPr>
              <w:pStyle w:val="ConsPlusNormal"/>
              <w:ind w:firstLine="283"/>
              <w:jc w:val="both"/>
            </w:pPr>
            <w:r>
              <w:t>3 Высокая интенсивность подземных проявлений карстовых процессов принимается при наличии полостей суммарной высотой (по одной скважине) более 1 м и/или при наличии зон дробления и разуплотнения, мощность которых превышает 5 м и/или по результатам геофизических исследований выделяются многочисленные аномалии.</w:t>
            </w:r>
          </w:p>
        </w:tc>
      </w:tr>
    </w:tbl>
    <w:p w:rsidR="00E35632" w:rsidRDefault="00E35632">
      <w:pPr>
        <w:pStyle w:val="ConsPlusNormal"/>
        <w:jc w:val="both"/>
      </w:pPr>
    </w:p>
    <w:p w:rsidR="00E35632" w:rsidRDefault="00E35632">
      <w:pPr>
        <w:pStyle w:val="ConsPlusNormal"/>
        <w:ind w:firstLine="540"/>
        <w:jc w:val="both"/>
      </w:pPr>
      <w:bookmarkStart w:id="210" w:name="P4033"/>
      <w:bookmarkEnd w:id="210"/>
      <w:r>
        <w:t>6.12.8а Поверхностными проявлениями карстовых деформаций следует считать карстовые воронки и замкнутые понижения рельефа, образовавшиеся вследствие оседаний земной поверхности, непосредственно связанные с карстовым процессом.</w:t>
      </w:r>
    </w:p>
    <w:p w:rsidR="00E35632" w:rsidRDefault="00E35632">
      <w:pPr>
        <w:pStyle w:val="ConsPlusNormal"/>
        <w:spacing w:before="220"/>
        <w:ind w:firstLine="540"/>
        <w:jc w:val="both"/>
      </w:pPr>
      <w:r>
        <w:t xml:space="preserve">Поверхностные проявления карстовых деформаций выявляются в ходе выполнения инженерно-геологических изысканий в пределах площадки строительства и прилегающей территории. При инженерно-геологическом районировании территории выделяются участки, характеризующиеся общностью геоморфологических, структурно-тектонических, геологических и </w:t>
      </w:r>
      <w:r>
        <w:lastRenderedPageBreak/>
        <w:t>гидрогеологических условий, в границах которых следует определить наличие поверхностных проявлений карстовых деформаций. В пределах городских агломераций поверхностные проявления карстовых деформаций следует устанавливать с использованием архивных материалов с учетом регионального опыта и особенностей развития карста. В пределах территорий, свободных от застройки, поверхностные проявления карстовых деформаций выявляются с использованием архивных материалов, дешифрирования аэро- и космоснимков, с учетом полевых рекогносцировочных маршрутных обследований в пределах выделенных при районировании участков. Происхождение выявленных оседаний земной поверхности вследствие карстовых процессов должно быть выборочно подтверждено результатами бурения.</w:t>
      </w:r>
    </w:p>
    <w:p w:rsidR="00E35632" w:rsidRDefault="00E35632">
      <w:pPr>
        <w:pStyle w:val="ConsPlusNormal"/>
        <w:jc w:val="both"/>
      </w:pPr>
      <w:r>
        <w:t xml:space="preserve">(п. 6.12.8а введен </w:t>
      </w:r>
      <w:hyperlink r:id="rId734">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t>6.12.8б Подземными проявлениями карстовых процессов следует считать:</w:t>
      </w:r>
    </w:p>
    <w:p w:rsidR="00E35632" w:rsidRDefault="00E35632">
      <w:pPr>
        <w:pStyle w:val="ConsPlusNormal"/>
        <w:spacing w:before="220"/>
        <w:ind w:firstLine="540"/>
        <w:jc w:val="both"/>
      </w:pPr>
      <w:r>
        <w:t>а) незаполненные (провалы бурового инструмента) и заполненные полости в толще водорастворимых горных пород и в перекрывающих грунтах;</w:t>
      </w:r>
    </w:p>
    <w:p w:rsidR="00E35632" w:rsidRDefault="00E35632">
      <w:pPr>
        <w:pStyle w:val="ConsPlusNormal"/>
        <w:spacing w:before="220"/>
        <w:ind w:firstLine="540"/>
        <w:jc w:val="both"/>
      </w:pPr>
      <w:r>
        <w:t>б) зоны дробления и разуплотнения, обнаруженные в ходе бурения водорастворимых горных пород;</w:t>
      </w:r>
    </w:p>
    <w:p w:rsidR="00E35632" w:rsidRDefault="00E35632">
      <w:pPr>
        <w:pStyle w:val="ConsPlusNormal"/>
        <w:spacing w:before="220"/>
        <w:ind w:firstLine="540"/>
        <w:jc w:val="both"/>
      </w:pPr>
      <w:r>
        <w:t>в) аномалии геофизических полей, фиксируемые на глубинах развития водорастворимых горных пород.</w:t>
      </w:r>
    </w:p>
    <w:p w:rsidR="00E35632" w:rsidRDefault="00E35632">
      <w:pPr>
        <w:pStyle w:val="ConsPlusNormal"/>
        <w:jc w:val="both"/>
      </w:pPr>
      <w:r>
        <w:t xml:space="preserve">(п. 6.12.8б введен </w:t>
      </w:r>
      <w:hyperlink r:id="rId735">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bookmarkStart w:id="211" w:name="P4041"/>
      <w:bookmarkEnd w:id="211"/>
      <w:r>
        <w:t>6.12.9 При проектировании сооружений на участках неопасной категории в карстово-суффозионном отношении определение расчетных параметров карстовых деформаций и проведение противокарстовых мероприятий или иных мероприятий, обусловленных карстово-суффозионными процессами, не требуется.</w:t>
      </w:r>
    </w:p>
    <w:p w:rsidR="00E35632" w:rsidRDefault="00E35632">
      <w:pPr>
        <w:pStyle w:val="ConsPlusNormal"/>
        <w:spacing w:before="220"/>
        <w:ind w:firstLine="540"/>
        <w:jc w:val="both"/>
      </w:pPr>
      <w:bookmarkStart w:id="212" w:name="P4042"/>
      <w:bookmarkEnd w:id="212"/>
      <w:r>
        <w:t>6.12.10 Для сооружений проектируемых на участках, отнесенных к потенциально опасным и опасным категориям в карстово-суффозионном отношении требуется определение типа и расчетных параметров карстовых деформаций, а также проведение противокарстовых мероприятий, в т.ч. специальных, при реализации которых достигается обеспечение прочности и устойчивости сооружения с учетом образования карстовых деформаций.</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 xml:space="preserve">1 Необходимость проведения специальных противокарстовых мероприятий для участков строительства с установленной потенциально опасной категорией в карстово-суффозионном отношении уточняется на основании дополнительных требований </w:t>
      </w:r>
      <w:hyperlink w:anchor="P4109">
        <w:r>
          <w:rPr>
            <w:color w:val="0000FF"/>
          </w:rPr>
          <w:t>6.12.15</w:t>
        </w:r>
      </w:hyperlink>
      <w:r>
        <w:t>.</w:t>
      </w:r>
    </w:p>
    <w:p w:rsidR="00E35632" w:rsidRDefault="00E35632">
      <w:pPr>
        <w:pStyle w:val="ConsPlusNormal"/>
        <w:spacing w:before="220"/>
        <w:ind w:firstLine="540"/>
        <w:jc w:val="both"/>
      </w:pPr>
      <w:r>
        <w:t xml:space="preserve">2 Требования настоящего пункта на сооружения окружающей застройки не распространяются (в т.ч. при определении категории технического состояния сооружений окружающей застройки), за исключением случаев, когда вновь возводимое или реконструируемое сооружение оказывает негативное влияние, связанное с возможной активизацией карстово-суффозионных процессов в основании сооружений окружающей застройки при их размещении на территориях, опасных в карстово-суффозионном отношении. В этом случае необходимо учитывать </w:t>
      </w:r>
      <w:hyperlink w:anchor="P4042">
        <w:r>
          <w:rPr>
            <w:color w:val="0000FF"/>
          </w:rPr>
          <w:t>6.12.10</w:t>
        </w:r>
      </w:hyperlink>
      <w:r>
        <w:t xml:space="preserve"> при определении категории состояния сооружений окружающей застройки и проведении противокарстовых мероприятий.</w:t>
      </w:r>
    </w:p>
    <w:p w:rsidR="00E35632" w:rsidRDefault="00E35632">
      <w:pPr>
        <w:pStyle w:val="ConsPlusNormal"/>
        <w:jc w:val="both"/>
      </w:pPr>
      <w:r>
        <w:t xml:space="preserve">(в ред. </w:t>
      </w:r>
      <w:hyperlink r:id="rId736">
        <w:r>
          <w:rPr>
            <w:color w:val="0000FF"/>
          </w:rPr>
          <w:t>Изменения N 1</w:t>
        </w:r>
      </w:hyperlink>
      <w:r>
        <w:t>, утв. Приказом Минстроя России от 20.11.2018 N 736/пр)</w:t>
      </w:r>
    </w:p>
    <w:p w:rsidR="00E35632" w:rsidRDefault="00E35632">
      <w:pPr>
        <w:pStyle w:val="ConsPlusNormal"/>
        <w:jc w:val="both"/>
      </w:pPr>
    </w:p>
    <w:p w:rsidR="00E35632" w:rsidRDefault="00E35632">
      <w:pPr>
        <w:pStyle w:val="ConsPlusNormal"/>
        <w:ind w:firstLine="540"/>
        <w:jc w:val="both"/>
      </w:pPr>
      <w:bookmarkStart w:id="213" w:name="P4048"/>
      <w:bookmarkEnd w:id="213"/>
      <w:r>
        <w:t>6.12.11 Карстовые деформации характеризуются расчетными параметрами провалов и оседаний, включающих в себя:</w:t>
      </w:r>
    </w:p>
    <w:p w:rsidR="00E35632" w:rsidRDefault="00E35632">
      <w:pPr>
        <w:pStyle w:val="ConsPlusNormal"/>
        <w:spacing w:before="220"/>
        <w:ind w:firstLine="540"/>
        <w:jc w:val="both"/>
      </w:pPr>
      <w:r>
        <w:t>- диаметр - для провала;</w:t>
      </w:r>
    </w:p>
    <w:p w:rsidR="00E35632" w:rsidRDefault="00E35632">
      <w:pPr>
        <w:pStyle w:val="ConsPlusNormal"/>
        <w:spacing w:before="220"/>
        <w:ind w:firstLine="540"/>
        <w:jc w:val="both"/>
      </w:pPr>
      <w:r>
        <w:t>- диаметр, глубину и кривизну поверхности - для оседания.</w:t>
      </w:r>
    </w:p>
    <w:p w:rsidR="00E35632" w:rsidRDefault="00E35632">
      <w:pPr>
        <w:pStyle w:val="ConsPlusNormal"/>
        <w:spacing w:before="220"/>
        <w:ind w:firstLine="540"/>
        <w:jc w:val="both"/>
      </w:pPr>
      <w:bookmarkStart w:id="214" w:name="P4051"/>
      <w:bookmarkEnd w:id="214"/>
      <w:r>
        <w:lastRenderedPageBreak/>
        <w:t xml:space="preserve">6.12.12 Для определения типа (провал или оседание) карстовых деформаций и их расчетных параметров необходимо определить расчетом геометрические параметры карстовой полости в водорастворимой горной породе, при образовании которой возникают карстовые деформации. Размер и положение карстовой полости в водорастворимой горной породе следует определять согласно указаниям </w:t>
      </w:r>
      <w:hyperlink r:id="rId737">
        <w:r>
          <w:rPr>
            <w:color w:val="0000FF"/>
          </w:rPr>
          <w:t>СП 499.1325800</w:t>
        </w:r>
      </w:hyperlink>
      <w:r>
        <w:t>.</w:t>
      </w:r>
    </w:p>
    <w:p w:rsidR="00E35632" w:rsidRDefault="00E35632">
      <w:pPr>
        <w:pStyle w:val="ConsPlusNormal"/>
        <w:jc w:val="both"/>
      </w:pPr>
      <w:r>
        <w:t xml:space="preserve">(в ред. </w:t>
      </w:r>
      <w:hyperlink r:id="rId738">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1 Для расчета прочности свода толщи, перекрывающей карстующиеся породы, и прогноза деформаций грунтового массива над карстовой полостью следует использовать численные и аналитические методы, учитывающие прочностные и деформационные характеристики грунтов.</w:t>
      </w:r>
    </w:p>
    <w:p w:rsidR="00E35632" w:rsidRDefault="00E35632">
      <w:pPr>
        <w:pStyle w:val="ConsPlusNormal"/>
        <w:spacing w:before="220"/>
        <w:ind w:firstLine="540"/>
        <w:jc w:val="both"/>
      </w:pPr>
      <w:r>
        <w:t>Аналитические методы необходимо использовать для оценки возможности провалообразования на участке строительства с учетом развития полости в карстующихся породах за время эксплуатации сооружения.</w:t>
      </w:r>
    </w:p>
    <w:p w:rsidR="00E35632" w:rsidRDefault="00E35632">
      <w:pPr>
        <w:pStyle w:val="ConsPlusNormal"/>
        <w:spacing w:before="220"/>
        <w:ind w:firstLine="540"/>
        <w:jc w:val="both"/>
      </w:pPr>
      <w:r>
        <w:t>При использовании численных методов выбор типа расчетной модели (плоская, осесимметричная, трехмерная) следует выполнять в зависимости от параметров карстовой полости и геотехнических условий объекта (конфигурация проектируемого сооружения и нагрузок на его фундаменты, инженерно-геологическое строение массива основания).</w:t>
      </w:r>
    </w:p>
    <w:p w:rsidR="00E35632" w:rsidRDefault="00E35632">
      <w:pPr>
        <w:pStyle w:val="ConsPlusNormal"/>
        <w:jc w:val="both"/>
      </w:pPr>
      <w:r>
        <w:t xml:space="preserve">(в ред. </w:t>
      </w:r>
      <w:hyperlink r:id="rId739">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xml:space="preserve">2 В случае если основание сооружения до кровли водорастворимых горных пород сложено, в основном, несвязными грунтами, расчетные параметры карстовых деформаций допускается определять с использованием схемы "мульды сдвижения" по </w:t>
      </w:r>
      <w:hyperlink r:id="rId740">
        <w:r>
          <w:rPr>
            <w:color w:val="0000FF"/>
          </w:rPr>
          <w:t>СП 21.13330</w:t>
        </w:r>
      </w:hyperlink>
      <w:r>
        <w:t xml:space="preserve"> или иных аналитических методов, эффективность и достоверность которых может быть подтверждена верификационными расчетами, моделирующими зафиксированные случаи проявления карста.</w:t>
      </w:r>
    </w:p>
    <w:p w:rsidR="00E35632" w:rsidRDefault="00E35632">
      <w:pPr>
        <w:pStyle w:val="ConsPlusNormal"/>
        <w:jc w:val="both"/>
      </w:pPr>
      <w:r>
        <w:t xml:space="preserve">(в ред. </w:t>
      </w:r>
      <w:hyperlink r:id="rId741">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3 Допускается применение вероятностных методов на ранних стадиях проектирования (при наличии достаточного количества статистического материала и обоснованных вероятностных методик) и для назначения объема дополнительных изысканий. Использование вероятностных методов расчета для определения окончательных расчетных параметров карстовых деформаций не допускается.</w:t>
      </w:r>
    </w:p>
    <w:p w:rsidR="00E35632" w:rsidRDefault="00E35632">
      <w:pPr>
        <w:pStyle w:val="ConsPlusNormal"/>
        <w:jc w:val="both"/>
      </w:pPr>
      <w:r>
        <w:t xml:space="preserve">(в ред. </w:t>
      </w:r>
      <w:hyperlink r:id="rId742">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4 Тип и расчетные параметры карстовых деформаций следует определять с учетом параметров проектируемого (реконструируемого) сооружения (глубина котлована, типа сооружения и фундаментов, нагрузок, передаваемых на основание и т.п.).</w:t>
      </w:r>
    </w:p>
    <w:p w:rsidR="00E35632" w:rsidRDefault="00E35632">
      <w:pPr>
        <w:pStyle w:val="ConsPlusNormal"/>
        <w:spacing w:before="220"/>
        <w:ind w:firstLine="540"/>
        <w:jc w:val="both"/>
      </w:pPr>
      <w:r>
        <w:t>5 Определение расчетных параметров карстовых полостей, типа и параметров карстовых деформаций допускается проводить только с привлечением специализированных организаций на этапе проектирования.</w:t>
      </w:r>
    </w:p>
    <w:p w:rsidR="00E35632" w:rsidRDefault="00E35632">
      <w:pPr>
        <w:pStyle w:val="ConsPlusNormal"/>
        <w:jc w:val="both"/>
      </w:pPr>
      <w:r>
        <w:t xml:space="preserve">(в ред. </w:t>
      </w:r>
      <w:hyperlink r:id="rId743">
        <w:r>
          <w:rPr>
            <w:color w:val="0000FF"/>
          </w:rPr>
          <w:t>Изменения N 4</w:t>
        </w:r>
      </w:hyperlink>
      <w:r>
        <w:t>, утв. Приказом Минстроя России от 27.12.2021 N 1022/пр)</w:t>
      </w:r>
    </w:p>
    <w:p w:rsidR="00E35632" w:rsidRDefault="00E35632">
      <w:pPr>
        <w:pStyle w:val="ConsPlusNormal"/>
        <w:jc w:val="both"/>
      </w:pPr>
    </w:p>
    <w:p w:rsidR="00E35632" w:rsidRDefault="00E35632">
      <w:pPr>
        <w:pStyle w:val="ConsPlusNormal"/>
        <w:ind w:firstLine="540"/>
        <w:jc w:val="both"/>
      </w:pPr>
      <w:bookmarkStart w:id="215" w:name="P4066"/>
      <w:bookmarkEnd w:id="215"/>
      <w:r>
        <w:t>6.12.13 При проектировании сооружений на участках, отнесенных к категориям потенциально опасных или опасных в карстово-суффозионном отношении, следует предусматривать противокарстовые мероприятия, снижающие неблагоприятное воздействие карстово-суффозионных процессов на сооружения и исключающие возможность аварийных воздействий, связанных с потерей прочности и устойчивости сооружений при образовании карстовых деформаций. К таким мероприятиям относятся:</w:t>
      </w:r>
    </w:p>
    <w:p w:rsidR="00E35632" w:rsidRDefault="00E35632">
      <w:pPr>
        <w:pStyle w:val="ConsPlusNormal"/>
        <w:spacing w:before="220"/>
        <w:ind w:firstLine="540"/>
        <w:jc w:val="both"/>
      </w:pPr>
      <w:r>
        <w:t>- специальные (конструктивные и геотехнические мероприятия);</w:t>
      </w:r>
    </w:p>
    <w:p w:rsidR="00E35632" w:rsidRDefault="00E35632">
      <w:pPr>
        <w:pStyle w:val="ConsPlusNormal"/>
        <w:spacing w:before="220"/>
        <w:ind w:firstLine="540"/>
        <w:jc w:val="both"/>
      </w:pPr>
      <w:r>
        <w:t>- водозащитные;</w:t>
      </w:r>
    </w:p>
    <w:p w:rsidR="00E35632" w:rsidRDefault="00E35632">
      <w:pPr>
        <w:pStyle w:val="ConsPlusNormal"/>
        <w:spacing w:before="220"/>
        <w:ind w:firstLine="540"/>
        <w:jc w:val="both"/>
      </w:pPr>
      <w:r>
        <w:lastRenderedPageBreak/>
        <w:t>- технологические;</w:t>
      </w:r>
    </w:p>
    <w:p w:rsidR="00E35632" w:rsidRDefault="00E35632">
      <w:pPr>
        <w:pStyle w:val="ConsPlusNormal"/>
        <w:spacing w:before="220"/>
        <w:ind w:firstLine="540"/>
        <w:jc w:val="both"/>
      </w:pPr>
      <w:r>
        <w:t>- эксплуатационные (геотехнический мониторинг).</w:t>
      </w:r>
    </w:p>
    <w:p w:rsidR="00E35632" w:rsidRDefault="00E35632">
      <w:pPr>
        <w:pStyle w:val="ConsPlusNormal"/>
        <w:spacing w:before="220"/>
        <w:ind w:firstLine="540"/>
        <w:jc w:val="both"/>
      </w:pPr>
      <w:r>
        <w:t>Примечание - Типы, способы реализации и требования к противокарстовым мероприятиям приведены в таблице 6.17.</w:t>
      </w:r>
    </w:p>
    <w:p w:rsidR="00E35632" w:rsidRDefault="00E35632">
      <w:pPr>
        <w:pStyle w:val="ConsPlusNormal"/>
        <w:jc w:val="both"/>
      </w:pPr>
    </w:p>
    <w:p w:rsidR="00E35632" w:rsidRDefault="00E35632">
      <w:pPr>
        <w:pStyle w:val="ConsPlusNormal"/>
        <w:jc w:val="right"/>
      </w:pPr>
      <w:r>
        <w:t>Таблица 6.17</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220"/>
        <w:gridCol w:w="3720"/>
        <w:gridCol w:w="3120"/>
      </w:tblGrid>
      <w:tr w:rsidR="00E35632">
        <w:tc>
          <w:tcPr>
            <w:tcW w:w="9060" w:type="dxa"/>
            <w:gridSpan w:val="3"/>
            <w:vAlign w:val="center"/>
          </w:tcPr>
          <w:p w:rsidR="00E35632" w:rsidRDefault="00E35632">
            <w:pPr>
              <w:pStyle w:val="ConsPlusNormal"/>
              <w:jc w:val="center"/>
            </w:pPr>
            <w:r>
              <w:t>Противокарстовые мероприятия</w:t>
            </w:r>
          </w:p>
        </w:tc>
      </w:tr>
      <w:tr w:rsidR="00E35632">
        <w:tc>
          <w:tcPr>
            <w:tcW w:w="2220" w:type="dxa"/>
            <w:vAlign w:val="center"/>
          </w:tcPr>
          <w:p w:rsidR="00E35632" w:rsidRDefault="00E35632">
            <w:pPr>
              <w:pStyle w:val="ConsPlusNormal"/>
              <w:jc w:val="center"/>
            </w:pPr>
            <w:r>
              <w:t>Тип мероприятий</w:t>
            </w:r>
          </w:p>
        </w:tc>
        <w:tc>
          <w:tcPr>
            <w:tcW w:w="3720" w:type="dxa"/>
            <w:vAlign w:val="center"/>
          </w:tcPr>
          <w:p w:rsidR="00E35632" w:rsidRDefault="00E35632">
            <w:pPr>
              <w:pStyle w:val="ConsPlusNormal"/>
              <w:jc w:val="center"/>
            </w:pPr>
            <w:r>
              <w:t>Способ</w:t>
            </w:r>
          </w:p>
        </w:tc>
        <w:tc>
          <w:tcPr>
            <w:tcW w:w="3120" w:type="dxa"/>
            <w:vAlign w:val="center"/>
          </w:tcPr>
          <w:p w:rsidR="00E35632" w:rsidRDefault="00E35632">
            <w:pPr>
              <w:pStyle w:val="ConsPlusNormal"/>
              <w:jc w:val="center"/>
            </w:pPr>
            <w:r>
              <w:t>Требования</w:t>
            </w:r>
          </w:p>
        </w:tc>
      </w:tr>
      <w:tr w:rsidR="00E35632">
        <w:tc>
          <w:tcPr>
            <w:tcW w:w="2220" w:type="dxa"/>
            <w:vMerge w:val="restart"/>
          </w:tcPr>
          <w:p w:rsidR="00E35632" w:rsidRDefault="00E35632">
            <w:pPr>
              <w:pStyle w:val="ConsPlusNormal"/>
            </w:pPr>
            <w:r>
              <w:t>Специальные (конструктивные)</w:t>
            </w:r>
          </w:p>
        </w:tc>
        <w:tc>
          <w:tcPr>
            <w:tcW w:w="3720" w:type="dxa"/>
          </w:tcPr>
          <w:p w:rsidR="00E35632" w:rsidRDefault="00E35632">
            <w:pPr>
              <w:pStyle w:val="ConsPlusNormal"/>
            </w:pPr>
            <w:r>
              <w:t>Применение неразрезных конструкций фундаментов из монолитного железобетона (плитные, ленточные, коробчатые и т.п.)</w:t>
            </w:r>
          </w:p>
        </w:tc>
        <w:tc>
          <w:tcPr>
            <w:tcW w:w="3120" w:type="dxa"/>
            <w:vMerge w:val="restart"/>
          </w:tcPr>
          <w:p w:rsidR="00E35632" w:rsidRDefault="00E35632">
            <w:pPr>
              <w:pStyle w:val="ConsPlusNormal"/>
            </w:pPr>
            <w:r>
              <w:t>Обеспечение прочности и устойчивости сооружения с учетом расчетных параметров карстовых деформаций</w:t>
            </w:r>
          </w:p>
        </w:tc>
      </w:tr>
      <w:tr w:rsidR="00E35632">
        <w:tc>
          <w:tcPr>
            <w:tcW w:w="2220" w:type="dxa"/>
            <w:vMerge/>
          </w:tcPr>
          <w:p w:rsidR="00E35632" w:rsidRDefault="00E35632">
            <w:pPr>
              <w:pStyle w:val="ConsPlusNormal"/>
            </w:pPr>
          </w:p>
        </w:tc>
        <w:tc>
          <w:tcPr>
            <w:tcW w:w="3720" w:type="dxa"/>
          </w:tcPr>
          <w:p w:rsidR="00E35632" w:rsidRDefault="00E35632">
            <w:pPr>
              <w:pStyle w:val="ConsPlusNormal"/>
            </w:pPr>
            <w:r>
              <w:t>Применение неразрезных конструкций в надфундаментной части сооружения из монолитного железобетона (неразрезные стены, пояса и т.п.)</w:t>
            </w:r>
          </w:p>
        </w:tc>
        <w:tc>
          <w:tcPr>
            <w:tcW w:w="3120" w:type="dxa"/>
            <w:vMerge/>
          </w:tcPr>
          <w:p w:rsidR="00E35632" w:rsidRDefault="00E35632">
            <w:pPr>
              <w:pStyle w:val="ConsPlusNormal"/>
            </w:pPr>
          </w:p>
        </w:tc>
      </w:tr>
      <w:tr w:rsidR="00E35632">
        <w:tc>
          <w:tcPr>
            <w:tcW w:w="2220" w:type="dxa"/>
            <w:vMerge/>
          </w:tcPr>
          <w:p w:rsidR="00E35632" w:rsidRDefault="00E35632">
            <w:pPr>
              <w:pStyle w:val="ConsPlusNormal"/>
            </w:pPr>
          </w:p>
        </w:tc>
        <w:tc>
          <w:tcPr>
            <w:tcW w:w="3720" w:type="dxa"/>
          </w:tcPr>
          <w:p w:rsidR="00E35632" w:rsidRDefault="00E35632">
            <w:pPr>
              <w:pStyle w:val="ConsPlusNormal"/>
            </w:pPr>
            <w:r>
              <w:t>Применение дополнительных связей в каркасных зданиях и иных мероприятий, повышающих жесткость сооружения</w:t>
            </w:r>
          </w:p>
        </w:tc>
        <w:tc>
          <w:tcPr>
            <w:tcW w:w="3120" w:type="dxa"/>
            <w:vMerge/>
          </w:tcPr>
          <w:p w:rsidR="00E35632" w:rsidRDefault="00E35632">
            <w:pPr>
              <w:pStyle w:val="ConsPlusNormal"/>
            </w:pPr>
          </w:p>
        </w:tc>
      </w:tr>
      <w:tr w:rsidR="00E35632">
        <w:tc>
          <w:tcPr>
            <w:tcW w:w="2220" w:type="dxa"/>
            <w:vMerge w:val="restart"/>
          </w:tcPr>
          <w:p w:rsidR="00E35632" w:rsidRDefault="00E35632">
            <w:pPr>
              <w:pStyle w:val="ConsPlusNormal"/>
            </w:pPr>
            <w:r>
              <w:t>Специальные (геотехнические)</w:t>
            </w:r>
          </w:p>
        </w:tc>
        <w:tc>
          <w:tcPr>
            <w:tcW w:w="3720" w:type="dxa"/>
          </w:tcPr>
          <w:p w:rsidR="00E35632" w:rsidRDefault="00E35632">
            <w:pPr>
              <w:pStyle w:val="ConsPlusNormal"/>
            </w:pPr>
            <w:r>
              <w:t>Тампонирование поверхностных карстовых деформаций на земной поверхности, в котлованах</w:t>
            </w:r>
          </w:p>
        </w:tc>
        <w:tc>
          <w:tcPr>
            <w:tcW w:w="3120" w:type="dxa"/>
            <w:vMerge w:val="restart"/>
          </w:tcPr>
          <w:p w:rsidR="00E35632" w:rsidRDefault="00E35632">
            <w:pPr>
              <w:pStyle w:val="ConsPlusNormal"/>
            </w:pPr>
            <w:r>
              <w:t>Изменение физико-механических характеристик основания сооружения, исключающих образования карстовых деформаций или обеспечивающих прочность и устойчивости сооружения с учетом расчетных параметров карстовых деформаций</w:t>
            </w:r>
          </w:p>
        </w:tc>
      </w:tr>
      <w:tr w:rsidR="00E35632">
        <w:tc>
          <w:tcPr>
            <w:tcW w:w="2220" w:type="dxa"/>
            <w:vMerge/>
          </w:tcPr>
          <w:p w:rsidR="00E35632" w:rsidRDefault="00E35632">
            <w:pPr>
              <w:pStyle w:val="ConsPlusNormal"/>
            </w:pPr>
          </w:p>
        </w:tc>
        <w:tc>
          <w:tcPr>
            <w:tcW w:w="3720" w:type="dxa"/>
          </w:tcPr>
          <w:p w:rsidR="00E35632" w:rsidRDefault="00E35632">
            <w:pPr>
              <w:pStyle w:val="ConsPlusNormal"/>
            </w:pPr>
            <w:r>
              <w:t>Закрепление закарстованных пород или вышележащих грунтов инъекцией цементационных растворов или другими способами</w:t>
            </w:r>
          </w:p>
        </w:tc>
        <w:tc>
          <w:tcPr>
            <w:tcW w:w="3120" w:type="dxa"/>
            <w:vMerge/>
          </w:tcPr>
          <w:p w:rsidR="00E35632" w:rsidRDefault="00E35632">
            <w:pPr>
              <w:pStyle w:val="ConsPlusNormal"/>
            </w:pPr>
          </w:p>
        </w:tc>
      </w:tr>
      <w:tr w:rsidR="00E35632">
        <w:tc>
          <w:tcPr>
            <w:tcW w:w="2220" w:type="dxa"/>
            <w:vMerge/>
          </w:tcPr>
          <w:p w:rsidR="00E35632" w:rsidRDefault="00E35632">
            <w:pPr>
              <w:pStyle w:val="ConsPlusNormal"/>
            </w:pPr>
          </w:p>
        </w:tc>
        <w:tc>
          <w:tcPr>
            <w:tcW w:w="3720" w:type="dxa"/>
          </w:tcPr>
          <w:p w:rsidR="00E35632" w:rsidRDefault="00E35632">
            <w:pPr>
              <w:pStyle w:val="ConsPlusNormal"/>
            </w:pPr>
            <w:r>
              <w:t>Опирание фундаментов на незакарстованные грунты (в т.ч. прорезка закарстованных пород свайными фундаментами)</w:t>
            </w:r>
          </w:p>
        </w:tc>
        <w:tc>
          <w:tcPr>
            <w:tcW w:w="3120" w:type="dxa"/>
            <w:vMerge/>
          </w:tcPr>
          <w:p w:rsidR="00E35632" w:rsidRDefault="00E35632">
            <w:pPr>
              <w:pStyle w:val="ConsPlusNormal"/>
            </w:pPr>
          </w:p>
        </w:tc>
      </w:tr>
      <w:tr w:rsidR="00E35632">
        <w:tc>
          <w:tcPr>
            <w:tcW w:w="2220" w:type="dxa"/>
            <w:vMerge w:val="restart"/>
          </w:tcPr>
          <w:p w:rsidR="00E35632" w:rsidRDefault="00E35632">
            <w:pPr>
              <w:pStyle w:val="ConsPlusNormal"/>
            </w:pPr>
            <w:r>
              <w:t>Водозащитные</w:t>
            </w:r>
          </w:p>
        </w:tc>
        <w:tc>
          <w:tcPr>
            <w:tcW w:w="3720" w:type="dxa"/>
          </w:tcPr>
          <w:p w:rsidR="00E35632" w:rsidRDefault="00E35632">
            <w:pPr>
              <w:pStyle w:val="ConsPlusNormal"/>
            </w:pPr>
            <w:r>
              <w:t>Вертикальная планировка и надежная ливневая канализация с отводом вод с участка строительства</w:t>
            </w:r>
          </w:p>
        </w:tc>
        <w:tc>
          <w:tcPr>
            <w:tcW w:w="3120" w:type="dxa"/>
            <w:vMerge w:val="restart"/>
          </w:tcPr>
          <w:p w:rsidR="00E35632" w:rsidRDefault="00E35632">
            <w:pPr>
              <w:pStyle w:val="ConsPlusNormal"/>
            </w:pPr>
            <w:r>
              <w:t>Предотвращение активизации карстово-суффозионных процессов за счет изменения гидрогеологических условий</w:t>
            </w:r>
          </w:p>
        </w:tc>
      </w:tr>
      <w:tr w:rsidR="00E35632">
        <w:tc>
          <w:tcPr>
            <w:tcW w:w="2220" w:type="dxa"/>
            <w:vMerge/>
          </w:tcPr>
          <w:p w:rsidR="00E35632" w:rsidRDefault="00E35632">
            <w:pPr>
              <w:pStyle w:val="ConsPlusNormal"/>
            </w:pPr>
          </w:p>
        </w:tc>
        <w:tc>
          <w:tcPr>
            <w:tcW w:w="3720" w:type="dxa"/>
          </w:tcPr>
          <w:p w:rsidR="00E35632" w:rsidRDefault="00E35632">
            <w:pPr>
              <w:pStyle w:val="ConsPlusNormal"/>
            </w:pPr>
            <w:r>
              <w:t>Мероприятия по борьбе с утечками промышленных и хозяйственно-бытовых вод, особенно, агрессивных</w:t>
            </w:r>
          </w:p>
        </w:tc>
        <w:tc>
          <w:tcPr>
            <w:tcW w:w="3120" w:type="dxa"/>
            <w:vMerge/>
          </w:tcPr>
          <w:p w:rsidR="00E35632" w:rsidRDefault="00E35632">
            <w:pPr>
              <w:pStyle w:val="ConsPlusNormal"/>
            </w:pPr>
          </w:p>
        </w:tc>
      </w:tr>
      <w:tr w:rsidR="00E35632">
        <w:tc>
          <w:tcPr>
            <w:tcW w:w="2220" w:type="dxa"/>
            <w:vMerge/>
          </w:tcPr>
          <w:p w:rsidR="00E35632" w:rsidRDefault="00E35632">
            <w:pPr>
              <w:pStyle w:val="ConsPlusNormal"/>
            </w:pPr>
          </w:p>
        </w:tc>
        <w:tc>
          <w:tcPr>
            <w:tcW w:w="3720" w:type="dxa"/>
          </w:tcPr>
          <w:p w:rsidR="00E35632" w:rsidRDefault="00E35632">
            <w:pPr>
              <w:pStyle w:val="ConsPlusNormal"/>
            </w:pPr>
            <w:r>
              <w:t xml:space="preserve">Оперативный отвод поверхностных вод из котлованов, повышенный контроль за устройством </w:t>
            </w:r>
            <w:r>
              <w:lastRenderedPageBreak/>
              <w:t>гидроизоляции и укладке водонесущих коммуникаций, обратной засыпке котлованов в период строительства</w:t>
            </w:r>
          </w:p>
        </w:tc>
        <w:tc>
          <w:tcPr>
            <w:tcW w:w="3120" w:type="dxa"/>
            <w:vMerge/>
          </w:tcPr>
          <w:p w:rsidR="00E35632" w:rsidRDefault="00E35632">
            <w:pPr>
              <w:pStyle w:val="ConsPlusNormal"/>
            </w:pPr>
          </w:p>
        </w:tc>
      </w:tr>
      <w:tr w:rsidR="00E35632">
        <w:tc>
          <w:tcPr>
            <w:tcW w:w="2220" w:type="dxa"/>
          </w:tcPr>
          <w:p w:rsidR="00E35632" w:rsidRDefault="00E35632">
            <w:pPr>
              <w:pStyle w:val="ConsPlusNormal"/>
            </w:pPr>
            <w:r>
              <w:lastRenderedPageBreak/>
              <w:t>Технологические</w:t>
            </w:r>
          </w:p>
        </w:tc>
        <w:tc>
          <w:tcPr>
            <w:tcW w:w="3720" w:type="dxa"/>
          </w:tcPr>
          <w:p w:rsidR="00E35632" w:rsidRDefault="00E35632">
            <w:pPr>
              <w:pStyle w:val="ConsPlusNormal"/>
            </w:pPr>
            <w:r>
              <w:t>Повышение надежности технологического оборудования и инженерных коммуникаций, их дублирование, контроль над утечками, обеспечение своевременного отключения</w:t>
            </w:r>
          </w:p>
        </w:tc>
        <w:tc>
          <w:tcPr>
            <w:tcW w:w="3120" w:type="dxa"/>
          </w:tcPr>
          <w:p w:rsidR="00E35632" w:rsidRDefault="00E35632">
            <w:pPr>
              <w:pStyle w:val="ConsPlusNormal"/>
            </w:pPr>
            <w:r>
              <w:t>Обеспечение отсутствия активизации карстово-суффозионных процессов за счет исключения протечек в основание сооружения</w:t>
            </w:r>
          </w:p>
        </w:tc>
      </w:tr>
      <w:tr w:rsidR="00E35632">
        <w:tc>
          <w:tcPr>
            <w:tcW w:w="2220" w:type="dxa"/>
          </w:tcPr>
          <w:p w:rsidR="00E35632" w:rsidRDefault="00E35632">
            <w:pPr>
              <w:pStyle w:val="ConsPlusNormal"/>
            </w:pPr>
            <w:r>
              <w:t>Эксплуатационные</w:t>
            </w:r>
          </w:p>
        </w:tc>
        <w:tc>
          <w:tcPr>
            <w:tcW w:w="3720" w:type="dxa"/>
          </w:tcPr>
          <w:p w:rsidR="00E35632" w:rsidRDefault="00E35632">
            <w:pPr>
              <w:pStyle w:val="ConsPlusNormal"/>
            </w:pPr>
            <w:r>
              <w:t>Геотехнический мониторинг</w:t>
            </w:r>
          </w:p>
        </w:tc>
        <w:tc>
          <w:tcPr>
            <w:tcW w:w="3120" w:type="dxa"/>
          </w:tcPr>
          <w:p w:rsidR="00E35632" w:rsidRDefault="00E35632">
            <w:pPr>
              <w:pStyle w:val="ConsPlusNormal"/>
            </w:pPr>
            <w:r>
              <w:t>Контроль над возможной активизацией карстово-суффозионных процессов</w:t>
            </w:r>
          </w:p>
        </w:tc>
      </w:tr>
      <w:tr w:rsidR="00E35632">
        <w:tc>
          <w:tcPr>
            <w:tcW w:w="9060" w:type="dxa"/>
            <w:gridSpan w:val="3"/>
          </w:tcPr>
          <w:p w:rsidR="00E35632" w:rsidRDefault="00E35632">
            <w:pPr>
              <w:pStyle w:val="ConsPlusNormal"/>
              <w:ind w:firstLine="283"/>
              <w:jc w:val="both"/>
            </w:pPr>
            <w:r>
              <w:t>Примечания</w:t>
            </w:r>
          </w:p>
          <w:p w:rsidR="00E35632" w:rsidRDefault="00E35632">
            <w:pPr>
              <w:pStyle w:val="ConsPlusNormal"/>
              <w:ind w:firstLine="283"/>
              <w:jc w:val="both"/>
            </w:pPr>
            <w:r>
              <w:t>1 Выбор способа проведения специальных противокарстовых мероприятий (конструктивные, геотехнические или их комбинация) определяется проектировщиком и зависимости от инженерно-геологических условий площадки строительства, конструкции проектируемого сооружения, расчетных параметров карстовых деформаций и т.п.</w:t>
            </w:r>
          </w:p>
          <w:p w:rsidR="00E35632" w:rsidRDefault="00E35632">
            <w:pPr>
              <w:pStyle w:val="ConsPlusNormal"/>
              <w:ind w:firstLine="283"/>
              <w:jc w:val="both"/>
            </w:pPr>
            <w:r>
              <w:t>2 При необходимости выполнения специальных противокарстовых мероприятий следует применять конструктивные - для нового строительства, геотехнические - для реконструируемых сооружений. Выбор способа выполнения обеспечения надежной и безопасной эксплуатации здания должен быть экономически обоснован.</w:t>
            </w:r>
          </w:p>
          <w:p w:rsidR="00E35632" w:rsidRDefault="00E35632">
            <w:pPr>
              <w:pStyle w:val="ConsPlusNormal"/>
              <w:ind w:firstLine="283"/>
              <w:jc w:val="both"/>
            </w:pPr>
            <w:r>
              <w:t>3 При разработке проекта специальных противокарстовых мероприятий следует учитывать размещение в плане карстовых деформаций (с учетом их типа и расчетных параметров) на наиболее неблагоприятных участках с точки зрения обеспечения надежной работы сооружения. При этом обязательным является положение карстовых деформаций под колоннами, пересечением стен, углами сооружения, в середине большей и меньшей сторон, а также прилегающей к сооружению зоне, расположение карстовых деформаций в которой, способно оказать негативное влияние на прочность и устойчивость сооружений.</w:t>
            </w:r>
          </w:p>
          <w:p w:rsidR="00E35632" w:rsidRDefault="00E35632">
            <w:pPr>
              <w:pStyle w:val="ConsPlusNormal"/>
              <w:ind w:firstLine="283"/>
              <w:jc w:val="both"/>
            </w:pPr>
            <w:r>
              <w:t>4 Применение противокарстовых мероприятий в дополнение к указанным требованиям должно также исключать при своей реализации негативное влияние на окружающую застройку и не должно способствовать активизации карстово-суффозионных процессов в основании сооружений окружающей застройки.</w:t>
            </w:r>
          </w:p>
        </w:tc>
      </w:tr>
    </w:tbl>
    <w:p w:rsidR="00E35632" w:rsidRDefault="00E35632">
      <w:pPr>
        <w:pStyle w:val="ConsPlusNormal"/>
        <w:jc w:val="both"/>
      </w:pPr>
    </w:p>
    <w:p w:rsidR="00E35632" w:rsidRDefault="00E35632">
      <w:pPr>
        <w:pStyle w:val="ConsPlusNormal"/>
        <w:ind w:firstLine="540"/>
        <w:jc w:val="both"/>
      </w:pPr>
      <w:bookmarkStart w:id="216" w:name="P4106"/>
      <w:bookmarkEnd w:id="216"/>
      <w:r>
        <w:t xml:space="preserve">6.12.14 Для определения достаточности и надежности проектных решений, связанных с применением специальных противокарстовых мероприятий, необходимо обеспечить условие прочности и устойчивости сооружения при расчете по предельным состояниям первой группы на особое сочетание нагрузок с учетом расчетных параметров карстовых деформаций, определенных согласно требованиям </w:t>
      </w:r>
      <w:hyperlink w:anchor="P4051">
        <w:r>
          <w:rPr>
            <w:color w:val="0000FF"/>
          </w:rPr>
          <w:t>6.12.12</w:t>
        </w:r>
      </w:hyperlink>
      <w:r>
        <w:t>.</w:t>
      </w:r>
    </w:p>
    <w:p w:rsidR="00E35632" w:rsidRDefault="00E35632">
      <w:pPr>
        <w:pStyle w:val="ConsPlusNormal"/>
        <w:spacing w:before="220"/>
        <w:ind w:firstLine="540"/>
        <w:jc w:val="both"/>
      </w:pPr>
      <w:r>
        <w:t xml:space="preserve">Примечание - Использование альтернативных решений, связанных с подменой требований обеспечения прочности и устойчивости сооружения (например, устройство гильз в фундаментной плите для выполнения тампонажа, в случае образования карстовых деформаций для их последующей ликвидации, вместо указанных в </w:t>
      </w:r>
      <w:hyperlink w:anchor="P4066">
        <w:r>
          <w:rPr>
            <w:color w:val="0000FF"/>
          </w:rPr>
          <w:t>6.12.13</w:t>
        </w:r>
      </w:hyperlink>
      <w:r>
        <w:t>) не допускается.</w:t>
      </w:r>
    </w:p>
    <w:p w:rsidR="00E35632" w:rsidRDefault="00E35632">
      <w:pPr>
        <w:pStyle w:val="ConsPlusNormal"/>
        <w:jc w:val="both"/>
      </w:pPr>
    </w:p>
    <w:p w:rsidR="00E35632" w:rsidRDefault="00E35632">
      <w:pPr>
        <w:pStyle w:val="ConsPlusNormal"/>
        <w:ind w:firstLine="540"/>
        <w:jc w:val="both"/>
      </w:pPr>
      <w:bookmarkStart w:id="217" w:name="P4109"/>
      <w:bookmarkEnd w:id="217"/>
      <w:r>
        <w:t xml:space="preserve">6.12.15 Необходимость проведения специальных (конструктивных и геотехнических) противокарстовых мероприятий для сооружений, возводимых (реконструируемых) на участках потенциально опасной категории в карстово-суффозионном отношении, определяется расчетом с учетом возникновения и развития карстовой полости в водорастворимой горной породе в период эксплуатации сооружения. Основные показатели, учитываемые в расчете, - начальный размер карстовой полости, оцениваемый в ходе изысканий, и скорость растворения горной породы с </w:t>
      </w:r>
      <w:r>
        <w:lastRenderedPageBreak/>
        <w:t>учетом гидрогеологической обстановки и взаимодействия сооружения с основанием на этапах строительства и эксплуатации.</w:t>
      </w:r>
    </w:p>
    <w:p w:rsidR="00E35632" w:rsidRDefault="00E35632">
      <w:pPr>
        <w:pStyle w:val="ConsPlusNormal"/>
        <w:jc w:val="both"/>
      </w:pPr>
      <w:r>
        <w:t xml:space="preserve">(в ред. </w:t>
      </w:r>
      <w:hyperlink r:id="rId744">
        <w:r>
          <w:rPr>
            <w:color w:val="0000FF"/>
          </w:rPr>
          <w:t>Изменения N 3</w:t>
        </w:r>
      </w:hyperlink>
      <w:r>
        <w:t>, утв. Приказом Минстроя России от 22.11.2019 N 722/пр)</w:t>
      </w:r>
    </w:p>
    <w:p w:rsidR="00E35632" w:rsidRDefault="00E35632">
      <w:pPr>
        <w:pStyle w:val="ConsPlusNormal"/>
        <w:spacing w:before="220"/>
        <w:ind w:firstLine="540"/>
        <w:jc w:val="both"/>
      </w:pPr>
      <w:r>
        <w:t xml:space="preserve">В случае, если размер карстовой полости в водорастворимой горной породе (при ее размещении на разрезе и по глубине в наиболее неблагоприятном участке с точки зрения провалообразования) с учетом скорости растворения горной породы вызовет по результатам расчета карстовые деформации в период сопоставимый с расчетным сроком службы (эксплуатации) сооружения, то определение расчетных параметров карстовых деформаций выполняется согласно требованиям </w:t>
      </w:r>
      <w:hyperlink w:anchor="P4051">
        <w:r>
          <w:rPr>
            <w:color w:val="0000FF"/>
          </w:rPr>
          <w:t>6.12.12</w:t>
        </w:r>
      </w:hyperlink>
      <w:r>
        <w:t xml:space="preserve">, а проведение специальных противокарстовых мероприятий выполняется для данного участка согласно требованиям </w:t>
      </w:r>
      <w:hyperlink w:anchor="P4066">
        <w:r>
          <w:rPr>
            <w:color w:val="0000FF"/>
          </w:rPr>
          <w:t>6.12.13</w:t>
        </w:r>
      </w:hyperlink>
      <w:r>
        <w:t xml:space="preserve">, </w:t>
      </w:r>
      <w:hyperlink w:anchor="P4106">
        <w:r>
          <w:rPr>
            <w:color w:val="0000FF"/>
          </w:rPr>
          <w:t>6.12.14</w:t>
        </w:r>
      </w:hyperlink>
      <w:r>
        <w:t>.</w:t>
      </w:r>
    </w:p>
    <w:p w:rsidR="00E35632" w:rsidRDefault="00E35632">
      <w:pPr>
        <w:pStyle w:val="ConsPlusNormal"/>
        <w:spacing w:before="220"/>
        <w:ind w:firstLine="540"/>
        <w:jc w:val="both"/>
      </w:pPr>
      <w:r>
        <w:t>Если размер карстовой полости с учетом скорости растворения горной породы по результатам расчета не приводит к карстовым деформациям в период расчетного срока службы (эксплуатации) сооружения, то специальные противокарстовые мероприятия не проводят.</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1 Установление необходимости проведения специальных противокарстовых мероприятий для потенциально опасных участков допускается проводить только с привлечением специализированных организаций.</w:t>
      </w:r>
    </w:p>
    <w:p w:rsidR="00E35632" w:rsidRDefault="00E35632">
      <w:pPr>
        <w:pStyle w:val="ConsPlusNormal"/>
        <w:spacing w:before="220"/>
        <w:ind w:firstLine="540"/>
        <w:jc w:val="both"/>
      </w:pPr>
      <w:r>
        <w:t>2 Начальный размер карстовой полости (до ее увеличения с учетом скорости растворения) следует принимать не менее наибольшего по глубине (из зафиксированных при изысканиях) провала бурового инструмента или глубины распространения заполнителя в карстующейся породе (древний карст).</w:t>
      </w:r>
    </w:p>
    <w:p w:rsidR="00E35632" w:rsidRDefault="00E35632">
      <w:pPr>
        <w:pStyle w:val="ConsPlusNormal"/>
        <w:spacing w:before="220"/>
        <w:ind w:firstLine="540"/>
        <w:jc w:val="both"/>
      </w:pPr>
      <w:r>
        <w:t xml:space="preserve">3 Расчетный срок службы (эксплуатации) сооружений должен назначаться генпроектировщиком по согласованию с заказчиком, но не менее чем в соответствии с </w:t>
      </w:r>
      <w:hyperlink r:id="rId745">
        <w:r>
          <w:rPr>
            <w:color w:val="0000FF"/>
          </w:rPr>
          <w:t>ГОСТ 27751</w:t>
        </w:r>
      </w:hyperlink>
      <w:r>
        <w:t>.</w:t>
      </w:r>
    </w:p>
    <w:p w:rsidR="00E35632" w:rsidRDefault="00E35632">
      <w:pPr>
        <w:pStyle w:val="ConsPlusNormal"/>
        <w:spacing w:before="220"/>
        <w:ind w:firstLine="540"/>
        <w:jc w:val="both"/>
      </w:pPr>
      <w:r>
        <w:t xml:space="preserve">4 Требования, предъявляемые к методам расчетов, указанным в данном пункте, должны соответствовать требованиям, указанным в </w:t>
      </w:r>
      <w:hyperlink w:anchor="P4051">
        <w:r>
          <w:rPr>
            <w:color w:val="0000FF"/>
          </w:rPr>
          <w:t>6.12.12</w:t>
        </w:r>
      </w:hyperlink>
      <w:r>
        <w:t>.</w:t>
      </w:r>
    </w:p>
    <w:p w:rsidR="00E35632" w:rsidRDefault="00E35632">
      <w:pPr>
        <w:pStyle w:val="ConsPlusNormal"/>
        <w:jc w:val="both"/>
      </w:pPr>
    </w:p>
    <w:p w:rsidR="00E35632" w:rsidRDefault="00E35632">
      <w:pPr>
        <w:pStyle w:val="ConsPlusNormal"/>
        <w:ind w:firstLine="540"/>
        <w:jc w:val="both"/>
      </w:pPr>
      <w:r>
        <w:t>6.12.16 В случае, если по результатам изысканий или в ходе дополнительных специальных геотехнических исследований участок строительства отнесен к опасной категории в карстово-суффозионном отношении, то для сооружений нормального и повышенного уровня ответственности следует проводить оценку экономической целесообразности строительства с учетом необходимости проведения специальных противокарстовых мероприятий и при соответствующей возможности применять планировочные мероприятия, связанные с изменением размещения сооружения в плане на менее опасных участках. Необходимость строительства на участке опасной категории в карстово-суффозионном отношении должна иметь соответствующее технико-экономическое обоснование, а проектирование и строительство должно осуществляться с обязательным научно-техническим сопровождением специализированных организаций.</w:t>
      </w:r>
    </w:p>
    <w:p w:rsidR="00E35632" w:rsidRDefault="00E35632">
      <w:pPr>
        <w:pStyle w:val="ConsPlusNormal"/>
        <w:spacing w:before="220"/>
        <w:ind w:firstLine="540"/>
        <w:jc w:val="both"/>
      </w:pPr>
      <w:r>
        <w:t xml:space="preserve">6.12.17 Для сооружений, возводимых на участках потенциально опасной или опасной категории в карстово-суффозионном отношении, необходимо разработать программу и обеспечить проведение геотехнического мониторинга. Дополнительные требования по проведению геотехнического мониторинга на закарстованных территориях приведены в </w:t>
      </w:r>
      <w:hyperlink w:anchor="P4957">
        <w:r>
          <w:rPr>
            <w:color w:val="0000FF"/>
          </w:rPr>
          <w:t>разделе 12</w:t>
        </w:r>
      </w:hyperlink>
      <w:r>
        <w:t>.</w:t>
      </w:r>
    </w:p>
    <w:p w:rsidR="00E35632" w:rsidRDefault="00E35632">
      <w:pPr>
        <w:pStyle w:val="ConsPlusTitle"/>
        <w:spacing w:before="220"/>
        <w:ind w:firstLine="540"/>
        <w:jc w:val="both"/>
        <w:outlineLvl w:val="2"/>
      </w:pPr>
      <w:r>
        <w:t>6.13 Особенности проектирования оснований сооружений, возводимых в сейсмических районах</w:t>
      </w:r>
    </w:p>
    <w:p w:rsidR="00E35632" w:rsidRDefault="00E35632">
      <w:pPr>
        <w:pStyle w:val="ConsPlusNormal"/>
        <w:spacing w:before="220"/>
        <w:ind w:firstLine="540"/>
        <w:jc w:val="both"/>
      </w:pPr>
      <w:r>
        <w:t>6.13.1 В районах сейсмичностью менее 7 баллов основания следует проектировать без учета сейсмических воздействий.</w:t>
      </w:r>
    </w:p>
    <w:p w:rsidR="00E35632" w:rsidRDefault="00E35632">
      <w:pPr>
        <w:pStyle w:val="ConsPlusNormal"/>
        <w:spacing w:before="220"/>
        <w:ind w:firstLine="540"/>
        <w:jc w:val="both"/>
      </w:pPr>
      <w:r>
        <w:t xml:space="preserve">Основания сооружений, возводимых на площадках сейсмичностью 7, 8 и 9 баллов, следует </w:t>
      </w:r>
      <w:r>
        <w:lastRenderedPageBreak/>
        <w:t xml:space="preserve">проектировать с учетом </w:t>
      </w:r>
      <w:hyperlink r:id="rId746">
        <w:r>
          <w:rPr>
            <w:color w:val="0000FF"/>
          </w:rPr>
          <w:t>СП 14.13330</w:t>
        </w:r>
      </w:hyperlink>
      <w:r>
        <w:t>.</w:t>
      </w:r>
    </w:p>
    <w:p w:rsidR="00E35632" w:rsidRDefault="00E35632">
      <w:pPr>
        <w:pStyle w:val="ConsPlusNormal"/>
        <w:spacing w:before="220"/>
        <w:ind w:firstLine="540"/>
        <w:jc w:val="both"/>
      </w:pPr>
      <w:r>
        <w:t>Примечание - При проектировании в сейсмических районах в дополнение к материалам инженерно-геологических изысканий необходимо использовать данные сейсмического микрорайонирования площадки строительства.</w:t>
      </w:r>
    </w:p>
    <w:p w:rsidR="00E35632" w:rsidRDefault="00E35632">
      <w:pPr>
        <w:pStyle w:val="ConsPlusNormal"/>
        <w:jc w:val="both"/>
      </w:pPr>
    </w:p>
    <w:p w:rsidR="00E35632" w:rsidRDefault="00E35632">
      <w:pPr>
        <w:pStyle w:val="ConsPlusNormal"/>
        <w:ind w:firstLine="540"/>
        <w:jc w:val="both"/>
      </w:pPr>
      <w:r>
        <w:t xml:space="preserve">6.13.2 Проектирование оснований ленточных и столбчатых фундаментов с учетом сейсмических воздействий следует выполнять на основе расчета по несущей способности на особое сочетание нагрузок, определяемых в соответствии с требованиями </w:t>
      </w:r>
      <w:hyperlink r:id="rId747">
        <w:r>
          <w:rPr>
            <w:color w:val="0000FF"/>
          </w:rPr>
          <w:t>СП 20.13330</w:t>
        </w:r>
      </w:hyperlink>
      <w:r>
        <w:t xml:space="preserve"> и </w:t>
      </w:r>
      <w:hyperlink r:id="rId748">
        <w:r>
          <w:rPr>
            <w:color w:val="0000FF"/>
          </w:rPr>
          <w:t>СП 14.13330</w:t>
        </w:r>
      </w:hyperlink>
      <w:r>
        <w:t>.</w:t>
      </w:r>
    </w:p>
    <w:p w:rsidR="00E35632" w:rsidRDefault="00E35632">
      <w:pPr>
        <w:pStyle w:val="ConsPlusNormal"/>
        <w:spacing w:before="220"/>
        <w:ind w:firstLine="540"/>
        <w:jc w:val="both"/>
      </w:pPr>
      <w:r>
        <w:t xml:space="preserve">Предварительно тип и размеры фундаментов допускается определять расчетом оснований на основное сочетание нагрузок (без учета сейсмических воздействий) согласно требованиям </w:t>
      </w:r>
      <w:hyperlink w:anchor="P375">
        <w:r>
          <w:rPr>
            <w:color w:val="0000FF"/>
          </w:rPr>
          <w:t>раздела 5</w:t>
        </w:r>
      </w:hyperlink>
      <w:r>
        <w:t>, а затем следует уточнять расчетом на особое сочетание нагрузок с учетом: сейсмических воздействий.</w:t>
      </w:r>
    </w:p>
    <w:p w:rsidR="00E35632" w:rsidRDefault="00E35632">
      <w:pPr>
        <w:pStyle w:val="ConsPlusNormal"/>
        <w:spacing w:before="220"/>
        <w:ind w:firstLine="540"/>
        <w:jc w:val="both"/>
      </w:pPr>
      <w:r>
        <w:t xml:space="preserve">Глубину заложения фундаментов в грунтах, относимых по их сейсмическим свойствам согласно </w:t>
      </w:r>
      <w:hyperlink r:id="rId749">
        <w:r>
          <w:rPr>
            <w:color w:val="0000FF"/>
          </w:rPr>
          <w:t>СП 14.13330</w:t>
        </w:r>
      </w:hyperlink>
      <w:r>
        <w:t xml:space="preserve"> к категориям I и II, принимают такой же, как и для фундаментов в несейсмических районах.</w:t>
      </w:r>
    </w:p>
    <w:p w:rsidR="00E35632" w:rsidRDefault="00E35632">
      <w:pPr>
        <w:pStyle w:val="ConsPlusNormal"/>
        <w:spacing w:before="220"/>
        <w:ind w:firstLine="540"/>
        <w:jc w:val="both"/>
      </w:pPr>
      <w:r>
        <w:t>На площадках, сложенных грунтами категории III по сейсмическим свойствам, необходимо предусматривать мероприятия по улучшению строительных свойств грунтов основания до начала строительства.</w:t>
      </w:r>
    </w:p>
    <w:p w:rsidR="00E35632" w:rsidRDefault="00E35632">
      <w:pPr>
        <w:pStyle w:val="ConsPlusNormal"/>
        <w:spacing w:before="220"/>
        <w:ind w:firstLine="540"/>
        <w:jc w:val="both"/>
      </w:pPr>
      <w:r>
        <w:t xml:space="preserve">Нельзя использовать в качестве оснований сейсмостойких сооружений водонасыщенные грунты, способные к динамическому разжижению, без проведения предварительных специальных мероприятий по улучшению строительных свойств грунтов (уплотнение, закрепление, замена грунтов в основании по </w:t>
      </w:r>
      <w:hyperlink w:anchor="P2284">
        <w:r>
          <w:rPr>
            <w:color w:val="0000FF"/>
          </w:rPr>
          <w:t>5.9.3</w:t>
        </w:r>
      </w:hyperlink>
      <w:r>
        <w:t>).</w:t>
      </w:r>
    </w:p>
    <w:p w:rsidR="00E35632" w:rsidRDefault="00E35632">
      <w:pPr>
        <w:pStyle w:val="ConsPlusNormal"/>
        <w:spacing w:before="220"/>
        <w:ind w:firstLine="540"/>
        <w:jc w:val="both"/>
      </w:pPr>
      <w:r>
        <w:t xml:space="preserve">6.13.3 Расчет оснований по несущей способности для ленточных и столбчатых фундаментов следует выполнять на действие вертикальной составляющей внецентренной нагрузки, передаваемой фундаментом на грунт </w:t>
      </w:r>
      <w:hyperlink w:anchor="P4142">
        <w:r>
          <w:rPr>
            <w:color w:val="0000FF"/>
          </w:rPr>
          <w:t>(рисунок 6.16)</w:t>
        </w:r>
      </w:hyperlink>
      <w:r>
        <w:t>, исходя из условия</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1285240" cy="267970"/>
            <wp:effectExtent l="0" t="0" r="0" b="0"/>
            <wp:docPr id="4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1285240" cy="267970"/>
                    </a:xfrm>
                    <a:prstGeom prst="rect">
                      <a:avLst/>
                    </a:prstGeom>
                    <a:noFill/>
                    <a:ln>
                      <a:noFill/>
                    </a:ln>
                  </pic:spPr>
                </pic:pic>
              </a:graphicData>
            </a:graphic>
          </wp:inline>
        </w:drawing>
      </w:r>
      <w:r>
        <w:t xml:space="preserve"> (6.47)</w:t>
      </w:r>
    </w:p>
    <w:p w:rsidR="00E35632" w:rsidRDefault="00E35632">
      <w:pPr>
        <w:pStyle w:val="ConsPlusNormal"/>
        <w:jc w:val="both"/>
      </w:pPr>
    </w:p>
    <w:p w:rsidR="00E35632" w:rsidRDefault="00E35632">
      <w:pPr>
        <w:pStyle w:val="ConsPlusNormal"/>
        <w:ind w:firstLine="540"/>
        <w:jc w:val="both"/>
      </w:pPr>
      <w:r>
        <w:t xml:space="preserve">где </w:t>
      </w:r>
      <w:r>
        <w:rPr>
          <w:i/>
        </w:rPr>
        <w:t>N</w:t>
      </w:r>
      <w:r>
        <w:rPr>
          <w:i/>
          <w:vertAlign w:val="subscript"/>
        </w:rPr>
        <w:t>a</w:t>
      </w:r>
      <w:r>
        <w:t xml:space="preserve"> - вертикальная составляющая расчетной внецентренной нагрузки в особом сочетании, кН;</w:t>
      </w:r>
    </w:p>
    <w:p w:rsidR="00E35632" w:rsidRDefault="00E35632">
      <w:pPr>
        <w:pStyle w:val="ConsPlusNormal"/>
        <w:spacing w:before="220"/>
        <w:ind w:firstLine="540"/>
        <w:jc w:val="both"/>
      </w:pPr>
      <w:r>
        <w:rPr>
          <w:noProof/>
          <w:position w:val="-10"/>
        </w:rPr>
        <w:drawing>
          <wp:inline distT="0" distB="0" distL="0" distR="0">
            <wp:extent cx="310515" cy="267970"/>
            <wp:effectExtent l="0" t="0" r="0" b="0"/>
            <wp:docPr id="4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310515" cy="267970"/>
                    </a:xfrm>
                    <a:prstGeom prst="rect">
                      <a:avLst/>
                    </a:prstGeom>
                    <a:noFill/>
                    <a:ln>
                      <a:noFill/>
                    </a:ln>
                  </pic:spPr>
                </pic:pic>
              </a:graphicData>
            </a:graphic>
          </wp:inline>
        </w:drawing>
      </w:r>
      <w:r>
        <w:t xml:space="preserve"> - сейсмический коэффициент условий работы, принимаемый равным 1,0; 0,8; 0,6 соответственно для грунтов категорий I, II и III по сейсмическим свойствам, которые определяют в соответствии с классификацией </w:t>
      </w:r>
      <w:hyperlink r:id="rId752">
        <w:r>
          <w:rPr>
            <w:color w:val="0000FF"/>
          </w:rPr>
          <w:t>СП 14.13330</w:t>
        </w:r>
      </w:hyperlink>
      <w:r>
        <w:t>;</w:t>
      </w:r>
    </w:p>
    <w:p w:rsidR="00E35632" w:rsidRDefault="00E35632">
      <w:pPr>
        <w:pStyle w:val="ConsPlusNormal"/>
        <w:spacing w:before="220"/>
        <w:ind w:firstLine="540"/>
        <w:jc w:val="both"/>
      </w:pPr>
      <w:r>
        <w:rPr>
          <w:i/>
        </w:rPr>
        <w:t>N</w:t>
      </w:r>
      <w:r>
        <w:rPr>
          <w:i/>
          <w:vertAlign w:val="subscript"/>
        </w:rPr>
        <w:t>u,eq</w:t>
      </w:r>
      <w:r>
        <w:t xml:space="preserve"> - вертикальная составляющая силы предельного сопротивления основания при одностороннем выпоре грунта вследствие сейсмического воздействия, кН;</w:t>
      </w:r>
    </w:p>
    <w:p w:rsidR="00E35632" w:rsidRDefault="00E35632">
      <w:pPr>
        <w:pStyle w:val="ConsPlusNormal"/>
        <w:spacing w:before="220"/>
        <w:ind w:firstLine="540"/>
        <w:jc w:val="both"/>
      </w:pPr>
      <w:r>
        <w:rPr>
          <w:noProof/>
          <w:position w:val="-8"/>
        </w:rPr>
        <w:drawing>
          <wp:inline distT="0" distB="0" distL="0" distR="0">
            <wp:extent cx="192405" cy="251460"/>
            <wp:effectExtent l="0" t="0" r="0" b="0"/>
            <wp:docPr id="4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 коэффициент надежности по ответственности, принимаемый в соответствии с требованиями </w:t>
      </w:r>
      <w:hyperlink w:anchor="P1831">
        <w:r>
          <w:rPr>
            <w:color w:val="0000FF"/>
          </w:rPr>
          <w:t>5.7.2</w:t>
        </w:r>
      </w:hyperlink>
      <w:r>
        <w:t>.</w:t>
      </w:r>
    </w:p>
    <w:p w:rsidR="00E35632" w:rsidRDefault="00E35632">
      <w:pPr>
        <w:pStyle w:val="ConsPlusNormal"/>
        <w:jc w:val="both"/>
      </w:pPr>
    </w:p>
    <w:p w:rsidR="00E35632" w:rsidRDefault="00E35632">
      <w:pPr>
        <w:pStyle w:val="ConsPlusNormal"/>
        <w:jc w:val="center"/>
      </w:pPr>
      <w:r>
        <w:rPr>
          <w:noProof/>
          <w:position w:val="-167"/>
        </w:rPr>
        <w:lastRenderedPageBreak/>
        <w:drawing>
          <wp:inline distT="0" distB="0" distL="0" distR="0">
            <wp:extent cx="2658745" cy="2266950"/>
            <wp:effectExtent l="0" t="0" r="0" b="0"/>
            <wp:docPr id="4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2658745" cy="226695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bookmarkStart w:id="218" w:name="P4142"/>
      <w:bookmarkEnd w:id="218"/>
      <w:r>
        <w:rPr>
          <w:b/>
          <w:i/>
        </w:rPr>
        <w:t>Рисунок 6.16</w:t>
      </w:r>
      <w:r>
        <w:t xml:space="preserve"> </w:t>
      </w:r>
      <w:r>
        <w:rPr>
          <w:b/>
        </w:rPr>
        <w:t>- Эпюра предельного давления</w:t>
      </w:r>
    </w:p>
    <w:p w:rsidR="00E35632" w:rsidRDefault="00E35632">
      <w:pPr>
        <w:pStyle w:val="ConsPlusNormal"/>
        <w:jc w:val="center"/>
      </w:pPr>
      <w:r>
        <w:rPr>
          <w:b/>
        </w:rPr>
        <w:t>под подошвой столбчатого или ленточного</w:t>
      </w:r>
    </w:p>
    <w:p w:rsidR="00E35632" w:rsidRDefault="00E35632">
      <w:pPr>
        <w:pStyle w:val="ConsPlusNormal"/>
        <w:jc w:val="center"/>
      </w:pPr>
      <w:r>
        <w:rPr>
          <w:b/>
        </w:rPr>
        <w:t>фундамента при сейсмическом воздействии</w:t>
      </w:r>
    </w:p>
    <w:p w:rsidR="00E35632" w:rsidRDefault="00E35632">
      <w:pPr>
        <w:pStyle w:val="ConsPlusNormal"/>
        <w:jc w:val="both"/>
      </w:pPr>
    </w:p>
    <w:p w:rsidR="00E35632" w:rsidRDefault="00E35632">
      <w:pPr>
        <w:pStyle w:val="ConsPlusNormal"/>
        <w:ind w:firstLine="540"/>
        <w:jc w:val="both"/>
      </w:pPr>
      <w:r>
        <w:t xml:space="preserve">При наличии в особом сочетании нагрузок горизонтальной составляющей, передаваемой фундаментом на грунт, следует выполнять проверку несущей способности основания на сдвиг в соответствии с требованиями </w:t>
      </w:r>
      <w:hyperlink w:anchor="P1873">
        <w:r>
          <w:rPr>
            <w:color w:val="0000FF"/>
          </w:rPr>
          <w:t>5.7.6</w:t>
        </w:r>
      </w:hyperlink>
      <w:r>
        <w:t xml:space="preserve">, </w:t>
      </w:r>
      <w:hyperlink w:anchor="P2197">
        <w:r>
          <w:rPr>
            <w:color w:val="0000FF"/>
          </w:rPr>
          <w:t>5.7.12</w:t>
        </w:r>
      </w:hyperlink>
      <w:r>
        <w:t>. При этом для определения сил предельного сопротивления сдвигу, а также величин активного и пассивного давления в водонасыщенных глинистых грунтах следует учитывать снижение расчетных значений угла внутреннего трения в зависимости от расчетной сейсмичности.</w:t>
      </w:r>
    </w:p>
    <w:p w:rsidR="00E35632" w:rsidRDefault="00E35632">
      <w:pPr>
        <w:pStyle w:val="ConsPlusNormal"/>
        <w:spacing w:before="220"/>
        <w:ind w:firstLine="540"/>
        <w:jc w:val="both"/>
      </w:pPr>
      <w:r>
        <w:t>Расчетные значения угла внутреннего трения в расчетах без учета сейсмических инерционных объемных сил на особое сочетание нагрузок, включающее сейсмическое воздействие, следует принимать из условия</w:t>
      </w:r>
    </w:p>
    <w:p w:rsidR="00E35632" w:rsidRDefault="00E35632">
      <w:pPr>
        <w:pStyle w:val="ConsPlusNormal"/>
        <w:jc w:val="both"/>
      </w:pPr>
    </w:p>
    <w:p w:rsidR="00E35632" w:rsidRDefault="00E35632">
      <w:pPr>
        <w:pStyle w:val="ConsPlusNormal"/>
        <w:jc w:val="center"/>
      </w:pPr>
      <w:bookmarkStart w:id="219" w:name="P4149"/>
      <w:bookmarkEnd w:id="219"/>
      <w:r>
        <w:rPr>
          <w:noProof/>
          <w:position w:val="-10"/>
        </w:rPr>
        <w:drawing>
          <wp:inline distT="0" distB="0" distL="0" distR="0">
            <wp:extent cx="949325" cy="267970"/>
            <wp:effectExtent l="0" t="0" r="0" b="0"/>
            <wp:docPr id="4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949325" cy="267970"/>
                    </a:xfrm>
                    <a:prstGeom prst="rect">
                      <a:avLst/>
                    </a:prstGeom>
                    <a:noFill/>
                    <a:ln>
                      <a:noFill/>
                    </a:ln>
                  </pic:spPr>
                </pic:pic>
              </a:graphicData>
            </a:graphic>
          </wp:inline>
        </w:drawing>
      </w:r>
      <w:r>
        <w:t xml:space="preserve"> (6.48)</w:t>
      </w:r>
    </w:p>
    <w:p w:rsidR="00E35632" w:rsidRDefault="00E35632">
      <w:pPr>
        <w:pStyle w:val="ConsPlusNormal"/>
        <w:jc w:val="both"/>
      </w:pPr>
    </w:p>
    <w:p w:rsidR="00E35632" w:rsidRDefault="00E35632">
      <w:pPr>
        <w:pStyle w:val="ConsPlusNormal"/>
        <w:ind w:firstLine="540"/>
        <w:jc w:val="both"/>
      </w:pPr>
      <w:r>
        <w:t xml:space="preserve">где </w:t>
      </w:r>
      <w:r>
        <w:rPr>
          <w:noProof/>
          <w:position w:val="-8"/>
        </w:rPr>
        <w:drawing>
          <wp:inline distT="0" distB="0" distL="0" distR="0">
            <wp:extent cx="182880" cy="250825"/>
            <wp:effectExtent l="0" t="0" r="0" b="0"/>
            <wp:docPr id="48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 xml:space="preserve"> - расчетные значения угла внутреннего трения без учета сейсмики;</w:t>
      </w:r>
    </w:p>
    <w:p w:rsidR="00E35632" w:rsidRDefault="00E35632">
      <w:pPr>
        <w:pStyle w:val="ConsPlusNormal"/>
        <w:spacing w:before="220"/>
        <w:ind w:firstLine="540"/>
        <w:jc w:val="both"/>
      </w:pPr>
      <w:r>
        <w:rPr>
          <w:noProof/>
          <w:position w:val="-6"/>
        </w:rPr>
        <w:drawing>
          <wp:inline distT="0" distB="0" distL="0" distR="0">
            <wp:extent cx="267970" cy="226060"/>
            <wp:effectExtent l="0" t="0" r="0" b="0"/>
            <wp:docPr id="48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267970" cy="226060"/>
                    </a:xfrm>
                    <a:prstGeom prst="rect">
                      <a:avLst/>
                    </a:prstGeom>
                    <a:noFill/>
                    <a:ln>
                      <a:noFill/>
                    </a:ln>
                  </pic:spPr>
                </pic:pic>
              </a:graphicData>
            </a:graphic>
          </wp:inline>
        </w:drawing>
      </w:r>
      <w:r>
        <w:t xml:space="preserve"> - принимают в зависимости от расчетной сейсмичности: 7 баллов - </w:t>
      </w:r>
      <w:r>
        <w:rPr>
          <w:noProof/>
          <w:position w:val="-6"/>
        </w:rPr>
        <w:drawing>
          <wp:inline distT="0" distB="0" distL="0" distR="0">
            <wp:extent cx="586740" cy="226060"/>
            <wp:effectExtent l="0" t="0" r="0" b="0"/>
            <wp:docPr id="48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586740" cy="226060"/>
                    </a:xfrm>
                    <a:prstGeom prst="rect">
                      <a:avLst/>
                    </a:prstGeom>
                    <a:noFill/>
                    <a:ln>
                      <a:noFill/>
                    </a:ln>
                  </pic:spPr>
                </pic:pic>
              </a:graphicData>
            </a:graphic>
          </wp:inline>
        </w:drawing>
      </w:r>
      <w:r>
        <w:t xml:space="preserve">, 8 баллов - </w:t>
      </w:r>
      <w:r>
        <w:rPr>
          <w:noProof/>
          <w:position w:val="-6"/>
        </w:rPr>
        <w:drawing>
          <wp:inline distT="0" distB="0" distL="0" distR="0">
            <wp:extent cx="586740" cy="226060"/>
            <wp:effectExtent l="0" t="0" r="0" b="0"/>
            <wp:docPr id="48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586740" cy="226060"/>
                    </a:xfrm>
                    <a:prstGeom prst="rect">
                      <a:avLst/>
                    </a:prstGeom>
                    <a:noFill/>
                    <a:ln>
                      <a:noFill/>
                    </a:ln>
                  </pic:spPr>
                </pic:pic>
              </a:graphicData>
            </a:graphic>
          </wp:inline>
        </w:drawing>
      </w:r>
      <w:r>
        <w:t xml:space="preserve">, 9 баллов - </w:t>
      </w:r>
      <w:r>
        <w:rPr>
          <w:noProof/>
          <w:position w:val="-6"/>
        </w:rPr>
        <w:drawing>
          <wp:inline distT="0" distB="0" distL="0" distR="0">
            <wp:extent cx="586740" cy="226060"/>
            <wp:effectExtent l="0" t="0" r="0" b="0"/>
            <wp:docPr id="48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586740" cy="22606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При расчете несущей способности оснований, испытывающих сейсмические воздействия, с учетом сейсмических инерционных объемных сил в качестве расчетного значения угла внутреннего трения следует принимать </w:t>
      </w:r>
      <w:r>
        <w:rPr>
          <w:noProof/>
          <w:position w:val="-8"/>
        </w:rPr>
        <w:drawing>
          <wp:inline distT="0" distB="0" distL="0" distR="0">
            <wp:extent cx="182880" cy="250825"/>
            <wp:effectExtent l="0" t="0" r="0" b="0"/>
            <wp:docPr id="48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 xml:space="preserve"> (см. 6.13.4).</w:t>
      </w:r>
    </w:p>
    <w:p w:rsidR="00E35632" w:rsidRDefault="00E35632">
      <w:pPr>
        <w:pStyle w:val="ConsPlusNormal"/>
        <w:spacing w:before="220"/>
        <w:ind w:firstLine="540"/>
        <w:jc w:val="both"/>
      </w:pPr>
      <w:r>
        <w:t xml:space="preserve">6.13.4 При расчете несущей способности оснований, испытывающих сейсмические воздействия, ординаты эпюры предельного давления </w:t>
      </w:r>
      <w:r>
        <w:rPr>
          <w:i/>
        </w:rPr>
        <w:t>p</w:t>
      </w:r>
      <w:r>
        <w:rPr>
          <w:vertAlign w:val="subscript"/>
        </w:rPr>
        <w:t>0</w:t>
      </w:r>
      <w:r>
        <w:t xml:space="preserve"> и </w:t>
      </w:r>
      <w:r>
        <w:rPr>
          <w:i/>
        </w:rPr>
        <w:t>p</w:t>
      </w:r>
      <w:r>
        <w:rPr>
          <w:i/>
          <w:vertAlign w:val="subscript"/>
        </w:rPr>
        <w:t>b</w:t>
      </w:r>
      <w:r>
        <w:t xml:space="preserve">, кПа, по краям подошвы ленточного или столбчатого фундамента (см. </w:t>
      </w:r>
      <w:hyperlink w:anchor="P3461">
        <w:r>
          <w:rPr>
            <w:color w:val="0000FF"/>
          </w:rPr>
          <w:t>рисунок 6.11</w:t>
        </w:r>
      </w:hyperlink>
      <w:r>
        <w:t>) вычисляют по формулам:</w:t>
      </w:r>
    </w:p>
    <w:p w:rsidR="00E35632" w:rsidRDefault="00E35632">
      <w:pPr>
        <w:pStyle w:val="ConsPlusNormal"/>
        <w:jc w:val="both"/>
      </w:pPr>
    </w:p>
    <w:p w:rsidR="00E35632" w:rsidRDefault="00E35632">
      <w:pPr>
        <w:pStyle w:val="ConsPlusNormal"/>
        <w:jc w:val="center"/>
      </w:pPr>
      <w:bookmarkStart w:id="220" w:name="P4156"/>
      <w:bookmarkEnd w:id="220"/>
      <w:r>
        <w:rPr>
          <w:noProof/>
          <w:position w:val="-10"/>
        </w:rPr>
        <w:drawing>
          <wp:inline distT="0" distB="0" distL="0" distR="0">
            <wp:extent cx="2221230" cy="267970"/>
            <wp:effectExtent l="0" t="0" r="0" b="0"/>
            <wp:docPr id="49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2221230" cy="267970"/>
                    </a:xfrm>
                    <a:prstGeom prst="rect">
                      <a:avLst/>
                    </a:prstGeom>
                    <a:noFill/>
                    <a:ln>
                      <a:noFill/>
                    </a:ln>
                  </pic:spPr>
                </pic:pic>
              </a:graphicData>
            </a:graphic>
          </wp:inline>
        </w:drawing>
      </w:r>
      <w:r>
        <w:t xml:space="preserve"> (6.49)</w:t>
      </w:r>
    </w:p>
    <w:p w:rsidR="00E35632" w:rsidRDefault="00E35632">
      <w:pPr>
        <w:pStyle w:val="ConsPlusNormal"/>
        <w:jc w:val="both"/>
      </w:pPr>
    </w:p>
    <w:p w:rsidR="00E35632" w:rsidRDefault="00E35632">
      <w:pPr>
        <w:pStyle w:val="ConsPlusNormal"/>
        <w:jc w:val="center"/>
      </w:pPr>
      <w:bookmarkStart w:id="221" w:name="P4158"/>
      <w:bookmarkEnd w:id="221"/>
      <w:r>
        <w:rPr>
          <w:noProof/>
          <w:position w:val="-10"/>
        </w:rPr>
        <w:drawing>
          <wp:inline distT="0" distB="0" distL="0" distR="0">
            <wp:extent cx="1871980" cy="267970"/>
            <wp:effectExtent l="0" t="0" r="0" b="0"/>
            <wp:docPr id="49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1871980" cy="267970"/>
                    </a:xfrm>
                    <a:prstGeom prst="rect">
                      <a:avLst/>
                    </a:prstGeom>
                    <a:noFill/>
                    <a:ln>
                      <a:noFill/>
                    </a:ln>
                  </pic:spPr>
                </pic:pic>
              </a:graphicData>
            </a:graphic>
          </wp:inline>
        </w:drawing>
      </w:r>
      <w:r>
        <w:t xml:space="preserve"> (6.50)</w:t>
      </w:r>
    </w:p>
    <w:p w:rsidR="00E35632" w:rsidRDefault="00E35632">
      <w:pPr>
        <w:pStyle w:val="ConsPlusNormal"/>
        <w:jc w:val="both"/>
      </w:pPr>
    </w:p>
    <w:p w:rsidR="00E35632" w:rsidRDefault="00E35632">
      <w:pPr>
        <w:pStyle w:val="ConsPlusNormal"/>
        <w:ind w:firstLine="540"/>
        <w:jc w:val="both"/>
      </w:pPr>
      <w:r>
        <w:t xml:space="preserve">где </w:t>
      </w:r>
      <w:r>
        <w:rPr>
          <w:noProof/>
          <w:position w:val="-10"/>
        </w:rPr>
        <w:drawing>
          <wp:inline distT="0" distB="0" distL="0" distR="0">
            <wp:extent cx="192405" cy="267970"/>
            <wp:effectExtent l="0" t="0" r="0" b="0"/>
            <wp:docPr id="49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192405" cy="267970"/>
                    </a:xfrm>
                    <a:prstGeom prst="rect">
                      <a:avLst/>
                    </a:prstGeom>
                    <a:noFill/>
                    <a:ln>
                      <a:noFill/>
                    </a:ln>
                  </pic:spPr>
                </pic:pic>
              </a:graphicData>
            </a:graphic>
          </wp:inline>
        </w:drawing>
      </w:r>
      <w:r>
        <w:t xml:space="preserve">, </w:t>
      </w:r>
      <w:r>
        <w:rPr>
          <w:noProof/>
          <w:position w:val="-8"/>
        </w:rPr>
        <w:drawing>
          <wp:inline distT="0" distB="0" distL="0" distR="0">
            <wp:extent cx="192405" cy="251460"/>
            <wp:effectExtent l="0" t="0" r="0" b="0"/>
            <wp:docPr id="49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w:t>
      </w:r>
      <w:r>
        <w:rPr>
          <w:noProof/>
          <w:position w:val="-10"/>
        </w:rPr>
        <w:drawing>
          <wp:inline distT="0" distB="0" distL="0" distR="0">
            <wp:extent cx="192405" cy="267970"/>
            <wp:effectExtent l="0" t="0" r="0" b="0"/>
            <wp:docPr id="49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192405" cy="267970"/>
                    </a:xfrm>
                    <a:prstGeom prst="rect">
                      <a:avLst/>
                    </a:prstGeom>
                    <a:noFill/>
                    <a:ln>
                      <a:noFill/>
                    </a:ln>
                  </pic:spPr>
                </pic:pic>
              </a:graphicData>
            </a:graphic>
          </wp:inline>
        </w:drawing>
      </w:r>
      <w:r>
        <w:t xml:space="preserve"> - коэффициенты формы, определяемые по </w:t>
      </w:r>
      <w:hyperlink w:anchor="P1894">
        <w:r>
          <w:rPr>
            <w:color w:val="0000FF"/>
          </w:rPr>
          <w:t>формуле (5.33)</w:t>
        </w:r>
      </w:hyperlink>
      <w:r>
        <w:t xml:space="preserve">, но без уменьшения длины </w:t>
      </w:r>
      <w:r>
        <w:rPr>
          <w:i/>
        </w:rPr>
        <w:t>l</w:t>
      </w:r>
      <w:r>
        <w:t xml:space="preserve"> и ширины </w:t>
      </w:r>
      <w:r>
        <w:rPr>
          <w:i/>
        </w:rPr>
        <w:t>b</w:t>
      </w:r>
      <w:r>
        <w:t xml:space="preserve"> подошвы фундамента на значения эксцентриситета нагрузок;</w:t>
      </w:r>
    </w:p>
    <w:p w:rsidR="00E35632" w:rsidRDefault="00E35632">
      <w:pPr>
        <w:pStyle w:val="ConsPlusNormal"/>
        <w:spacing w:before="220"/>
        <w:ind w:firstLine="540"/>
        <w:jc w:val="both"/>
      </w:pPr>
      <w:r>
        <w:rPr>
          <w:i/>
        </w:rPr>
        <w:lastRenderedPageBreak/>
        <w:t>F</w:t>
      </w:r>
      <w:r>
        <w:rPr>
          <w:vertAlign w:val="subscript"/>
        </w:rPr>
        <w:t>1</w:t>
      </w:r>
      <w:r>
        <w:t xml:space="preserve">, </w:t>
      </w:r>
      <w:r>
        <w:rPr>
          <w:i/>
        </w:rPr>
        <w:t>F</w:t>
      </w:r>
      <w:r>
        <w:rPr>
          <w:vertAlign w:val="subscript"/>
        </w:rPr>
        <w:t>2</w:t>
      </w:r>
      <w:r>
        <w:t xml:space="preserve"> и </w:t>
      </w:r>
      <w:r>
        <w:rPr>
          <w:i/>
        </w:rPr>
        <w:t>F</w:t>
      </w:r>
      <w:r>
        <w:rPr>
          <w:vertAlign w:val="subscript"/>
        </w:rPr>
        <w:t>3</w:t>
      </w:r>
      <w:r>
        <w:t xml:space="preserve"> - коэффициенты, определяемые по графикам </w:t>
      </w:r>
      <w:hyperlink w:anchor="P4169">
        <w:r>
          <w:rPr>
            <w:color w:val="0000FF"/>
          </w:rPr>
          <w:t>рисунка 6.17</w:t>
        </w:r>
      </w:hyperlink>
      <w:r>
        <w:t xml:space="preserve"> в зависимости от расчетного значения угла внутреннего трения </w:t>
      </w:r>
      <w:r>
        <w:rPr>
          <w:noProof/>
          <w:position w:val="-8"/>
        </w:rPr>
        <w:drawing>
          <wp:inline distT="0" distB="0" distL="0" distR="0">
            <wp:extent cx="182880" cy="250825"/>
            <wp:effectExtent l="0" t="0" r="0" b="0"/>
            <wp:docPr id="4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w:t>
      </w:r>
    </w:p>
    <w:p w:rsidR="00E35632" w:rsidRDefault="00E35632">
      <w:pPr>
        <w:pStyle w:val="ConsPlusNormal"/>
        <w:spacing w:before="220"/>
        <w:ind w:firstLine="540"/>
        <w:jc w:val="both"/>
      </w:pPr>
      <w:r>
        <w:rPr>
          <w:noProof/>
          <w:position w:val="-8"/>
        </w:rPr>
        <w:drawing>
          <wp:inline distT="0" distB="0" distL="0" distR="0">
            <wp:extent cx="185420" cy="251460"/>
            <wp:effectExtent l="0" t="0" r="0" b="0"/>
            <wp:docPr id="49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и </w:t>
      </w:r>
      <w:r>
        <w:rPr>
          <w:noProof/>
          <w:position w:val="-8"/>
        </w:rPr>
        <w:drawing>
          <wp:inline distT="0" distB="0" distL="0" distR="0">
            <wp:extent cx="185420" cy="251460"/>
            <wp:effectExtent l="0" t="0" r="0" b="0"/>
            <wp:docPr id="49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185420" cy="251460"/>
                    </a:xfrm>
                    <a:prstGeom prst="rect">
                      <a:avLst/>
                    </a:prstGeom>
                    <a:noFill/>
                    <a:ln>
                      <a:noFill/>
                    </a:ln>
                  </pic:spPr>
                </pic:pic>
              </a:graphicData>
            </a:graphic>
          </wp:inline>
        </w:drawing>
      </w:r>
      <w:r>
        <w:t xml:space="preserve"> - соответственно расчетные значения удельного веса грунта, кН/м</w:t>
      </w:r>
      <w:r>
        <w:rPr>
          <w:vertAlign w:val="superscript"/>
        </w:rPr>
        <w:t>3</w:t>
      </w:r>
      <w:r>
        <w:t>, находящегося выше и ниже подошвы фундамента (с учетом взвешивающего действия подземных вод для грунтов, находящихся выше водоупора);</w:t>
      </w:r>
    </w:p>
    <w:p w:rsidR="00E35632" w:rsidRDefault="00E35632">
      <w:pPr>
        <w:pStyle w:val="ConsPlusNormal"/>
        <w:spacing w:before="220"/>
        <w:ind w:firstLine="540"/>
        <w:jc w:val="both"/>
      </w:pPr>
      <w:r>
        <w:rPr>
          <w:i/>
        </w:rPr>
        <w:t>d</w:t>
      </w:r>
      <w:r>
        <w:t xml:space="preserve"> - глубина заложения фундамента, м (в случае неодинаковой вертикальной пригрузки с разных сторон фундамента принимают значение, соответствующее наименьшей пригрузке, например, со стороны подвала);</w:t>
      </w:r>
    </w:p>
    <w:p w:rsidR="00E35632" w:rsidRDefault="00E35632">
      <w:pPr>
        <w:pStyle w:val="ConsPlusNormal"/>
        <w:spacing w:before="220"/>
        <w:ind w:firstLine="540"/>
        <w:jc w:val="both"/>
      </w:pPr>
      <w:r>
        <w:rPr>
          <w:i/>
        </w:rPr>
        <w:t>k</w:t>
      </w:r>
      <w:r>
        <w:rPr>
          <w:i/>
          <w:vertAlign w:val="subscript"/>
        </w:rPr>
        <w:t>eg</w:t>
      </w:r>
      <w:r>
        <w:t xml:space="preserve"> - коэффициент, принимаемый равным 0,1; 0,2 и 0,4 при сейсмичности площадок строительства 7, 8 и 9 баллов, определяемой в соответствии с требованиями </w:t>
      </w:r>
      <w:hyperlink r:id="rId768">
        <w:r>
          <w:rPr>
            <w:color w:val="0000FF"/>
          </w:rPr>
          <w:t>СП 14.13330</w:t>
        </w:r>
      </w:hyperlink>
      <w:r>
        <w:t>.</w:t>
      </w:r>
    </w:p>
    <w:p w:rsidR="00E35632" w:rsidRDefault="00E35632">
      <w:pPr>
        <w:pStyle w:val="ConsPlusNormal"/>
        <w:spacing w:before="220"/>
        <w:ind w:firstLine="540"/>
        <w:jc w:val="both"/>
      </w:pPr>
      <w:r>
        <w:t xml:space="preserve">Примечание - В </w:t>
      </w:r>
      <w:hyperlink w:anchor="P4158">
        <w:r>
          <w:rPr>
            <w:color w:val="0000FF"/>
          </w:rPr>
          <w:t>формуле (6.50)</w:t>
        </w:r>
      </w:hyperlink>
      <w:r>
        <w:t xml:space="preserve"> при </w:t>
      </w:r>
      <w:r>
        <w:rPr>
          <w:i/>
        </w:rPr>
        <w:t>F</w:t>
      </w:r>
      <w:r>
        <w:rPr>
          <w:vertAlign w:val="subscript"/>
        </w:rPr>
        <w:t>2</w:t>
      </w:r>
      <w:r>
        <w:t xml:space="preserve"> &lt; </w:t>
      </w:r>
      <w:r>
        <w:rPr>
          <w:i/>
        </w:rPr>
        <w:t>k</w:t>
      </w:r>
      <w:r>
        <w:rPr>
          <w:i/>
          <w:vertAlign w:val="subscript"/>
        </w:rPr>
        <w:t>eg</w:t>
      </w:r>
      <w:r>
        <w:rPr>
          <w:i/>
        </w:rPr>
        <w:t>F</w:t>
      </w:r>
      <w:r>
        <w:rPr>
          <w:vertAlign w:val="subscript"/>
        </w:rPr>
        <w:t>3</w:t>
      </w:r>
      <w:r>
        <w:t xml:space="preserve"> следует принимать </w:t>
      </w:r>
      <w:r>
        <w:rPr>
          <w:i/>
        </w:rPr>
        <w:t>p</w:t>
      </w:r>
      <w:r>
        <w:rPr>
          <w:i/>
          <w:vertAlign w:val="subscript"/>
        </w:rPr>
        <w:t>b</w:t>
      </w:r>
      <w:r>
        <w:t xml:space="preserve">, равное </w:t>
      </w:r>
      <w:r>
        <w:rPr>
          <w:i/>
        </w:rPr>
        <w:t>p</w:t>
      </w:r>
      <w:r>
        <w:rPr>
          <w:vertAlign w:val="subscript"/>
        </w:rPr>
        <w:t>0</w:t>
      </w:r>
      <w:r>
        <w:t>.</w:t>
      </w:r>
    </w:p>
    <w:p w:rsidR="00E35632" w:rsidRDefault="00E35632">
      <w:pPr>
        <w:pStyle w:val="ConsPlusNormal"/>
        <w:jc w:val="both"/>
      </w:pPr>
    </w:p>
    <w:p w:rsidR="00E35632" w:rsidRDefault="00E35632">
      <w:pPr>
        <w:pStyle w:val="ConsPlusNormal"/>
        <w:jc w:val="center"/>
      </w:pPr>
      <w:r>
        <w:rPr>
          <w:noProof/>
          <w:position w:val="-311"/>
        </w:rPr>
        <w:drawing>
          <wp:inline distT="0" distB="0" distL="0" distR="0">
            <wp:extent cx="3004185" cy="4093845"/>
            <wp:effectExtent l="0" t="0" r="0" b="0"/>
            <wp:docPr id="49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004185" cy="4093845"/>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bookmarkStart w:id="222" w:name="P4169"/>
      <w:bookmarkEnd w:id="222"/>
      <w:r>
        <w:rPr>
          <w:b/>
          <w:i/>
        </w:rPr>
        <w:t>Рисунок 6.17</w:t>
      </w:r>
      <w:r>
        <w:t xml:space="preserve"> </w:t>
      </w:r>
      <w:r>
        <w:rPr>
          <w:b/>
        </w:rPr>
        <w:t>- Графики определения коэффициентов</w:t>
      </w:r>
    </w:p>
    <w:p w:rsidR="00E35632" w:rsidRDefault="00E35632">
      <w:pPr>
        <w:pStyle w:val="ConsPlusNormal"/>
        <w:jc w:val="center"/>
      </w:pPr>
      <w:r>
        <w:rPr>
          <w:b/>
          <w:i/>
        </w:rPr>
        <w:t>F</w:t>
      </w:r>
      <w:r>
        <w:rPr>
          <w:b/>
          <w:vertAlign w:val="subscript"/>
        </w:rPr>
        <w:t>1</w:t>
      </w:r>
      <w:r>
        <w:rPr>
          <w:b/>
        </w:rPr>
        <w:t>,</w:t>
      </w:r>
      <w:r>
        <w:t xml:space="preserve"> </w:t>
      </w:r>
      <w:r>
        <w:rPr>
          <w:b/>
          <w:i/>
        </w:rPr>
        <w:t>F</w:t>
      </w:r>
      <w:r>
        <w:rPr>
          <w:b/>
          <w:vertAlign w:val="subscript"/>
        </w:rPr>
        <w:t>2</w:t>
      </w:r>
      <w:r>
        <w:t xml:space="preserve"> </w:t>
      </w:r>
      <w:r>
        <w:rPr>
          <w:b/>
        </w:rPr>
        <w:t>и</w:t>
      </w:r>
      <w:r>
        <w:t xml:space="preserve"> </w:t>
      </w:r>
      <w:r>
        <w:rPr>
          <w:b/>
          <w:i/>
        </w:rPr>
        <w:t>F</w:t>
      </w:r>
      <w:r>
        <w:rPr>
          <w:b/>
          <w:vertAlign w:val="subscript"/>
        </w:rPr>
        <w:t>3</w:t>
      </w:r>
      <w:r>
        <w:t xml:space="preserve"> </w:t>
      </w:r>
      <w:r>
        <w:rPr>
          <w:b/>
        </w:rPr>
        <w:t>для расчета несущей способности оснований</w:t>
      </w:r>
    </w:p>
    <w:p w:rsidR="00E35632" w:rsidRDefault="00E35632">
      <w:pPr>
        <w:pStyle w:val="ConsPlusNormal"/>
        <w:jc w:val="center"/>
      </w:pPr>
      <w:r>
        <w:rPr>
          <w:b/>
        </w:rPr>
        <w:t>в условиях сейсмических воздействий</w:t>
      </w:r>
    </w:p>
    <w:p w:rsidR="00E35632" w:rsidRDefault="00E35632">
      <w:pPr>
        <w:pStyle w:val="ConsPlusNormal"/>
        <w:jc w:val="both"/>
      </w:pPr>
    </w:p>
    <w:p w:rsidR="00E35632" w:rsidRDefault="00E35632">
      <w:pPr>
        <w:pStyle w:val="ConsPlusNormal"/>
        <w:ind w:firstLine="540"/>
        <w:jc w:val="both"/>
      </w:pPr>
      <w:r>
        <w:t xml:space="preserve">Эксцентриситеты расчетной нагрузки </w:t>
      </w:r>
      <w:r>
        <w:rPr>
          <w:i/>
        </w:rPr>
        <w:t>e</w:t>
      </w:r>
      <w:r>
        <w:rPr>
          <w:i/>
          <w:vertAlign w:val="subscript"/>
        </w:rPr>
        <w:t>a</w:t>
      </w:r>
      <w:r>
        <w:t xml:space="preserve">, м, и эпюры предельного давления </w:t>
      </w:r>
      <w:r>
        <w:rPr>
          <w:i/>
        </w:rPr>
        <w:t>e</w:t>
      </w:r>
      <w:r>
        <w:rPr>
          <w:i/>
          <w:vertAlign w:val="subscript"/>
        </w:rPr>
        <w:t>u</w:t>
      </w:r>
      <w:r>
        <w:t>, м, вычисляют по формулам:</w:t>
      </w:r>
    </w:p>
    <w:p w:rsidR="00E35632" w:rsidRDefault="00E35632">
      <w:pPr>
        <w:pStyle w:val="ConsPlusNormal"/>
        <w:jc w:val="both"/>
      </w:pPr>
    </w:p>
    <w:p w:rsidR="00E35632" w:rsidRDefault="00E35632">
      <w:pPr>
        <w:pStyle w:val="ConsPlusNormal"/>
        <w:jc w:val="center"/>
      </w:pPr>
      <w:bookmarkStart w:id="223" w:name="P4175"/>
      <w:bookmarkEnd w:id="223"/>
      <w:r>
        <w:rPr>
          <w:i/>
        </w:rPr>
        <w:t>e</w:t>
      </w:r>
      <w:r>
        <w:rPr>
          <w:i/>
          <w:vertAlign w:val="subscript"/>
        </w:rPr>
        <w:t>a</w:t>
      </w:r>
      <w:r>
        <w:t xml:space="preserve"> = </w:t>
      </w:r>
      <w:r>
        <w:rPr>
          <w:i/>
        </w:rPr>
        <w:t>M</w:t>
      </w:r>
      <w:r>
        <w:rPr>
          <w:i/>
          <w:vertAlign w:val="subscript"/>
        </w:rPr>
        <w:t>a</w:t>
      </w:r>
      <w:r>
        <w:t>/</w:t>
      </w:r>
      <w:r>
        <w:rPr>
          <w:i/>
        </w:rPr>
        <w:t>N</w:t>
      </w:r>
      <w:r>
        <w:rPr>
          <w:i/>
          <w:vertAlign w:val="subscript"/>
        </w:rPr>
        <w:t>a</w:t>
      </w:r>
      <w:r>
        <w:t>; (6.51)</w:t>
      </w:r>
    </w:p>
    <w:p w:rsidR="00E35632" w:rsidRDefault="00E35632">
      <w:pPr>
        <w:pStyle w:val="ConsPlusNormal"/>
        <w:jc w:val="both"/>
      </w:pPr>
    </w:p>
    <w:p w:rsidR="00E35632" w:rsidRDefault="00E35632">
      <w:pPr>
        <w:pStyle w:val="ConsPlusNormal"/>
        <w:jc w:val="center"/>
      </w:pPr>
      <w:r>
        <w:rPr>
          <w:i/>
        </w:rPr>
        <w:t>e</w:t>
      </w:r>
      <w:r>
        <w:rPr>
          <w:i/>
          <w:vertAlign w:val="subscript"/>
        </w:rPr>
        <w:t>u</w:t>
      </w:r>
      <w:r>
        <w:t xml:space="preserve"> = </w:t>
      </w:r>
      <w:r>
        <w:rPr>
          <w:i/>
        </w:rPr>
        <w:t>b</w:t>
      </w:r>
      <w:r>
        <w:t>(</w:t>
      </w:r>
      <w:r>
        <w:rPr>
          <w:i/>
        </w:rPr>
        <w:t>p</w:t>
      </w:r>
      <w:r>
        <w:rPr>
          <w:i/>
          <w:vertAlign w:val="subscript"/>
        </w:rPr>
        <w:t>b</w:t>
      </w:r>
      <w:r>
        <w:t xml:space="preserve"> - </w:t>
      </w:r>
      <w:r>
        <w:rPr>
          <w:i/>
        </w:rPr>
        <w:t>p</w:t>
      </w:r>
      <w:r>
        <w:rPr>
          <w:vertAlign w:val="subscript"/>
        </w:rPr>
        <w:t>0</w:t>
      </w:r>
      <w:r>
        <w:t>)/[6(</w:t>
      </w:r>
      <w:r>
        <w:rPr>
          <w:i/>
        </w:rPr>
        <w:t>p</w:t>
      </w:r>
      <w:r>
        <w:rPr>
          <w:i/>
          <w:vertAlign w:val="subscript"/>
        </w:rPr>
        <w:t>b</w:t>
      </w:r>
      <w:r>
        <w:t xml:space="preserve"> + </w:t>
      </w:r>
      <w:r>
        <w:rPr>
          <w:i/>
        </w:rPr>
        <w:t>p</w:t>
      </w:r>
      <w:r>
        <w:rPr>
          <w:vertAlign w:val="subscript"/>
        </w:rPr>
        <w:t>0</w:t>
      </w:r>
      <w:r>
        <w:t>)], (6.52)</w:t>
      </w:r>
    </w:p>
    <w:p w:rsidR="00E35632" w:rsidRDefault="00E35632">
      <w:pPr>
        <w:pStyle w:val="ConsPlusNormal"/>
        <w:jc w:val="both"/>
      </w:pPr>
    </w:p>
    <w:p w:rsidR="00E35632" w:rsidRDefault="00E35632">
      <w:pPr>
        <w:pStyle w:val="ConsPlusNormal"/>
        <w:ind w:firstLine="540"/>
        <w:jc w:val="both"/>
      </w:pPr>
      <w:r>
        <w:t xml:space="preserve">где </w:t>
      </w:r>
      <w:r>
        <w:rPr>
          <w:i/>
        </w:rPr>
        <w:t>N</w:t>
      </w:r>
      <w:r>
        <w:rPr>
          <w:i/>
          <w:vertAlign w:val="subscript"/>
        </w:rPr>
        <w:t>a</w:t>
      </w:r>
      <w:r>
        <w:t xml:space="preserve"> и </w:t>
      </w:r>
      <w:r>
        <w:rPr>
          <w:i/>
        </w:rPr>
        <w:t>M</w:t>
      </w:r>
      <w:r>
        <w:rPr>
          <w:i/>
          <w:vertAlign w:val="subscript"/>
        </w:rPr>
        <w:t>a</w:t>
      </w:r>
      <w:r>
        <w:t xml:space="preserve"> - вертикальная составляющая расчетной нагрузки, кН, и момент, кН·м, приведенные к подошве фундамента при особом сочетании нагрузок;</w:t>
      </w:r>
    </w:p>
    <w:p w:rsidR="00E35632" w:rsidRDefault="00E35632">
      <w:pPr>
        <w:pStyle w:val="ConsPlusNormal"/>
        <w:spacing w:before="220"/>
        <w:ind w:firstLine="540"/>
        <w:jc w:val="both"/>
      </w:pPr>
      <w:r>
        <w:rPr>
          <w:i/>
        </w:rPr>
        <w:lastRenderedPageBreak/>
        <w:t>p</w:t>
      </w:r>
      <w:r>
        <w:rPr>
          <w:vertAlign w:val="subscript"/>
        </w:rPr>
        <w:t>0</w:t>
      </w:r>
      <w:r>
        <w:t xml:space="preserve"> и </w:t>
      </w:r>
      <w:r>
        <w:rPr>
          <w:i/>
        </w:rPr>
        <w:t>p</w:t>
      </w:r>
      <w:r>
        <w:rPr>
          <w:i/>
          <w:vertAlign w:val="subscript"/>
        </w:rPr>
        <w:t>b</w:t>
      </w:r>
      <w:r>
        <w:t xml:space="preserve"> - то же, что и в </w:t>
      </w:r>
      <w:hyperlink w:anchor="P4156">
        <w:r>
          <w:rPr>
            <w:color w:val="0000FF"/>
          </w:rPr>
          <w:t>формулах (6.49)</w:t>
        </w:r>
      </w:hyperlink>
      <w:r>
        <w:t xml:space="preserve"> и </w:t>
      </w:r>
      <w:hyperlink w:anchor="P4158">
        <w:r>
          <w:rPr>
            <w:color w:val="0000FF"/>
          </w:rPr>
          <w:t>(6.50)</w:t>
        </w:r>
      </w:hyperlink>
      <w:r>
        <w:t>.</w:t>
      </w:r>
    </w:p>
    <w:p w:rsidR="00E35632" w:rsidRDefault="00E35632">
      <w:pPr>
        <w:pStyle w:val="ConsPlusNormal"/>
        <w:jc w:val="both"/>
      </w:pPr>
      <w:r>
        <w:t xml:space="preserve">(в ред. </w:t>
      </w:r>
      <w:hyperlink r:id="rId770">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xml:space="preserve">В зависимости от соотношения между значениями </w:t>
      </w:r>
      <w:r>
        <w:rPr>
          <w:i/>
        </w:rPr>
        <w:t>e</w:t>
      </w:r>
      <w:r>
        <w:rPr>
          <w:i/>
          <w:vertAlign w:val="subscript"/>
        </w:rPr>
        <w:t>a</w:t>
      </w:r>
      <w:r>
        <w:t xml:space="preserve"> и </w:t>
      </w:r>
      <w:r>
        <w:rPr>
          <w:i/>
        </w:rPr>
        <w:t>e</w:t>
      </w:r>
      <w:r>
        <w:rPr>
          <w:i/>
          <w:vertAlign w:val="subscript"/>
        </w:rPr>
        <w:t>u</w:t>
      </w:r>
      <w:r>
        <w:t xml:space="preserve"> вертикальную составляющую силы предельного сопротивления основания </w:t>
      </w:r>
      <w:r>
        <w:rPr>
          <w:i/>
        </w:rPr>
        <w:t>N</w:t>
      </w:r>
      <w:r>
        <w:rPr>
          <w:i/>
          <w:vertAlign w:val="subscript"/>
        </w:rPr>
        <w:t>u,eq</w:t>
      </w:r>
      <w:r>
        <w:t>, кН, принимают:</w:t>
      </w:r>
    </w:p>
    <w:p w:rsidR="00E35632" w:rsidRDefault="00E35632">
      <w:pPr>
        <w:pStyle w:val="ConsPlusNormal"/>
        <w:jc w:val="both"/>
      </w:pPr>
    </w:p>
    <w:p w:rsidR="00E35632" w:rsidRDefault="00E35632">
      <w:pPr>
        <w:pStyle w:val="ConsPlusNormal"/>
        <w:jc w:val="center"/>
      </w:pPr>
      <w:bookmarkStart w:id="224" w:name="P4184"/>
      <w:bookmarkEnd w:id="224"/>
      <w:r>
        <w:t xml:space="preserve">при </w:t>
      </w:r>
      <w:r>
        <w:rPr>
          <w:i/>
        </w:rPr>
        <w:t>e</w:t>
      </w:r>
      <w:r>
        <w:rPr>
          <w:i/>
          <w:vertAlign w:val="subscript"/>
        </w:rPr>
        <w:t>a</w:t>
      </w:r>
      <w:r>
        <w:t xml:space="preserve"> &lt;= </w:t>
      </w:r>
      <w:r>
        <w:rPr>
          <w:i/>
        </w:rPr>
        <w:t>e</w:t>
      </w:r>
      <w:r>
        <w:rPr>
          <w:i/>
          <w:vertAlign w:val="subscript"/>
        </w:rPr>
        <w:t>u</w:t>
      </w:r>
      <w:r>
        <w:t xml:space="preserve"> </w:t>
      </w:r>
      <w:r>
        <w:rPr>
          <w:i/>
        </w:rPr>
        <w:t>N</w:t>
      </w:r>
      <w:r>
        <w:rPr>
          <w:i/>
          <w:vertAlign w:val="subscript"/>
        </w:rPr>
        <w:t>u,eq</w:t>
      </w:r>
      <w:r>
        <w:t xml:space="preserve"> = 0,5</w:t>
      </w:r>
      <w:r>
        <w:rPr>
          <w:i/>
        </w:rPr>
        <w:t>bl</w:t>
      </w:r>
      <w:r>
        <w:t>(</w:t>
      </w:r>
      <w:r>
        <w:rPr>
          <w:i/>
        </w:rPr>
        <w:t>p</w:t>
      </w:r>
      <w:r>
        <w:rPr>
          <w:i/>
          <w:vertAlign w:val="subscript"/>
        </w:rPr>
        <w:t>b</w:t>
      </w:r>
      <w:r>
        <w:t xml:space="preserve"> + </w:t>
      </w:r>
      <w:r>
        <w:rPr>
          <w:i/>
        </w:rPr>
        <w:t>p</w:t>
      </w:r>
      <w:r>
        <w:rPr>
          <w:vertAlign w:val="subscript"/>
        </w:rPr>
        <w:t>0</w:t>
      </w:r>
      <w:r>
        <w:t>); (6.53)</w:t>
      </w:r>
    </w:p>
    <w:p w:rsidR="00E35632" w:rsidRDefault="00E35632">
      <w:pPr>
        <w:pStyle w:val="ConsPlusNormal"/>
        <w:jc w:val="both"/>
      </w:pPr>
    </w:p>
    <w:p w:rsidR="00E35632" w:rsidRDefault="00E35632">
      <w:pPr>
        <w:pStyle w:val="ConsPlusNormal"/>
        <w:jc w:val="center"/>
      </w:pPr>
      <w:r>
        <w:t xml:space="preserve">при </w:t>
      </w:r>
      <w:r>
        <w:rPr>
          <w:i/>
        </w:rPr>
        <w:t>e</w:t>
      </w:r>
      <w:r>
        <w:rPr>
          <w:i/>
          <w:vertAlign w:val="subscript"/>
        </w:rPr>
        <w:t>a</w:t>
      </w:r>
      <w:r>
        <w:t xml:space="preserve"> &gt; </w:t>
      </w:r>
      <w:r>
        <w:rPr>
          <w:i/>
        </w:rPr>
        <w:t>e</w:t>
      </w:r>
      <w:r>
        <w:rPr>
          <w:i/>
          <w:vertAlign w:val="subscript"/>
        </w:rPr>
        <w:t>u</w:t>
      </w:r>
      <w:r>
        <w:t xml:space="preserve"> </w:t>
      </w:r>
      <w:r>
        <w:rPr>
          <w:i/>
        </w:rPr>
        <w:t>N</w:t>
      </w:r>
      <w:r>
        <w:rPr>
          <w:i/>
          <w:vertAlign w:val="subscript"/>
        </w:rPr>
        <w:t>u,eq</w:t>
      </w:r>
      <w:r>
        <w:t xml:space="preserve"> = </w:t>
      </w:r>
      <w:r>
        <w:rPr>
          <w:i/>
        </w:rPr>
        <w:t>blp</w:t>
      </w:r>
      <w:r>
        <w:rPr>
          <w:i/>
          <w:vertAlign w:val="subscript"/>
        </w:rPr>
        <w:t>b</w:t>
      </w:r>
      <w:r>
        <w:t>/(1 + 6</w:t>
      </w:r>
      <w:r>
        <w:rPr>
          <w:i/>
        </w:rPr>
        <w:t>e</w:t>
      </w:r>
      <w:r>
        <w:rPr>
          <w:i/>
          <w:vertAlign w:val="subscript"/>
        </w:rPr>
        <w:t>a</w:t>
      </w:r>
      <w:r>
        <w:t>/</w:t>
      </w:r>
      <w:r>
        <w:rPr>
          <w:i/>
        </w:rPr>
        <w:t>b</w:t>
      </w:r>
      <w:r>
        <w:t>). (6.54)</w:t>
      </w:r>
    </w:p>
    <w:p w:rsidR="00E35632" w:rsidRDefault="00E35632">
      <w:pPr>
        <w:pStyle w:val="ConsPlusNormal"/>
        <w:jc w:val="both"/>
      </w:pPr>
    </w:p>
    <w:p w:rsidR="00E35632" w:rsidRDefault="00E35632">
      <w:pPr>
        <w:pStyle w:val="ConsPlusNormal"/>
        <w:ind w:firstLine="540"/>
        <w:jc w:val="both"/>
      </w:pPr>
      <w:r>
        <w:t>6.13.5 При действии моментов от нагрузок особого сочетания в двух направлениях расчет сейсмостойкости основания по несущей способности должен выполняться раздельно на действие сил и моментов в каждом направлении независимо друг от друга.</w:t>
      </w:r>
    </w:p>
    <w:p w:rsidR="00E35632" w:rsidRDefault="00E35632">
      <w:pPr>
        <w:pStyle w:val="ConsPlusNormal"/>
        <w:spacing w:before="220"/>
        <w:ind w:firstLine="540"/>
        <w:jc w:val="both"/>
      </w:pPr>
      <w:r>
        <w:t>6.13.6 При расчете оснований и фундаментов на особое сочетание нагрузок с учетом сейсмических воздействий допускается частичный отрыв подошвы ленточного или столбчатого фундамента от грунта при выполнении следующих условий:</w:t>
      </w:r>
    </w:p>
    <w:p w:rsidR="00E35632" w:rsidRDefault="00E35632">
      <w:pPr>
        <w:pStyle w:val="ConsPlusNormal"/>
        <w:spacing w:before="220"/>
        <w:ind w:firstLine="540"/>
        <w:jc w:val="both"/>
      </w:pPr>
      <w:r>
        <w:t xml:space="preserve">- эксцентриситет </w:t>
      </w:r>
      <w:r>
        <w:rPr>
          <w:i/>
        </w:rPr>
        <w:t>e</w:t>
      </w:r>
      <w:r>
        <w:rPr>
          <w:i/>
          <w:vertAlign w:val="subscript"/>
        </w:rPr>
        <w:t>a</w:t>
      </w:r>
      <w:r>
        <w:t xml:space="preserve"> расчетной нагрузки не превышает одной трети ширины фундамента </w:t>
      </w:r>
      <w:r>
        <w:rPr>
          <w:i/>
        </w:rPr>
        <w:t>b</w:t>
      </w:r>
      <w:r>
        <w:t xml:space="preserve"> в плоскости действия опрокидывающего момента;</w:t>
      </w:r>
    </w:p>
    <w:p w:rsidR="00E35632" w:rsidRDefault="00E35632">
      <w:pPr>
        <w:pStyle w:val="ConsPlusNormal"/>
        <w:spacing w:before="220"/>
        <w:ind w:firstLine="540"/>
        <w:jc w:val="both"/>
      </w:pPr>
      <w:r>
        <w:t xml:space="preserve">- силу предельного сопротивления основания определяют для условного фундамента, размер подошвы которого в направлении действия момента равен размеру сжатой зоны </w:t>
      </w:r>
      <w:r>
        <w:rPr>
          <w:i/>
        </w:rPr>
        <w:t>b</w:t>
      </w:r>
      <w:r>
        <w:rPr>
          <w:i/>
          <w:vertAlign w:val="subscript"/>
        </w:rPr>
        <w:t>c</w:t>
      </w:r>
      <w:r>
        <w:t xml:space="preserve"> = 1,5(</w:t>
      </w:r>
      <w:r>
        <w:rPr>
          <w:i/>
        </w:rPr>
        <w:t>b</w:t>
      </w:r>
      <w:r>
        <w:t xml:space="preserve"> - 2</w:t>
      </w:r>
      <w:r>
        <w:rPr>
          <w:i/>
        </w:rPr>
        <w:t>e</w:t>
      </w:r>
      <w:r>
        <w:rPr>
          <w:i/>
          <w:vertAlign w:val="subscript"/>
        </w:rPr>
        <w:t>a</w:t>
      </w:r>
      <w:r>
        <w:t>);</w:t>
      </w:r>
    </w:p>
    <w:p w:rsidR="00E35632" w:rsidRDefault="00E35632">
      <w:pPr>
        <w:pStyle w:val="ConsPlusNormal"/>
        <w:spacing w:before="220"/>
        <w:ind w:firstLine="540"/>
        <w:jc w:val="both"/>
      </w:pPr>
      <w:r>
        <w:t>- максимальное краевое давление под подошвой фундамента, вычисленное с учетом его неполного контакта с грунтом, не превышает краевой ординаты эпюры предельного сопротивления основания.</w:t>
      </w:r>
    </w:p>
    <w:p w:rsidR="00E35632" w:rsidRDefault="00E35632">
      <w:pPr>
        <w:pStyle w:val="ConsPlusNormal"/>
        <w:spacing w:before="220"/>
        <w:ind w:firstLine="540"/>
        <w:jc w:val="both"/>
      </w:pPr>
      <w:r>
        <w:t>Максимальное расчетное давление по подошве фундамента вычисляют по формуле</w:t>
      </w:r>
    </w:p>
    <w:p w:rsidR="00E35632" w:rsidRDefault="00E35632">
      <w:pPr>
        <w:pStyle w:val="ConsPlusNormal"/>
        <w:jc w:val="both"/>
      </w:pPr>
    </w:p>
    <w:p w:rsidR="00E35632" w:rsidRDefault="00E35632">
      <w:pPr>
        <w:pStyle w:val="ConsPlusNormal"/>
        <w:jc w:val="center"/>
      </w:pPr>
      <w:r>
        <w:rPr>
          <w:i/>
        </w:rPr>
        <w:t>p</w:t>
      </w:r>
      <w:r>
        <w:rPr>
          <w:vertAlign w:val="subscript"/>
        </w:rPr>
        <w:t>max</w:t>
      </w:r>
      <w:r>
        <w:t xml:space="preserve"> = 2</w:t>
      </w:r>
      <w:r>
        <w:rPr>
          <w:i/>
        </w:rPr>
        <w:t>N</w:t>
      </w:r>
      <w:r>
        <w:rPr>
          <w:i/>
          <w:vertAlign w:val="subscript"/>
        </w:rPr>
        <w:t>a</w:t>
      </w:r>
      <w:r>
        <w:t>/[3</w:t>
      </w:r>
      <w:r>
        <w:rPr>
          <w:i/>
        </w:rPr>
        <w:t>l</w:t>
      </w:r>
      <w:r>
        <w:t>(</w:t>
      </w:r>
      <w:r>
        <w:rPr>
          <w:i/>
        </w:rPr>
        <w:t>b</w:t>
      </w:r>
      <w:r>
        <w:t xml:space="preserve">/2 - </w:t>
      </w:r>
      <w:r>
        <w:rPr>
          <w:i/>
        </w:rPr>
        <w:t>e</w:t>
      </w:r>
      <w:r>
        <w:rPr>
          <w:i/>
          <w:vertAlign w:val="subscript"/>
        </w:rPr>
        <w:t>a</w:t>
      </w:r>
      <w:r>
        <w:t xml:space="preserve">)] &lt;= </w:t>
      </w:r>
      <w:r>
        <w:rPr>
          <w:i/>
        </w:rPr>
        <w:t>p</w:t>
      </w:r>
      <w:r>
        <w:rPr>
          <w:i/>
          <w:vertAlign w:val="subscript"/>
        </w:rPr>
        <w:t>b</w:t>
      </w:r>
      <w:r>
        <w:t>, (6.55)</w:t>
      </w:r>
    </w:p>
    <w:p w:rsidR="00E35632" w:rsidRDefault="00E35632">
      <w:pPr>
        <w:pStyle w:val="ConsPlusNormal"/>
        <w:jc w:val="both"/>
      </w:pPr>
    </w:p>
    <w:p w:rsidR="00E35632" w:rsidRDefault="00E35632">
      <w:pPr>
        <w:pStyle w:val="ConsPlusNormal"/>
        <w:ind w:firstLine="540"/>
        <w:jc w:val="both"/>
      </w:pPr>
      <w:r>
        <w:t xml:space="preserve">где </w:t>
      </w:r>
      <w:r>
        <w:rPr>
          <w:i/>
        </w:rPr>
        <w:t>N</w:t>
      </w:r>
      <w:r>
        <w:rPr>
          <w:i/>
          <w:vertAlign w:val="subscript"/>
        </w:rPr>
        <w:t>a</w:t>
      </w:r>
      <w:r>
        <w:t xml:space="preserve"> и </w:t>
      </w:r>
      <w:r>
        <w:rPr>
          <w:i/>
        </w:rPr>
        <w:t>e</w:t>
      </w:r>
      <w:r>
        <w:rPr>
          <w:i/>
          <w:vertAlign w:val="subscript"/>
        </w:rPr>
        <w:t>a</w:t>
      </w:r>
      <w:r>
        <w:t xml:space="preserve"> - то же, что и в </w:t>
      </w:r>
      <w:hyperlink w:anchor="P4175">
        <w:r>
          <w:rPr>
            <w:color w:val="0000FF"/>
          </w:rPr>
          <w:t>формуле (6.51)</w:t>
        </w:r>
      </w:hyperlink>
      <w:r>
        <w:t xml:space="preserve">, причем </w:t>
      </w:r>
      <w:r>
        <w:rPr>
          <w:i/>
        </w:rPr>
        <w:t>e</w:t>
      </w:r>
      <w:r>
        <w:rPr>
          <w:i/>
          <w:vertAlign w:val="subscript"/>
        </w:rPr>
        <w:t>a</w:t>
      </w:r>
      <w:r>
        <w:t xml:space="preserve"> &gt; b/6.</w:t>
      </w:r>
    </w:p>
    <w:p w:rsidR="00E35632" w:rsidRDefault="00E35632">
      <w:pPr>
        <w:pStyle w:val="ConsPlusNormal"/>
        <w:jc w:val="both"/>
      </w:pPr>
      <w:r>
        <w:t xml:space="preserve">(в ред. </w:t>
      </w:r>
      <w:hyperlink r:id="rId771">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xml:space="preserve">Значение </w:t>
      </w:r>
      <w:r>
        <w:rPr>
          <w:i/>
        </w:rPr>
        <w:t>p</w:t>
      </w:r>
      <w:r>
        <w:rPr>
          <w:i/>
          <w:vertAlign w:val="subscript"/>
        </w:rPr>
        <w:t>b</w:t>
      </w:r>
      <w:r>
        <w:t xml:space="preserve"> вычисляют по </w:t>
      </w:r>
      <w:hyperlink w:anchor="P4158">
        <w:r>
          <w:rPr>
            <w:color w:val="0000FF"/>
          </w:rPr>
          <w:t>формуле (6.50)</w:t>
        </w:r>
      </w:hyperlink>
      <w:r>
        <w:t xml:space="preserve">, но для фундамента, имеющего условную ширину </w:t>
      </w:r>
      <w:r>
        <w:rPr>
          <w:i/>
        </w:rPr>
        <w:t>b</w:t>
      </w:r>
      <w:r>
        <w:rPr>
          <w:i/>
          <w:vertAlign w:val="subscript"/>
        </w:rPr>
        <w:t>c</w:t>
      </w:r>
      <w:r>
        <w:t>.</w:t>
      </w:r>
    </w:p>
    <w:p w:rsidR="00E35632" w:rsidRDefault="00E35632">
      <w:pPr>
        <w:pStyle w:val="ConsPlusNormal"/>
        <w:jc w:val="both"/>
      </w:pPr>
      <w:r>
        <w:t xml:space="preserve">(в ред. </w:t>
      </w:r>
      <w:hyperlink r:id="rId772">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xml:space="preserve">При </w:t>
      </w:r>
      <w:r>
        <w:rPr>
          <w:i/>
        </w:rPr>
        <w:t>e</w:t>
      </w:r>
      <w:r>
        <w:rPr>
          <w:i/>
          <w:vertAlign w:val="subscript"/>
        </w:rPr>
        <w:t>a</w:t>
      </w:r>
      <w:r>
        <w:t xml:space="preserve"> &gt; b/6 </w:t>
      </w:r>
      <w:hyperlink w:anchor="P4184">
        <w:r>
          <w:rPr>
            <w:color w:val="0000FF"/>
          </w:rPr>
          <w:t>формула (6.53)</w:t>
        </w:r>
      </w:hyperlink>
      <w:r>
        <w:t xml:space="preserve"> приобретает вид</w:t>
      </w:r>
    </w:p>
    <w:p w:rsidR="00E35632" w:rsidRDefault="00E35632">
      <w:pPr>
        <w:pStyle w:val="ConsPlusNormal"/>
        <w:jc w:val="both"/>
      </w:pPr>
    </w:p>
    <w:p w:rsidR="00E35632" w:rsidRDefault="00E35632">
      <w:pPr>
        <w:pStyle w:val="ConsPlusNormal"/>
        <w:jc w:val="center"/>
      </w:pPr>
      <w:r>
        <w:rPr>
          <w:i/>
        </w:rPr>
        <w:t>N</w:t>
      </w:r>
      <w:r>
        <w:rPr>
          <w:i/>
          <w:vertAlign w:val="subscript"/>
        </w:rPr>
        <w:t>u,eq</w:t>
      </w:r>
      <w:r>
        <w:t xml:space="preserve"> = 0,5</w:t>
      </w:r>
      <w:r>
        <w:rPr>
          <w:i/>
        </w:rPr>
        <w:t>b</w:t>
      </w:r>
      <w:r>
        <w:rPr>
          <w:i/>
          <w:vertAlign w:val="subscript"/>
        </w:rPr>
        <w:t>c</w:t>
      </w:r>
      <w:r>
        <w:rPr>
          <w:i/>
        </w:rPr>
        <w:t>lp</w:t>
      </w:r>
      <w:r>
        <w:rPr>
          <w:i/>
          <w:vertAlign w:val="subscript"/>
        </w:rPr>
        <w:t>b</w:t>
      </w:r>
      <w:r>
        <w:t>. (6.56)</w:t>
      </w:r>
    </w:p>
    <w:p w:rsidR="00E35632" w:rsidRDefault="00E35632">
      <w:pPr>
        <w:pStyle w:val="ConsPlusNormal"/>
        <w:jc w:val="both"/>
      </w:pPr>
    </w:p>
    <w:p w:rsidR="00E35632" w:rsidRDefault="00E35632">
      <w:pPr>
        <w:pStyle w:val="ConsPlusNormal"/>
        <w:ind w:firstLine="540"/>
        <w:jc w:val="both"/>
      </w:pPr>
      <w:r>
        <w:t xml:space="preserve">6.13.7 При невозможности заглубления фундаментов здания или его отсека на одном уровне в дисперсных грунтах допустимую разность отметок </w:t>
      </w:r>
      <w:r>
        <w:rPr>
          <w:noProof/>
          <w:position w:val="-3"/>
        </w:rPr>
        <w:drawing>
          <wp:inline distT="0" distB="0" distL="0" distR="0">
            <wp:extent cx="241935" cy="182880"/>
            <wp:effectExtent l="0" t="0" r="0" b="0"/>
            <wp:docPr id="49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241935" cy="182880"/>
                    </a:xfrm>
                    <a:prstGeom prst="rect">
                      <a:avLst/>
                    </a:prstGeom>
                    <a:noFill/>
                    <a:ln>
                      <a:noFill/>
                    </a:ln>
                  </pic:spPr>
                </pic:pic>
              </a:graphicData>
            </a:graphic>
          </wp:inline>
        </w:drawing>
      </w:r>
      <w:r>
        <w:t xml:space="preserve"> подошвы соседних фундаментов следует определять исходя из условия </w:t>
      </w:r>
      <w:hyperlink w:anchor="P800">
        <w:r>
          <w:rPr>
            <w:color w:val="0000FF"/>
          </w:rPr>
          <w:t>формулы (5.5)</w:t>
        </w:r>
      </w:hyperlink>
      <w:r>
        <w:t xml:space="preserve">, в котором расчетное значение угла внутреннего трения грунта должно быть уменьшено на величину </w:t>
      </w:r>
      <w:r>
        <w:rPr>
          <w:noProof/>
          <w:position w:val="-6"/>
        </w:rPr>
        <w:drawing>
          <wp:inline distT="0" distB="0" distL="0" distR="0">
            <wp:extent cx="267970" cy="226060"/>
            <wp:effectExtent l="0" t="0" r="0" b="0"/>
            <wp:docPr id="50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67970" cy="226060"/>
                    </a:xfrm>
                    <a:prstGeom prst="rect">
                      <a:avLst/>
                    </a:prstGeom>
                    <a:noFill/>
                    <a:ln>
                      <a:noFill/>
                    </a:ln>
                  </pic:spPr>
                </pic:pic>
              </a:graphicData>
            </a:graphic>
          </wp:inline>
        </w:drawing>
      </w:r>
      <w:r>
        <w:t xml:space="preserve">, имеющую те же значения, что и в </w:t>
      </w:r>
      <w:hyperlink w:anchor="P4149">
        <w:r>
          <w:rPr>
            <w:color w:val="0000FF"/>
          </w:rPr>
          <w:t>формуле (6.48)</w:t>
        </w:r>
      </w:hyperlink>
      <w:r>
        <w:t>.</w:t>
      </w:r>
    </w:p>
    <w:p w:rsidR="00E35632" w:rsidRDefault="00E35632">
      <w:pPr>
        <w:pStyle w:val="ConsPlusNormal"/>
        <w:jc w:val="both"/>
      </w:pPr>
      <w:r>
        <w:t xml:space="preserve">(в ред. </w:t>
      </w:r>
      <w:hyperlink r:id="rId775">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Ленточные фундаменты примыкающих частей отсеков здания должны иметь одинаковое заглубление на протяжении не менее 1 м от осадочного шва. Столбчатые фундаменты, разделенные осадочным швом, должны располагаться на одном уровне.</w:t>
      </w:r>
    </w:p>
    <w:p w:rsidR="00E35632" w:rsidRDefault="00E35632">
      <w:pPr>
        <w:pStyle w:val="ConsPlusNormal"/>
        <w:spacing w:before="220"/>
        <w:ind w:firstLine="540"/>
        <w:jc w:val="both"/>
      </w:pPr>
      <w:r>
        <w:t xml:space="preserve">6.13.8 При строительстве на склонах в сейсмических районах следует выполнять требования </w:t>
      </w:r>
      <w:hyperlink r:id="rId776">
        <w:r>
          <w:rPr>
            <w:color w:val="0000FF"/>
          </w:rPr>
          <w:t>СП 116.13330</w:t>
        </w:r>
      </w:hyperlink>
      <w:r>
        <w:t>, а устойчивость оснований проверять с учетом наклона поверхности грунта.</w:t>
      </w:r>
    </w:p>
    <w:p w:rsidR="00E35632" w:rsidRDefault="00E35632">
      <w:pPr>
        <w:pStyle w:val="ConsPlusTitle"/>
        <w:spacing w:before="220"/>
        <w:ind w:firstLine="540"/>
        <w:jc w:val="both"/>
        <w:outlineLvl w:val="2"/>
      </w:pPr>
      <w:bookmarkStart w:id="225" w:name="P4209"/>
      <w:bookmarkEnd w:id="225"/>
      <w:r>
        <w:t>6.14 Особенности проектирования оснований сооружений, возводимых вблизи источников динамических воздействий</w:t>
      </w:r>
    </w:p>
    <w:p w:rsidR="00E35632" w:rsidRDefault="00E35632">
      <w:pPr>
        <w:pStyle w:val="ConsPlusNormal"/>
        <w:spacing w:before="220"/>
        <w:ind w:firstLine="540"/>
        <w:jc w:val="both"/>
      </w:pPr>
      <w:bookmarkStart w:id="226" w:name="P4210"/>
      <w:bookmarkEnd w:id="226"/>
      <w:r>
        <w:t>6.14.1 Проектирование оснований сооружений должно осуществляться с учетом возможных динамических воздействий:</w:t>
      </w:r>
    </w:p>
    <w:p w:rsidR="00E35632" w:rsidRDefault="00E35632">
      <w:pPr>
        <w:pStyle w:val="ConsPlusNormal"/>
        <w:spacing w:before="220"/>
        <w:ind w:firstLine="540"/>
        <w:jc w:val="both"/>
      </w:pPr>
      <w:r>
        <w:t>а) стационарного оборудования с динамическими нагрузками, установленного в существующих и проектируемых сооружениях;</w:t>
      </w:r>
    </w:p>
    <w:p w:rsidR="00E35632" w:rsidRDefault="00E35632">
      <w:pPr>
        <w:pStyle w:val="ConsPlusNormal"/>
        <w:spacing w:before="220"/>
        <w:ind w:firstLine="540"/>
        <w:jc w:val="both"/>
      </w:pPr>
      <w:r>
        <w:t>б) автомобильного и железнодорожного транспорта и метрополитена;</w:t>
      </w:r>
    </w:p>
    <w:p w:rsidR="00E35632" w:rsidRDefault="00E35632">
      <w:pPr>
        <w:pStyle w:val="ConsPlusNormal"/>
        <w:spacing w:before="220"/>
        <w:ind w:firstLine="540"/>
        <w:jc w:val="both"/>
      </w:pPr>
      <w:r>
        <w:t>в) строительного оборудования;</w:t>
      </w:r>
    </w:p>
    <w:p w:rsidR="00E35632" w:rsidRDefault="00E35632">
      <w:pPr>
        <w:pStyle w:val="ConsPlusNormal"/>
        <w:spacing w:before="220"/>
        <w:ind w:firstLine="540"/>
        <w:jc w:val="both"/>
      </w:pPr>
      <w:r>
        <w:t>г) прочих источников (взрывные работы и т.д.).</w:t>
      </w:r>
    </w:p>
    <w:p w:rsidR="00E35632" w:rsidRDefault="00E35632">
      <w:pPr>
        <w:pStyle w:val="ConsPlusNormal"/>
        <w:spacing w:before="220"/>
        <w:ind w:firstLine="540"/>
        <w:jc w:val="both"/>
      </w:pPr>
      <w:r>
        <w:t>Проектирование оснований при динамических воздействиях проводят на основе инструментальных измерений или расчетного прогноза колебаний грунта.</w:t>
      </w:r>
    </w:p>
    <w:p w:rsidR="00E35632" w:rsidRDefault="00E35632">
      <w:pPr>
        <w:pStyle w:val="ConsPlusNormal"/>
        <w:spacing w:before="220"/>
        <w:ind w:firstLine="540"/>
        <w:jc w:val="both"/>
      </w:pPr>
      <w:r>
        <w:t xml:space="preserve">6.14.2 Расчет оснований по несущей способности выполняют в тех же случаях, которые предусмотрены в </w:t>
      </w:r>
      <w:hyperlink w:anchor="P382">
        <w:r>
          <w:rPr>
            <w:color w:val="0000FF"/>
          </w:rPr>
          <w:t>5.1.3</w:t>
        </w:r>
      </w:hyperlink>
      <w:r>
        <w:t>, с учетом объемных сил инерции и динамических нагрузок от сооружения, для которых принимают наиболее невыгодное направление.</w:t>
      </w:r>
    </w:p>
    <w:p w:rsidR="00E35632" w:rsidRDefault="00E35632">
      <w:pPr>
        <w:pStyle w:val="ConsPlusNormal"/>
        <w:spacing w:before="220"/>
        <w:ind w:firstLine="540"/>
        <w:jc w:val="both"/>
      </w:pPr>
      <w:bookmarkStart w:id="227" w:name="P4217"/>
      <w:bookmarkEnd w:id="227"/>
      <w:r>
        <w:t xml:space="preserve">6.14.3 Среднее давление от статических нагрузок под подошвой фундамента </w:t>
      </w:r>
      <w:r>
        <w:rPr>
          <w:i/>
        </w:rPr>
        <w:t>p</w:t>
      </w:r>
      <w:r>
        <w:t>, кПа, в пределах зоны, где скорость колебаний поверхности грунта более 15 мм/с (от импульсных источников динамических воздействий) или 2 мм/с (от прочих источников), должно удовлетворять условию</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670560" cy="251460"/>
            <wp:effectExtent l="0" t="0" r="0" b="0"/>
            <wp:docPr id="50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670560" cy="251460"/>
                    </a:xfrm>
                    <a:prstGeom prst="rect">
                      <a:avLst/>
                    </a:prstGeom>
                    <a:noFill/>
                    <a:ln>
                      <a:noFill/>
                    </a:ln>
                  </pic:spPr>
                </pic:pic>
              </a:graphicData>
            </a:graphic>
          </wp:inline>
        </w:drawing>
      </w:r>
      <w:r>
        <w:t xml:space="preserve"> (6.57)</w:t>
      </w:r>
    </w:p>
    <w:p w:rsidR="00E35632" w:rsidRDefault="00E35632">
      <w:pPr>
        <w:pStyle w:val="ConsPlusNormal"/>
        <w:jc w:val="both"/>
      </w:pPr>
    </w:p>
    <w:p w:rsidR="00E35632" w:rsidRDefault="00E35632">
      <w:pPr>
        <w:pStyle w:val="ConsPlusNormal"/>
        <w:ind w:firstLine="540"/>
        <w:jc w:val="both"/>
      </w:pPr>
      <w:r>
        <w:t xml:space="preserve">где </w:t>
      </w:r>
      <w:r>
        <w:rPr>
          <w:noProof/>
          <w:position w:val="-8"/>
        </w:rPr>
        <w:drawing>
          <wp:inline distT="0" distB="0" distL="0" distR="0">
            <wp:extent cx="241935" cy="251460"/>
            <wp:effectExtent l="0" t="0" r="0" b="0"/>
            <wp:docPr id="50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 коэффициент условий работы грунтов основания при динамических воздействиях, принимаемый для мелких и пылеватых водонасыщенных песков и глинистых грунтов текучей консистенции </w:t>
      </w:r>
      <w:r>
        <w:rPr>
          <w:noProof/>
          <w:position w:val="-8"/>
        </w:rPr>
        <w:drawing>
          <wp:inline distT="0" distB="0" distL="0" distR="0">
            <wp:extent cx="636270" cy="251460"/>
            <wp:effectExtent l="0" t="0" r="0" b="0"/>
            <wp:docPr id="50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636270" cy="251460"/>
                    </a:xfrm>
                    <a:prstGeom prst="rect">
                      <a:avLst/>
                    </a:prstGeom>
                    <a:noFill/>
                    <a:ln>
                      <a:noFill/>
                    </a:ln>
                  </pic:spPr>
                </pic:pic>
              </a:graphicData>
            </a:graphic>
          </wp:inline>
        </w:drawing>
      </w:r>
      <w:r>
        <w:t xml:space="preserve">; для всех остальных видов и состояний грунтов </w:t>
      </w:r>
      <w:r>
        <w:rPr>
          <w:noProof/>
          <w:position w:val="-8"/>
        </w:rPr>
        <w:drawing>
          <wp:inline distT="0" distB="0" distL="0" distR="0">
            <wp:extent cx="479425" cy="251460"/>
            <wp:effectExtent l="0" t="0" r="0" b="0"/>
            <wp:docPr id="50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479425" cy="251460"/>
                    </a:xfrm>
                    <a:prstGeom prst="rect">
                      <a:avLst/>
                    </a:prstGeom>
                    <a:noFill/>
                    <a:ln>
                      <a:noFill/>
                    </a:ln>
                  </pic:spPr>
                </pic:pic>
              </a:graphicData>
            </a:graphic>
          </wp:inline>
        </w:drawing>
      </w:r>
      <w:r>
        <w:t>;</w:t>
      </w:r>
    </w:p>
    <w:p w:rsidR="00E35632" w:rsidRDefault="00E35632">
      <w:pPr>
        <w:pStyle w:val="ConsPlusNormal"/>
        <w:spacing w:before="220"/>
        <w:ind w:firstLine="540"/>
        <w:jc w:val="both"/>
      </w:pPr>
      <w:r>
        <w:rPr>
          <w:i/>
        </w:rPr>
        <w:t>R</w:t>
      </w:r>
      <w:r>
        <w:t xml:space="preserve"> - расчетное сопротивление грунта основания, кПа, определяемое в соответствии с требованиями </w:t>
      </w:r>
      <w:hyperlink w:anchor="P375">
        <w:r>
          <w:rPr>
            <w:color w:val="0000FF"/>
          </w:rPr>
          <w:t>раздела 5</w:t>
        </w:r>
      </w:hyperlink>
      <w:r>
        <w:t>.</w:t>
      </w:r>
    </w:p>
    <w:p w:rsidR="00E35632" w:rsidRDefault="00E35632">
      <w:pPr>
        <w:pStyle w:val="ConsPlusNormal"/>
        <w:spacing w:before="220"/>
        <w:ind w:firstLine="540"/>
        <w:jc w:val="both"/>
      </w:pPr>
      <w:r>
        <w:t xml:space="preserve">6.14.3а Скорость колебаний поверхности грунта определяется на основе натурных измерений, а при невозможности выполнения измерений - на основе расчета (согласно указаниям </w:t>
      </w:r>
      <w:hyperlink r:id="rId781">
        <w:r>
          <w:rPr>
            <w:color w:val="0000FF"/>
          </w:rPr>
          <w:t>СП 26.13330</w:t>
        </w:r>
      </w:hyperlink>
      <w:r>
        <w:t>). За скорость принимают:</w:t>
      </w:r>
    </w:p>
    <w:p w:rsidR="00E35632" w:rsidRDefault="00E35632">
      <w:pPr>
        <w:pStyle w:val="ConsPlusNormal"/>
        <w:spacing w:before="220"/>
        <w:ind w:firstLine="540"/>
        <w:jc w:val="both"/>
      </w:pPr>
      <w:r>
        <w:t>- для импульсных и периодических источников динамических воздействий - пиковое значение модуля вектора скорости;</w:t>
      </w:r>
    </w:p>
    <w:p w:rsidR="00E35632" w:rsidRDefault="00E35632">
      <w:pPr>
        <w:pStyle w:val="ConsPlusNormal"/>
        <w:spacing w:before="220"/>
        <w:ind w:firstLine="540"/>
        <w:jc w:val="both"/>
      </w:pPr>
      <w:r>
        <w:t>- для случайных источников - среднеквадратическое значение скорости.</w:t>
      </w:r>
    </w:p>
    <w:p w:rsidR="00E35632" w:rsidRDefault="00E35632">
      <w:pPr>
        <w:pStyle w:val="ConsPlusNormal"/>
        <w:spacing w:before="220"/>
        <w:ind w:firstLine="540"/>
        <w:jc w:val="both"/>
      </w:pPr>
      <w:r>
        <w:t>В условиях городской среды при динамических воздействиях от множественных источников колебания следует рассматривать как случайные.</w:t>
      </w:r>
    </w:p>
    <w:p w:rsidR="00E35632" w:rsidRDefault="00E35632">
      <w:pPr>
        <w:pStyle w:val="ConsPlusNormal"/>
        <w:jc w:val="both"/>
      </w:pPr>
      <w:r>
        <w:t xml:space="preserve">(п. 6.14.3а введен </w:t>
      </w:r>
      <w:hyperlink r:id="rId782">
        <w:r>
          <w:rPr>
            <w:color w:val="0000FF"/>
          </w:rPr>
          <w:t>Изменением N 3</w:t>
        </w:r>
      </w:hyperlink>
      <w:r>
        <w:t>, утв. Приказом Минстроя России от 22.11.2019 N 722/пр)</w:t>
      </w:r>
    </w:p>
    <w:p w:rsidR="00E35632" w:rsidRDefault="00E35632">
      <w:pPr>
        <w:pStyle w:val="ConsPlusNormal"/>
        <w:spacing w:before="220"/>
        <w:ind w:firstLine="540"/>
        <w:jc w:val="both"/>
      </w:pPr>
      <w:r>
        <w:t xml:space="preserve">6.14.4 Для мелких и пылеватых водонасыщенных песков и глинистых грунтов текучей консистенции в пределах зон, указанных в </w:t>
      </w:r>
      <w:hyperlink w:anchor="P4217">
        <w:r>
          <w:rPr>
            <w:color w:val="0000FF"/>
          </w:rPr>
          <w:t>6.14.3</w:t>
        </w:r>
      </w:hyperlink>
      <w:r>
        <w:t xml:space="preserve">, необходимо проводить расчет длительных осадок от совместного действия статических и динамических нагрузок (виброползучесть). Для определения осадок виброползучести допускается использовать лабораторные и полевые </w:t>
      </w:r>
      <w:r>
        <w:lastRenderedPageBreak/>
        <w:t>испытания грунтов.</w:t>
      </w:r>
    </w:p>
    <w:p w:rsidR="00E35632" w:rsidRDefault="00E35632">
      <w:pPr>
        <w:pStyle w:val="ConsPlusNormal"/>
        <w:spacing w:before="220"/>
        <w:ind w:firstLine="540"/>
        <w:jc w:val="both"/>
      </w:pPr>
      <w:r>
        <w:t xml:space="preserve">Лабораторные испытания грунтов следует проводить с воспроизведением статических и динамических напряжений, соответствующих глубине залегания испытываемого грунта, с последующим суммированием полученных относительных линейных деформаций виброползучести </w:t>
      </w:r>
      <w:r>
        <w:rPr>
          <w:noProof/>
          <w:position w:val="-8"/>
        </w:rPr>
        <w:drawing>
          <wp:inline distT="0" distB="0" distL="0" distR="0">
            <wp:extent cx="182880" cy="250825"/>
            <wp:effectExtent l="0" t="0" r="0" b="0"/>
            <wp:docPr id="50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83"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Требования к проведению полевых штамповых испытаний грунтов по определению модуля общей деформации (уменьшенного значения модуля деформации грунтов) приведены в </w:t>
      </w:r>
      <w:hyperlink w:anchor="P8334">
        <w:r>
          <w:rPr>
            <w:color w:val="0000FF"/>
          </w:rPr>
          <w:t>[7]</w:t>
        </w:r>
      </w:hyperlink>
      <w:r>
        <w:t xml:space="preserve">. Дальнейший расчет полных осадок, включающих статическую и динамическую составляющие, допускается проводить в соответствии с </w:t>
      </w:r>
      <w:hyperlink w:anchor="P805">
        <w:r>
          <w:rPr>
            <w:color w:val="0000FF"/>
          </w:rPr>
          <w:t>5.6</w:t>
        </w:r>
      </w:hyperlink>
      <w:r>
        <w:t>, принимая при этом уменьшенное значение модуля деформации грунтов.</w:t>
      </w:r>
    </w:p>
    <w:p w:rsidR="00E35632" w:rsidRDefault="00E35632">
      <w:pPr>
        <w:pStyle w:val="ConsPlusNormal"/>
        <w:spacing w:before="220"/>
        <w:ind w:firstLine="540"/>
        <w:jc w:val="both"/>
      </w:pPr>
      <w:bookmarkStart w:id="228" w:name="P4231"/>
      <w:bookmarkEnd w:id="228"/>
      <w:r>
        <w:t>6.14.5 При расчете колебаний сооружений с учетом взаимодействия с основанием для оценки прочности несущих конструкций сооружений и выполнения санитарных норм допускается принимать, что основание обладает линейно-упругими свойствами.</w:t>
      </w:r>
    </w:p>
    <w:p w:rsidR="00E35632" w:rsidRDefault="00E35632">
      <w:pPr>
        <w:pStyle w:val="ConsPlusNormal"/>
        <w:spacing w:before="220"/>
        <w:ind w:firstLine="540"/>
        <w:jc w:val="both"/>
      </w:pPr>
      <w:r>
        <w:t>6.14.6 Для выполнения требований расчета оснований по несущей способности и по деформациям следует снижать параметры динамических воздействий в их источнике (замена технологического процесса, перемещение источника, регулирование в источнике, активная виброизоляция и др.) или на путях распространения колебаний от источника (устройство экранов в виде стенок или траншей, изменение массы фундамента - приемника колебаний или жесткости его основания и др.). В дополнение к указанным мероприятиям или в качестве самостоятельной меры возможно увеличение заглубления фундамента, размеров его подошвы и т.д.</w:t>
      </w:r>
    </w:p>
    <w:p w:rsidR="00E35632" w:rsidRDefault="00E35632">
      <w:pPr>
        <w:pStyle w:val="ConsPlusNormal"/>
        <w:spacing w:before="220"/>
        <w:ind w:firstLine="540"/>
        <w:jc w:val="both"/>
      </w:pPr>
      <w:r>
        <w:t xml:space="preserve">6.14.7 Для существующих сооружений при появлении вблизи них источников динамических воздействий, указанных в </w:t>
      </w:r>
      <w:hyperlink w:anchor="P4210">
        <w:r>
          <w:rPr>
            <w:color w:val="0000FF"/>
          </w:rPr>
          <w:t>6.14.1</w:t>
        </w:r>
      </w:hyperlink>
      <w:r>
        <w:t xml:space="preserve">, необходимо проводить расчеты, указанные в </w:t>
      </w:r>
      <w:hyperlink w:anchor="P4217">
        <w:r>
          <w:rPr>
            <w:color w:val="0000FF"/>
          </w:rPr>
          <w:t>6.14.3</w:t>
        </w:r>
      </w:hyperlink>
      <w:r>
        <w:t xml:space="preserve"> - </w:t>
      </w:r>
      <w:hyperlink w:anchor="P4231">
        <w:r>
          <w:rPr>
            <w:color w:val="0000FF"/>
          </w:rPr>
          <w:t>6.14.5</w:t>
        </w:r>
      </w:hyperlink>
      <w:r>
        <w:t>.</w:t>
      </w:r>
    </w:p>
    <w:p w:rsidR="00E35632" w:rsidRDefault="00E35632">
      <w:pPr>
        <w:pStyle w:val="ConsPlusNormal"/>
        <w:jc w:val="both"/>
      </w:pPr>
    </w:p>
    <w:p w:rsidR="00E35632" w:rsidRDefault="00E35632">
      <w:pPr>
        <w:pStyle w:val="ConsPlusTitle"/>
        <w:ind w:firstLine="540"/>
        <w:jc w:val="both"/>
        <w:outlineLvl w:val="1"/>
      </w:pPr>
      <w:r>
        <w:t>7 Особенности проектирования оснований опор воздушных линий электропередачи</w:t>
      </w:r>
    </w:p>
    <w:p w:rsidR="00E35632" w:rsidRDefault="00E35632">
      <w:pPr>
        <w:pStyle w:val="ConsPlusNormal"/>
        <w:jc w:val="both"/>
      </w:pPr>
    </w:p>
    <w:p w:rsidR="00E35632" w:rsidRDefault="00E35632">
      <w:pPr>
        <w:pStyle w:val="ConsPlusNormal"/>
        <w:ind w:firstLine="540"/>
        <w:jc w:val="both"/>
      </w:pPr>
      <w:r>
        <w:t>7.1 Требования настоящего раздела должны соблюдаться при проектировании оснований опор воздушных линий электропередачи и опор открытых распределительных подстанций напряжением от 1 кВ и выше.</w:t>
      </w:r>
    </w:p>
    <w:p w:rsidR="00E35632" w:rsidRDefault="00E35632">
      <w:pPr>
        <w:pStyle w:val="ConsPlusNormal"/>
        <w:spacing w:before="220"/>
        <w:ind w:firstLine="540"/>
        <w:jc w:val="both"/>
      </w:pPr>
      <w:r>
        <w:t>По характеру нагружения опоры подразделяют на промежуточные, анкерные, угловые и специальные, применяемые на больших переходах.</w:t>
      </w:r>
    </w:p>
    <w:p w:rsidR="00E35632" w:rsidRDefault="00E35632">
      <w:pPr>
        <w:pStyle w:val="ConsPlusNormal"/>
        <w:spacing w:before="220"/>
        <w:ind w:firstLine="540"/>
        <w:jc w:val="both"/>
      </w:pPr>
      <w:bookmarkStart w:id="229" w:name="P4239"/>
      <w:bookmarkEnd w:id="229"/>
      <w:r>
        <w:t xml:space="preserve">7.2 Расчетные характеристики грунтов следует устанавливать в соответствии с требованиями </w:t>
      </w:r>
      <w:hyperlink w:anchor="P503">
        <w:r>
          <w:rPr>
            <w:color w:val="0000FF"/>
          </w:rPr>
          <w:t>5.3</w:t>
        </w:r>
      </w:hyperlink>
      <w:r>
        <w:t>.</w:t>
      </w:r>
    </w:p>
    <w:p w:rsidR="00E35632" w:rsidRDefault="00E35632">
      <w:pPr>
        <w:pStyle w:val="ConsPlusNormal"/>
        <w:spacing w:before="220"/>
        <w:ind w:firstLine="540"/>
        <w:jc w:val="both"/>
      </w:pPr>
      <w:r>
        <w:t xml:space="preserve">При расчете оснований по деформациям значение коэффициента надежности по грунту </w:t>
      </w:r>
      <w:r>
        <w:rPr>
          <w:noProof/>
          <w:position w:val="-10"/>
        </w:rPr>
        <w:drawing>
          <wp:inline distT="0" distB="0" distL="0" distR="0">
            <wp:extent cx="182880" cy="267970"/>
            <wp:effectExtent l="0" t="0" r="0" b="0"/>
            <wp:docPr id="50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82880" cy="267970"/>
                    </a:xfrm>
                    <a:prstGeom prst="rect">
                      <a:avLst/>
                    </a:prstGeom>
                    <a:noFill/>
                    <a:ln>
                      <a:noFill/>
                    </a:ln>
                  </pic:spPr>
                </pic:pic>
              </a:graphicData>
            </a:graphic>
          </wp:inline>
        </w:drawing>
      </w:r>
      <w:r>
        <w:t xml:space="preserve"> допускается принимать равным единице. Для массовых опор пониженного уровня ответственности нормативные значения характеристик допускается принимать по таблицам </w:t>
      </w:r>
      <w:hyperlink w:anchor="P5118">
        <w:r>
          <w:rPr>
            <w:color w:val="0000FF"/>
          </w:rPr>
          <w:t>приложения А</w:t>
        </w:r>
      </w:hyperlink>
      <w:r>
        <w:t xml:space="preserve">, причем значения </w:t>
      </w:r>
      <w:r>
        <w:rPr>
          <w:noProof/>
          <w:position w:val="-8"/>
        </w:rPr>
        <w:drawing>
          <wp:inline distT="0" distB="0" distL="0" distR="0">
            <wp:extent cx="182880" cy="250825"/>
            <wp:effectExtent l="0" t="0" r="0" b="0"/>
            <wp:docPr id="50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85"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 xml:space="preserve">, </w:t>
      </w:r>
      <w:r>
        <w:rPr>
          <w:i/>
        </w:rPr>
        <w:t>c</w:t>
      </w:r>
      <w:r>
        <w:rPr>
          <w:i/>
          <w:vertAlign w:val="subscript"/>
        </w:rPr>
        <w:t>n</w:t>
      </w:r>
      <w:r>
        <w:t xml:space="preserve"> и </w:t>
      </w:r>
      <w:r>
        <w:rPr>
          <w:i/>
        </w:rPr>
        <w:t>E</w:t>
      </w:r>
      <w:r>
        <w:t xml:space="preserve"> глинистых грунтов с показателем текучести 0,75 &lt; </w:t>
      </w:r>
      <w:r>
        <w:rPr>
          <w:i/>
        </w:rPr>
        <w:t>I</w:t>
      </w:r>
      <w:r>
        <w:rPr>
          <w:i/>
          <w:vertAlign w:val="subscript"/>
        </w:rPr>
        <w:t>L</w:t>
      </w:r>
      <w:r>
        <w:t xml:space="preserve"> &lt;= 1,0 следует принимать по результатам испытаний грунтов.</w:t>
      </w:r>
    </w:p>
    <w:p w:rsidR="00E35632" w:rsidRDefault="00E35632">
      <w:pPr>
        <w:pStyle w:val="ConsPlusNormal"/>
        <w:spacing w:before="220"/>
        <w:ind w:firstLine="540"/>
        <w:jc w:val="both"/>
      </w:pPr>
      <w:r>
        <w:t xml:space="preserve">В случае, если нормативные значения характеристик грунтов принимаются по таблицам </w:t>
      </w:r>
      <w:hyperlink w:anchor="P5118">
        <w:r>
          <w:rPr>
            <w:color w:val="0000FF"/>
          </w:rPr>
          <w:t>приложения А</w:t>
        </w:r>
      </w:hyperlink>
      <w:r>
        <w:t xml:space="preserve">, расчет оснований по несущей способности следует выполнять при значениях коэффициентов надежности по грунту </w:t>
      </w:r>
      <w:r>
        <w:rPr>
          <w:noProof/>
          <w:position w:val="-10"/>
        </w:rPr>
        <w:drawing>
          <wp:inline distT="0" distB="0" distL="0" distR="0">
            <wp:extent cx="182880" cy="267970"/>
            <wp:effectExtent l="0" t="0" r="0" b="0"/>
            <wp:docPr id="50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84" cstate="print">
                      <a:extLst>
                        <a:ext uri="{28A0092B-C50C-407E-A947-70E740481C1C}">
                          <a14:useLocalDpi xmlns:a14="http://schemas.microsoft.com/office/drawing/2010/main" val="0"/>
                        </a:ext>
                      </a:extLst>
                    </a:blip>
                    <a:srcRect/>
                    <a:stretch>
                      <a:fillRect/>
                    </a:stretch>
                  </pic:blipFill>
                  <pic:spPr bwMode="auto">
                    <a:xfrm>
                      <a:off x="0" y="0"/>
                      <a:ext cx="182880" cy="267970"/>
                    </a:xfrm>
                    <a:prstGeom prst="rect">
                      <a:avLst/>
                    </a:prstGeom>
                    <a:noFill/>
                    <a:ln>
                      <a:noFill/>
                    </a:ln>
                  </pic:spPr>
                </pic:pic>
              </a:graphicData>
            </a:graphic>
          </wp:inline>
        </w:drawing>
      </w:r>
      <w:r>
        <w:t xml:space="preserve"> для: плотности </w:t>
      </w:r>
      <w:r>
        <w:rPr>
          <w:noProof/>
          <w:position w:val="-10"/>
        </w:rPr>
        <w:drawing>
          <wp:inline distT="0" distB="0" distL="0" distR="0">
            <wp:extent cx="754380" cy="267970"/>
            <wp:effectExtent l="0" t="0" r="0" b="0"/>
            <wp:docPr id="50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86" cstate="print">
                      <a:extLst>
                        <a:ext uri="{28A0092B-C50C-407E-A947-70E740481C1C}">
                          <a14:useLocalDpi xmlns:a14="http://schemas.microsoft.com/office/drawing/2010/main" val="0"/>
                        </a:ext>
                      </a:extLst>
                    </a:blip>
                    <a:srcRect/>
                    <a:stretch>
                      <a:fillRect/>
                    </a:stretch>
                  </pic:blipFill>
                  <pic:spPr bwMode="auto">
                    <a:xfrm>
                      <a:off x="0" y="0"/>
                      <a:ext cx="754380" cy="267970"/>
                    </a:xfrm>
                    <a:prstGeom prst="rect">
                      <a:avLst/>
                    </a:prstGeom>
                    <a:noFill/>
                    <a:ln>
                      <a:noFill/>
                    </a:ln>
                  </pic:spPr>
                </pic:pic>
              </a:graphicData>
            </a:graphic>
          </wp:inline>
        </w:drawing>
      </w:r>
      <w:r>
        <w:t xml:space="preserve">; угла внутреннего трения </w:t>
      </w:r>
      <w:r>
        <w:rPr>
          <w:noProof/>
          <w:position w:val="-10"/>
        </w:rPr>
        <w:drawing>
          <wp:inline distT="0" distB="0" distL="0" distR="0">
            <wp:extent cx="852170" cy="267970"/>
            <wp:effectExtent l="0" t="0" r="0" b="0"/>
            <wp:docPr id="5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87" cstate="print">
                      <a:extLst>
                        <a:ext uri="{28A0092B-C50C-407E-A947-70E740481C1C}">
                          <a14:useLocalDpi xmlns:a14="http://schemas.microsoft.com/office/drawing/2010/main" val="0"/>
                        </a:ext>
                      </a:extLst>
                    </a:blip>
                    <a:srcRect/>
                    <a:stretch>
                      <a:fillRect/>
                    </a:stretch>
                  </pic:blipFill>
                  <pic:spPr bwMode="auto">
                    <a:xfrm>
                      <a:off x="0" y="0"/>
                      <a:ext cx="852170" cy="267970"/>
                    </a:xfrm>
                    <a:prstGeom prst="rect">
                      <a:avLst/>
                    </a:prstGeom>
                    <a:noFill/>
                    <a:ln>
                      <a:noFill/>
                    </a:ln>
                  </pic:spPr>
                </pic:pic>
              </a:graphicData>
            </a:graphic>
          </wp:inline>
        </w:drawing>
      </w:r>
      <w:r>
        <w:t xml:space="preserve">; удельного сцепления </w:t>
      </w:r>
      <w:r>
        <w:rPr>
          <w:noProof/>
          <w:position w:val="-10"/>
        </w:rPr>
        <w:drawing>
          <wp:inline distT="0" distB="0" distL="0" distR="0">
            <wp:extent cx="754380" cy="267970"/>
            <wp:effectExtent l="0" t="0" r="0" b="0"/>
            <wp:docPr id="5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754380" cy="267970"/>
                    </a:xfrm>
                    <a:prstGeom prst="rect">
                      <a:avLst/>
                    </a:prstGeom>
                    <a:noFill/>
                    <a:ln>
                      <a:noFill/>
                    </a:ln>
                  </pic:spPr>
                </pic:pic>
              </a:graphicData>
            </a:graphic>
          </wp:inline>
        </w:drawing>
      </w:r>
      <w:r>
        <w:t xml:space="preserve"> в песках, </w:t>
      </w:r>
      <w:r>
        <w:rPr>
          <w:noProof/>
          <w:position w:val="-10"/>
        </w:rPr>
        <w:drawing>
          <wp:inline distT="0" distB="0" distL="0" distR="0">
            <wp:extent cx="614680" cy="267970"/>
            <wp:effectExtent l="0" t="0" r="0" b="0"/>
            <wp:docPr id="5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89" cstate="print">
                      <a:extLst>
                        <a:ext uri="{28A0092B-C50C-407E-A947-70E740481C1C}">
                          <a14:useLocalDpi xmlns:a14="http://schemas.microsoft.com/office/drawing/2010/main" val="0"/>
                        </a:ext>
                      </a:extLst>
                    </a:blip>
                    <a:srcRect/>
                    <a:stretch>
                      <a:fillRect/>
                    </a:stretch>
                  </pic:blipFill>
                  <pic:spPr bwMode="auto">
                    <a:xfrm>
                      <a:off x="0" y="0"/>
                      <a:ext cx="614680" cy="267970"/>
                    </a:xfrm>
                    <a:prstGeom prst="rect">
                      <a:avLst/>
                    </a:prstGeom>
                    <a:noFill/>
                    <a:ln>
                      <a:noFill/>
                    </a:ln>
                  </pic:spPr>
                </pic:pic>
              </a:graphicData>
            </a:graphic>
          </wp:inline>
        </w:drawing>
      </w:r>
      <w:r>
        <w:t xml:space="preserve"> в супесях при </w:t>
      </w:r>
      <w:r>
        <w:rPr>
          <w:i/>
        </w:rPr>
        <w:t>I</w:t>
      </w:r>
      <w:r>
        <w:rPr>
          <w:i/>
          <w:vertAlign w:val="subscript"/>
        </w:rPr>
        <w:t>L</w:t>
      </w:r>
      <w:r>
        <w:t xml:space="preserve"> &lt;= 0,25, суглинках и глинах при </w:t>
      </w:r>
      <w:r>
        <w:rPr>
          <w:i/>
        </w:rPr>
        <w:t>I</w:t>
      </w:r>
      <w:r>
        <w:rPr>
          <w:i/>
          <w:vertAlign w:val="subscript"/>
        </w:rPr>
        <w:t>L</w:t>
      </w:r>
      <w:r>
        <w:t xml:space="preserve"> &lt;= 0,5; </w:t>
      </w:r>
      <w:r>
        <w:rPr>
          <w:noProof/>
          <w:position w:val="-10"/>
        </w:rPr>
        <w:drawing>
          <wp:inline distT="0" distB="0" distL="0" distR="0">
            <wp:extent cx="586740" cy="267970"/>
            <wp:effectExtent l="0" t="0" r="0" b="0"/>
            <wp:docPr id="5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90" cstate="print">
                      <a:extLst>
                        <a:ext uri="{28A0092B-C50C-407E-A947-70E740481C1C}">
                          <a14:useLocalDpi xmlns:a14="http://schemas.microsoft.com/office/drawing/2010/main" val="0"/>
                        </a:ext>
                      </a:extLst>
                    </a:blip>
                    <a:srcRect/>
                    <a:stretch>
                      <a:fillRect/>
                    </a:stretch>
                  </pic:blipFill>
                  <pic:spPr bwMode="auto">
                    <a:xfrm>
                      <a:off x="0" y="0"/>
                      <a:ext cx="586740" cy="267970"/>
                    </a:xfrm>
                    <a:prstGeom prst="rect">
                      <a:avLst/>
                    </a:prstGeom>
                    <a:noFill/>
                    <a:ln>
                      <a:noFill/>
                    </a:ln>
                  </pic:spPr>
                </pic:pic>
              </a:graphicData>
            </a:graphic>
          </wp:inline>
        </w:drawing>
      </w:r>
      <w:r>
        <w:t xml:space="preserve"> в остальных глинистых грунтах.</w:t>
      </w:r>
    </w:p>
    <w:p w:rsidR="00E35632" w:rsidRDefault="00E35632">
      <w:pPr>
        <w:pStyle w:val="ConsPlusNormal"/>
        <w:spacing w:before="220"/>
        <w:ind w:firstLine="540"/>
        <w:jc w:val="both"/>
      </w:pPr>
      <w:r>
        <w:lastRenderedPageBreak/>
        <w:t>7.3 Расчет оснований по деформациям и несущей способности следует проводить для всех режимов работы опор. Динамическое воздействие порывов ветра на конструкцию опоры учитывают лишь при расчете оснований по несущей способности.</w:t>
      </w:r>
    </w:p>
    <w:p w:rsidR="00E35632" w:rsidRDefault="00E35632">
      <w:pPr>
        <w:pStyle w:val="ConsPlusNormal"/>
        <w:spacing w:before="220"/>
        <w:ind w:firstLine="540"/>
        <w:jc w:val="both"/>
      </w:pPr>
      <w:r>
        <w:t>7.4 Расчет оснований, сложенных пучинистыми грунтами, по несущей способности должен выполняться с учетом одновременного действия сил морозного пучения, постоянных и длительных временных нагрузок. Расчет оснований опор на одновременное действие сил морозного пучения и кратковременных нагрузок (ветровых и от обрыва проводов) не требуется.</w:t>
      </w:r>
    </w:p>
    <w:p w:rsidR="00E35632" w:rsidRDefault="00E35632">
      <w:pPr>
        <w:pStyle w:val="ConsPlusNormal"/>
        <w:spacing w:before="220"/>
        <w:ind w:firstLine="540"/>
        <w:jc w:val="both"/>
      </w:pPr>
      <w:r>
        <w:t xml:space="preserve">7.5 Деформации основания фундаментов опор, кроме свободностоящих стоечных, должны ограничиваться предельными значениями относительной разности осадок отдельных фундаментов или креном общего фундамента, приведенными в </w:t>
      </w:r>
      <w:hyperlink w:anchor="P6874">
        <w:r>
          <w:rPr>
            <w:color w:val="0000FF"/>
          </w:rPr>
          <w:t>приложении Г</w:t>
        </w:r>
      </w:hyperlink>
      <w:r>
        <w:t>.</w:t>
      </w:r>
    </w:p>
    <w:p w:rsidR="00E35632" w:rsidRDefault="00E35632">
      <w:pPr>
        <w:pStyle w:val="ConsPlusNormal"/>
        <w:spacing w:before="220"/>
        <w:ind w:firstLine="540"/>
        <w:jc w:val="both"/>
      </w:pPr>
      <w:r>
        <w:t xml:space="preserve">Деформация основания свободностоящих стоечных опор ограничивается предельным значением угла </w:t>
      </w:r>
      <w:r>
        <w:rPr>
          <w:noProof/>
          <w:position w:val="-3"/>
        </w:rPr>
        <w:drawing>
          <wp:inline distT="0" distB="0" distL="0" distR="0">
            <wp:extent cx="160020" cy="182880"/>
            <wp:effectExtent l="0" t="0" r="0" b="0"/>
            <wp:docPr id="5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91" cstate="print">
                      <a:extLst>
                        <a:ext uri="{28A0092B-C50C-407E-A947-70E740481C1C}">
                          <a14:useLocalDpi xmlns:a14="http://schemas.microsoft.com/office/drawing/2010/main" val="0"/>
                        </a:ext>
                      </a:extLst>
                    </a:blip>
                    <a:srcRect/>
                    <a:stretch>
                      <a:fillRect/>
                    </a:stretch>
                  </pic:blipFill>
                  <pic:spPr bwMode="auto">
                    <a:xfrm>
                      <a:off x="0" y="0"/>
                      <a:ext cx="160020" cy="182880"/>
                    </a:xfrm>
                    <a:prstGeom prst="rect">
                      <a:avLst/>
                    </a:prstGeom>
                    <a:noFill/>
                    <a:ln>
                      <a:noFill/>
                    </a:ln>
                  </pic:spPr>
                </pic:pic>
              </a:graphicData>
            </a:graphic>
          </wp:inline>
        </w:drawing>
      </w:r>
      <w:r>
        <w:t xml:space="preserve"> отклонения стойки от вертикали на уровне поверхности грунта от воздействия опрокидывающих нагрузок, которое составляет 0,01 рад.</w:t>
      </w:r>
    </w:p>
    <w:p w:rsidR="00E35632" w:rsidRDefault="00E35632">
      <w:pPr>
        <w:pStyle w:val="ConsPlusNormal"/>
        <w:spacing w:before="220"/>
        <w:ind w:firstLine="540"/>
        <w:jc w:val="both"/>
      </w:pPr>
      <w:r>
        <w:t xml:space="preserve">В песках плотных и средней плотности, а также глинистых грунтах при </w:t>
      </w:r>
      <w:r>
        <w:rPr>
          <w:i/>
        </w:rPr>
        <w:t>I</w:t>
      </w:r>
      <w:r>
        <w:rPr>
          <w:i/>
          <w:vertAlign w:val="subscript"/>
        </w:rPr>
        <w:t>L</w:t>
      </w:r>
      <w:r>
        <w:t xml:space="preserve"> &lt;= 0,5 в случае установки в основание перед стойкой не менее одного ригеля допускается </w:t>
      </w:r>
      <w:r>
        <w:rPr>
          <w:noProof/>
          <w:position w:val="-6"/>
        </w:rPr>
        <w:drawing>
          <wp:inline distT="0" distB="0" distL="0" distR="0">
            <wp:extent cx="921385" cy="226060"/>
            <wp:effectExtent l="0" t="0" r="0" b="0"/>
            <wp:docPr id="5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92" cstate="print">
                      <a:extLst>
                        <a:ext uri="{28A0092B-C50C-407E-A947-70E740481C1C}">
                          <a14:useLocalDpi xmlns:a14="http://schemas.microsoft.com/office/drawing/2010/main" val="0"/>
                        </a:ext>
                      </a:extLst>
                    </a:blip>
                    <a:srcRect/>
                    <a:stretch>
                      <a:fillRect/>
                    </a:stretch>
                  </pic:blipFill>
                  <pic:spPr bwMode="auto">
                    <a:xfrm>
                      <a:off x="0" y="0"/>
                      <a:ext cx="921385" cy="226060"/>
                    </a:xfrm>
                    <a:prstGeom prst="rect">
                      <a:avLst/>
                    </a:prstGeom>
                    <a:noFill/>
                    <a:ln>
                      <a:noFill/>
                    </a:ln>
                  </pic:spPr>
                </pic:pic>
              </a:graphicData>
            </a:graphic>
          </wp:inline>
        </w:drawing>
      </w:r>
      <w:r>
        <w:t xml:space="preserve"> с обязательной проверкой прочности стойки.</w:t>
      </w:r>
    </w:p>
    <w:p w:rsidR="00E35632" w:rsidRDefault="00E35632">
      <w:pPr>
        <w:pStyle w:val="ConsPlusNormal"/>
        <w:spacing w:before="220"/>
        <w:ind w:firstLine="540"/>
        <w:jc w:val="both"/>
      </w:pPr>
      <w:r>
        <w:t>Опрокидывающий момент следует определять с учетом как горизонтальных сил, так и вертикальных сил, возникающих при отклонении стоек от вертикали.</w:t>
      </w:r>
    </w:p>
    <w:p w:rsidR="00E35632" w:rsidRDefault="00E35632">
      <w:pPr>
        <w:pStyle w:val="ConsPlusNormal"/>
        <w:spacing w:before="220"/>
        <w:ind w:firstLine="540"/>
        <w:jc w:val="both"/>
      </w:pPr>
      <w:bookmarkStart w:id="230" w:name="P4248"/>
      <w:bookmarkEnd w:id="230"/>
      <w:r>
        <w:t>7.6 Расчет оснований выдергиваемых фундаментов и анкерных плит по деформациям может не выполняться, если выдергивающая сила центральна по отношению к подошве фундамента (анкерной плите) и соблюдается условие</w:t>
      </w:r>
    </w:p>
    <w:p w:rsidR="00E35632" w:rsidRDefault="00E35632">
      <w:pPr>
        <w:pStyle w:val="ConsPlusNormal"/>
        <w:jc w:val="both"/>
      </w:pPr>
    </w:p>
    <w:p w:rsidR="00E35632" w:rsidRDefault="00E35632">
      <w:pPr>
        <w:pStyle w:val="ConsPlusNormal"/>
        <w:jc w:val="center"/>
      </w:pPr>
      <w:bookmarkStart w:id="231" w:name="P4250"/>
      <w:bookmarkEnd w:id="231"/>
      <w:r>
        <w:rPr>
          <w:noProof/>
          <w:position w:val="-8"/>
        </w:rPr>
        <w:drawing>
          <wp:inline distT="0" distB="0" distL="0" distR="0">
            <wp:extent cx="1704340" cy="251460"/>
            <wp:effectExtent l="0" t="0" r="0" b="0"/>
            <wp:docPr id="5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1704340" cy="251460"/>
                    </a:xfrm>
                    <a:prstGeom prst="rect">
                      <a:avLst/>
                    </a:prstGeom>
                    <a:noFill/>
                    <a:ln>
                      <a:noFill/>
                    </a:ln>
                  </pic:spPr>
                </pic:pic>
              </a:graphicData>
            </a:graphic>
          </wp:inline>
        </w:drawing>
      </w:r>
      <w:r>
        <w:t xml:space="preserve"> (7.1)</w:t>
      </w:r>
    </w:p>
    <w:p w:rsidR="00E35632" w:rsidRDefault="00E35632">
      <w:pPr>
        <w:pStyle w:val="ConsPlusNormal"/>
        <w:jc w:val="both"/>
      </w:pPr>
    </w:p>
    <w:p w:rsidR="00E35632" w:rsidRDefault="00E35632">
      <w:pPr>
        <w:pStyle w:val="ConsPlusNormal"/>
        <w:ind w:firstLine="540"/>
        <w:jc w:val="both"/>
      </w:pPr>
      <w:r>
        <w:t xml:space="preserve">где </w:t>
      </w:r>
      <w:r>
        <w:rPr>
          <w:i/>
        </w:rPr>
        <w:t>F</w:t>
      </w:r>
      <w:r>
        <w:rPr>
          <w:i/>
          <w:vertAlign w:val="subscript"/>
        </w:rPr>
        <w:t>n</w:t>
      </w:r>
      <w:r>
        <w:t xml:space="preserve"> - нормативное значение выдергивающей силы, кН;</w:t>
      </w:r>
    </w:p>
    <w:p w:rsidR="00E35632" w:rsidRDefault="00E35632">
      <w:pPr>
        <w:pStyle w:val="ConsPlusNormal"/>
        <w:spacing w:before="220"/>
        <w:ind w:firstLine="540"/>
        <w:jc w:val="both"/>
      </w:pPr>
      <w:r>
        <w:rPr>
          <w:i/>
        </w:rPr>
        <w:t>G</w:t>
      </w:r>
      <w:r>
        <w:rPr>
          <w:i/>
          <w:vertAlign w:val="subscript"/>
        </w:rPr>
        <w:t>n</w:t>
      </w:r>
      <w:r>
        <w:t xml:space="preserve"> - нормативное значение веса фундамента или плиты, кН;</w:t>
      </w:r>
    </w:p>
    <w:p w:rsidR="00E35632" w:rsidRDefault="00E35632">
      <w:pPr>
        <w:pStyle w:val="ConsPlusNormal"/>
        <w:spacing w:before="220"/>
        <w:ind w:firstLine="540"/>
        <w:jc w:val="both"/>
      </w:pPr>
      <w:r>
        <w:rPr>
          <w:noProof/>
          <w:position w:val="-6"/>
        </w:rPr>
        <w:drawing>
          <wp:inline distT="0" distB="0" distL="0" distR="0">
            <wp:extent cx="167640" cy="226060"/>
            <wp:effectExtent l="0" t="0" r="0" b="0"/>
            <wp:docPr id="5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167640" cy="226060"/>
                    </a:xfrm>
                    <a:prstGeom prst="rect">
                      <a:avLst/>
                    </a:prstGeom>
                    <a:noFill/>
                    <a:ln>
                      <a:noFill/>
                    </a:ln>
                  </pic:spPr>
                </pic:pic>
              </a:graphicData>
            </a:graphic>
          </wp:inline>
        </w:drawing>
      </w:r>
      <w:r>
        <w:t xml:space="preserve"> - угол наклона выдергивающей силы к вертикали, град.;</w:t>
      </w:r>
    </w:p>
    <w:p w:rsidR="00E35632" w:rsidRDefault="00E35632">
      <w:pPr>
        <w:pStyle w:val="ConsPlusNormal"/>
        <w:spacing w:before="220"/>
        <w:ind w:firstLine="540"/>
        <w:jc w:val="both"/>
      </w:pPr>
      <w:r>
        <w:rPr>
          <w:noProof/>
          <w:position w:val="-8"/>
        </w:rPr>
        <w:drawing>
          <wp:inline distT="0" distB="0" distL="0" distR="0">
            <wp:extent cx="192405" cy="251460"/>
            <wp:effectExtent l="0" t="0" r="0" b="0"/>
            <wp:docPr id="5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 коэффициент условий работы, определяемый в соответствии с </w:t>
      </w:r>
      <w:hyperlink w:anchor="P4258">
        <w:r>
          <w:rPr>
            <w:color w:val="0000FF"/>
          </w:rPr>
          <w:t>7.7</w:t>
        </w:r>
      </w:hyperlink>
      <w:r>
        <w:t>;</w:t>
      </w:r>
    </w:p>
    <w:p w:rsidR="00E35632" w:rsidRDefault="00E35632">
      <w:pPr>
        <w:pStyle w:val="ConsPlusNormal"/>
        <w:spacing w:before="220"/>
        <w:ind w:firstLine="540"/>
        <w:jc w:val="both"/>
      </w:pPr>
      <w:r>
        <w:rPr>
          <w:i/>
        </w:rPr>
        <w:t>R'</w:t>
      </w:r>
      <w:r>
        <w:rPr>
          <w:vertAlign w:val="subscript"/>
        </w:rPr>
        <w:t>0</w:t>
      </w:r>
      <w:r>
        <w:t xml:space="preserve"> - расчетное сопротивление грунта обратной засыпки, кПа, принимаемое по </w:t>
      </w:r>
      <w:hyperlink w:anchor="P6486">
        <w:r>
          <w:rPr>
            <w:color w:val="0000FF"/>
          </w:rPr>
          <w:t>таблице Б.10</w:t>
        </w:r>
      </w:hyperlink>
      <w:r>
        <w:t xml:space="preserve"> приложения Б;</w:t>
      </w:r>
    </w:p>
    <w:p w:rsidR="00E35632" w:rsidRDefault="00E35632">
      <w:pPr>
        <w:pStyle w:val="ConsPlusNormal"/>
        <w:spacing w:before="220"/>
        <w:ind w:firstLine="540"/>
        <w:jc w:val="both"/>
      </w:pPr>
      <w:r>
        <w:rPr>
          <w:i/>
        </w:rPr>
        <w:t>A</w:t>
      </w:r>
      <w:r>
        <w:rPr>
          <w:vertAlign w:val="subscript"/>
        </w:rPr>
        <w:t>0</w:t>
      </w:r>
      <w:r>
        <w:t xml:space="preserve"> - площадь проекции верхней поверхности фундамента на плоскость, перпендикулярную к линии действия выдергивающей силы, м</w:t>
      </w:r>
      <w:r>
        <w:rPr>
          <w:vertAlign w:val="superscript"/>
        </w:rPr>
        <w:t>2</w:t>
      </w:r>
      <w:r>
        <w:t>.</w:t>
      </w:r>
    </w:p>
    <w:p w:rsidR="00E35632" w:rsidRDefault="00E35632">
      <w:pPr>
        <w:pStyle w:val="ConsPlusNormal"/>
        <w:spacing w:before="220"/>
        <w:ind w:firstLine="540"/>
        <w:jc w:val="both"/>
      </w:pPr>
      <w:bookmarkStart w:id="232" w:name="P4258"/>
      <w:bookmarkEnd w:id="232"/>
      <w:r>
        <w:t xml:space="preserve">7.7 Коэффициент условий работы </w:t>
      </w:r>
      <w:r>
        <w:rPr>
          <w:noProof/>
          <w:position w:val="-8"/>
        </w:rPr>
        <w:drawing>
          <wp:inline distT="0" distB="0" distL="0" distR="0">
            <wp:extent cx="192405" cy="251460"/>
            <wp:effectExtent l="0" t="0" r="0" b="0"/>
            <wp:docPr id="5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в </w:t>
      </w:r>
      <w:hyperlink w:anchor="P4250">
        <w:r>
          <w:rPr>
            <w:color w:val="0000FF"/>
          </w:rPr>
          <w:t>формуле 7.1</w:t>
        </w:r>
      </w:hyperlink>
      <w:r>
        <w:t xml:space="preserve"> принимают равным: </w:t>
      </w:r>
      <w:r>
        <w:rPr>
          <w:noProof/>
          <w:position w:val="-8"/>
        </w:rPr>
        <w:drawing>
          <wp:inline distT="0" distB="0" distL="0" distR="0">
            <wp:extent cx="894080" cy="251460"/>
            <wp:effectExtent l="0" t="0" r="0" b="0"/>
            <wp:docPr id="5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894080" cy="251460"/>
                    </a:xfrm>
                    <a:prstGeom prst="rect">
                      <a:avLst/>
                    </a:prstGeom>
                    <a:noFill/>
                    <a:ln>
                      <a:noFill/>
                    </a:ln>
                  </pic:spPr>
                </pic:pic>
              </a:graphicData>
            </a:graphic>
          </wp:inline>
        </w:drawing>
      </w:r>
      <w:r>
        <w:t xml:space="preserve">, где </w:t>
      </w:r>
      <w:r>
        <w:rPr>
          <w:noProof/>
          <w:position w:val="-8"/>
        </w:rPr>
        <w:drawing>
          <wp:inline distT="0" distB="0" distL="0" distR="0">
            <wp:extent cx="544830" cy="251460"/>
            <wp:effectExtent l="0" t="0" r="0" b="0"/>
            <wp:docPr id="5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544830" cy="251460"/>
                    </a:xfrm>
                    <a:prstGeom prst="rect">
                      <a:avLst/>
                    </a:prstGeom>
                    <a:noFill/>
                    <a:ln>
                      <a:noFill/>
                    </a:ln>
                  </pic:spPr>
                </pic:pic>
              </a:graphicData>
            </a:graphic>
          </wp:inline>
        </w:drawing>
      </w:r>
      <w:r>
        <w:t xml:space="preserve">; 1,0 и 0,8 - для опор с базой </w:t>
      </w:r>
      <w:r>
        <w:rPr>
          <w:i/>
        </w:rPr>
        <w:t>B</w:t>
      </w:r>
      <w:r>
        <w:t xml:space="preserve"> (расстояние между осями отдельных фундаментов), равной 5, 2,5 и 1,5 м; при промежуточных значениях </w:t>
      </w:r>
      <w:r>
        <w:rPr>
          <w:i/>
        </w:rPr>
        <w:t>B</w:t>
      </w:r>
      <w:r>
        <w:t xml:space="preserve">, значение </w:t>
      </w:r>
      <w:r>
        <w:rPr>
          <w:noProof/>
          <w:position w:val="-8"/>
        </w:rPr>
        <w:drawing>
          <wp:inline distT="0" distB="0" distL="0" distR="0">
            <wp:extent cx="167640" cy="251460"/>
            <wp:effectExtent l="0" t="0" r="0" b="0"/>
            <wp:docPr id="5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определяют интерполяцией; </w:t>
      </w:r>
      <w:r>
        <w:rPr>
          <w:noProof/>
          <w:position w:val="-8"/>
        </w:rPr>
        <w:drawing>
          <wp:inline distT="0" distB="0" distL="0" distR="0">
            <wp:extent cx="564515" cy="251460"/>
            <wp:effectExtent l="0" t="0" r="0" b="0"/>
            <wp:docPr id="5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64515" cy="251460"/>
                    </a:xfrm>
                    <a:prstGeom prst="rect">
                      <a:avLst/>
                    </a:prstGeom>
                    <a:noFill/>
                    <a:ln>
                      <a:noFill/>
                    </a:ln>
                  </pic:spPr>
                </pic:pic>
              </a:graphicData>
            </a:graphic>
          </wp:inline>
        </w:drawing>
      </w:r>
      <w:r>
        <w:t xml:space="preserve"> для нормального и </w:t>
      </w:r>
      <w:r>
        <w:rPr>
          <w:noProof/>
          <w:position w:val="-8"/>
        </w:rPr>
        <w:drawing>
          <wp:inline distT="0" distB="0" distL="0" distR="0">
            <wp:extent cx="572770" cy="251460"/>
            <wp:effectExtent l="0" t="0" r="0" b="0"/>
            <wp:docPr id="5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572770" cy="251460"/>
                    </a:xfrm>
                    <a:prstGeom prst="rect">
                      <a:avLst/>
                    </a:prstGeom>
                    <a:noFill/>
                    <a:ln>
                      <a:noFill/>
                    </a:ln>
                  </pic:spPr>
                </pic:pic>
              </a:graphicData>
            </a:graphic>
          </wp:inline>
        </w:drawing>
      </w:r>
      <w:r>
        <w:t xml:space="preserve"> - для аварийного и монтажного режимов работы; </w:t>
      </w:r>
      <w:r>
        <w:rPr>
          <w:noProof/>
          <w:position w:val="-8"/>
        </w:rPr>
        <w:drawing>
          <wp:inline distT="0" distB="0" distL="0" distR="0">
            <wp:extent cx="564515" cy="251460"/>
            <wp:effectExtent l="0" t="0" r="0" b="0"/>
            <wp:docPr id="5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564515" cy="251460"/>
                    </a:xfrm>
                    <a:prstGeom prst="rect">
                      <a:avLst/>
                    </a:prstGeom>
                    <a:noFill/>
                    <a:ln>
                      <a:noFill/>
                    </a:ln>
                  </pic:spPr>
                </pic:pic>
              </a:graphicData>
            </a:graphic>
          </wp:inline>
        </w:drawing>
      </w:r>
      <w:r>
        <w:t xml:space="preserve">; 0,8 и 0,7 - для опор соответственно; промежуточных прямых; промежуточных угловых, анкерных и анкерно-угловых, концевых, порталов распределительных устройств; специальных; </w:t>
      </w:r>
      <w:r>
        <w:rPr>
          <w:noProof/>
          <w:position w:val="-8"/>
        </w:rPr>
        <w:drawing>
          <wp:inline distT="0" distB="0" distL="0" distR="0">
            <wp:extent cx="564515" cy="251460"/>
            <wp:effectExtent l="0" t="0" r="0" b="0"/>
            <wp:docPr id="5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564515" cy="251460"/>
                    </a:xfrm>
                    <a:prstGeom prst="rect">
                      <a:avLst/>
                    </a:prstGeom>
                    <a:noFill/>
                    <a:ln>
                      <a:noFill/>
                    </a:ln>
                  </pic:spPr>
                </pic:pic>
              </a:graphicData>
            </a:graphic>
          </wp:inline>
        </w:drawing>
      </w:r>
      <w:r>
        <w:t xml:space="preserve"> и 1,15 - соответственно для грибовидных фундаментов и анкерных плит опор с оттяжками, стойки которых защемлены в грунте; анкерных плит опор, стойки которых шарнирно оперты на фундаменты.</w:t>
      </w:r>
    </w:p>
    <w:p w:rsidR="00E35632" w:rsidRDefault="00E35632">
      <w:pPr>
        <w:pStyle w:val="ConsPlusNormal"/>
        <w:spacing w:before="220"/>
        <w:ind w:firstLine="540"/>
        <w:jc w:val="both"/>
      </w:pPr>
      <w:r>
        <w:lastRenderedPageBreak/>
        <w:t xml:space="preserve">7.8 Расчетное сопротивление грунта основания </w:t>
      </w:r>
      <w:r>
        <w:rPr>
          <w:i/>
        </w:rPr>
        <w:t>R</w:t>
      </w:r>
      <w:r>
        <w:t xml:space="preserve"> под подошвой сжато-опрокидываемых фундаментов вычисляют по </w:t>
      </w:r>
      <w:hyperlink w:anchor="P851">
        <w:r>
          <w:rPr>
            <w:color w:val="0000FF"/>
          </w:rPr>
          <w:t>формуле (5.7)</w:t>
        </w:r>
      </w:hyperlink>
      <w:r>
        <w:t xml:space="preserve"> при коэффициенте </w:t>
      </w:r>
      <w:r>
        <w:rPr>
          <w:noProof/>
          <w:position w:val="-8"/>
        </w:rPr>
        <w:drawing>
          <wp:inline distT="0" distB="0" distL="0" distR="0">
            <wp:extent cx="479425" cy="251460"/>
            <wp:effectExtent l="0" t="0" r="0" b="0"/>
            <wp:docPr id="5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479425" cy="251460"/>
                    </a:xfrm>
                    <a:prstGeom prst="rect">
                      <a:avLst/>
                    </a:prstGeom>
                    <a:noFill/>
                    <a:ln>
                      <a:noFill/>
                    </a:ln>
                  </pic:spPr>
                </pic:pic>
              </a:graphicData>
            </a:graphic>
          </wp:inline>
        </w:drawing>
      </w:r>
      <w:r>
        <w:t>.</w:t>
      </w:r>
    </w:p>
    <w:p w:rsidR="00E35632" w:rsidRDefault="00E35632">
      <w:pPr>
        <w:pStyle w:val="ConsPlusNormal"/>
        <w:spacing w:before="220"/>
        <w:ind w:firstLine="540"/>
        <w:jc w:val="both"/>
      </w:pPr>
      <w:r>
        <w:t>Наибольшее давление на грунт под краем подошвы фундамента при действии вертикальной сжимающей и горизонтальных нагрузок в одном или в двух направлениях не должно превышать 1,2</w:t>
      </w:r>
      <w:r>
        <w:rPr>
          <w:i/>
        </w:rPr>
        <w:t>R</w:t>
      </w:r>
      <w:r>
        <w:t>.</w:t>
      </w:r>
    </w:p>
    <w:p w:rsidR="00E35632" w:rsidRDefault="00E35632">
      <w:pPr>
        <w:pStyle w:val="ConsPlusNormal"/>
        <w:spacing w:before="220"/>
        <w:ind w:firstLine="540"/>
        <w:jc w:val="both"/>
      </w:pPr>
      <w:bookmarkStart w:id="233" w:name="P4261"/>
      <w:bookmarkEnd w:id="233"/>
      <w:r>
        <w:t>7.9 Расчет оснований по несущей способности при действии на фундамент (анкерную плиту) выдергивающей нагрузки проводят исходя из условия</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1997710" cy="267970"/>
            <wp:effectExtent l="0" t="0" r="0" b="0"/>
            <wp:docPr id="5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997710" cy="267970"/>
                    </a:xfrm>
                    <a:prstGeom prst="rect">
                      <a:avLst/>
                    </a:prstGeom>
                    <a:noFill/>
                    <a:ln>
                      <a:noFill/>
                    </a:ln>
                  </pic:spPr>
                </pic:pic>
              </a:graphicData>
            </a:graphic>
          </wp:inline>
        </w:drawing>
      </w:r>
      <w:r>
        <w:t xml:space="preserve"> (7.2)</w:t>
      </w:r>
    </w:p>
    <w:p w:rsidR="00E35632" w:rsidRDefault="00E35632">
      <w:pPr>
        <w:pStyle w:val="ConsPlusNormal"/>
        <w:jc w:val="both"/>
      </w:pPr>
    </w:p>
    <w:p w:rsidR="00E35632" w:rsidRDefault="00E35632">
      <w:pPr>
        <w:pStyle w:val="ConsPlusNormal"/>
        <w:ind w:firstLine="540"/>
        <w:jc w:val="both"/>
      </w:pPr>
      <w:r>
        <w:t xml:space="preserve">где </w:t>
      </w:r>
      <w:r>
        <w:rPr>
          <w:i/>
        </w:rPr>
        <w:t>F</w:t>
      </w:r>
      <w:r>
        <w:t xml:space="preserve"> - расчетное значение выдергивающей силы, кН;</w:t>
      </w:r>
    </w:p>
    <w:p w:rsidR="00E35632" w:rsidRDefault="00E35632">
      <w:pPr>
        <w:pStyle w:val="ConsPlusNormal"/>
        <w:spacing w:before="220"/>
        <w:ind w:firstLine="540"/>
        <w:jc w:val="both"/>
      </w:pPr>
      <w:r>
        <w:rPr>
          <w:noProof/>
          <w:position w:val="-10"/>
        </w:rPr>
        <w:drawing>
          <wp:inline distT="0" distB="0" distL="0" distR="0">
            <wp:extent cx="209550" cy="267970"/>
            <wp:effectExtent l="0" t="0" r="0" b="0"/>
            <wp:docPr id="5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209550" cy="267970"/>
                    </a:xfrm>
                    <a:prstGeom prst="rect">
                      <a:avLst/>
                    </a:prstGeom>
                    <a:noFill/>
                    <a:ln>
                      <a:noFill/>
                    </a:ln>
                  </pic:spPr>
                </pic:pic>
              </a:graphicData>
            </a:graphic>
          </wp:inline>
        </w:drawing>
      </w:r>
      <w:r>
        <w:t xml:space="preserve"> - коэффициент надежности по нагрузке, принимаемый равным 0,9;</w:t>
      </w:r>
    </w:p>
    <w:p w:rsidR="00E35632" w:rsidRDefault="00E35632">
      <w:pPr>
        <w:pStyle w:val="ConsPlusNormal"/>
        <w:spacing w:before="220"/>
        <w:ind w:firstLine="540"/>
        <w:jc w:val="both"/>
      </w:pPr>
      <w:r>
        <w:rPr>
          <w:i/>
        </w:rPr>
        <w:t>G</w:t>
      </w:r>
      <w:r>
        <w:rPr>
          <w:i/>
          <w:vertAlign w:val="subscript"/>
        </w:rPr>
        <w:t>n</w:t>
      </w:r>
      <w:r>
        <w:t xml:space="preserve"> - нормативное значение веса фундамента (плиты), кН;</w:t>
      </w:r>
    </w:p>
    <w:p w:rsidR="00E35632" w:rsidRDefault="00E35632">
      <w:pPr>
        <w:pStyle w:val="ConsPlusNormal"/>
        <w:spacing w:before="220"/>
        <w:ind w:firstLine="540"/>
        <w:jc w:val="both"/>
      </w:pPr>
      <w:r>
        <w:rPr>
          <w:noProof/>
          <w:position w:val="-6"/>
        </w:rPr>
        <w:drawing>
          <wp:inline distT="0" distB="0" distL="0" distR="0">
            <wp:extent cx="167640" cy="226060"/>
            <wp:effectExtent l="0" t="0" r="0" b="0"/>
            <wp:docPr id="5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67640" cy="226060"/>
                    </a:xfrm>
                    <a:prstGeom prst="rect">
                      <a:avLst/>
                    </a:prstGeom>
                    <a:noFill/>
                    <a:ln>
                      <a:noFill/>
                    </a:ln>
                  </pic:spPr>
                </pic:pic>
              </a:graphicData>
            </a:graphic>
          </wp:inline>
        </w:drawing>
      </w:r>
      <w:r>
        <w:t xml:space="preserve"> - угол наклона выдергивающей силы к вертикали, град.;</w:t>
      </w:r>
    </w:p>
    <w:p w:rsidR="00E35632" w:rsidRDefault="00E35632">
      <w:pPr>
        <w:pStyle w:val="ConsPlusNormal"/>
        <w:spacing w:before="220"/>
        <w:ind w:firstLine="540"/>
        <w:jc w:val="both"/>
      </w:pPr>
      <w:r>
        <w:rPr>
          <w:noProof/>
          <w:position w:val="-8"/>
        </w:rPr>
        <w:drawing>
          <wp:inline distT="0" distB="0" distL="0" distR="0">
            <wp:extent cx="192405" cy="251460"/>
            <wp:effectExtent l="0" t="0" r="0" b="0"/>
            <wp:docPr id="5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 коэффициент условий работы, принимаемый равным единице;</w:t>
      </w:r>
    </w:p>
    <w:p w:rsidR="00E35632" w:rsidRDefault="00E35632">
      <w:pPr>
        <w:pStyle w:val="ConsPlusNormal"/>
        <w:spacing w:before="220"/>
        <w:ind w:firstLine="540"/>
        <w:jc w:val="both"/>
      </w:pPr>
      <w:r>
        <w:rPr>
          <w:i/>
        </w:rPr>
        <w:t>F</w:t>
      </w:r>
      <w:r>
        <w:rPr>
          <w:i/>
          <w:vertAlign w:val="subscript"/>
        </w:rPr>
        <w:t>u,a</w:t>
      </w:r>
      <w:r>
        <w:t xml:space="preserve"> - сила предельного сопротивления основания выдергиваемого фундамента, кН, определяемая по </w:t>
      </w:r>
      <w:hyperlink w:anchor="P4305">
        <w:r>
          <w:rPr>
            <w:color w:val="0000FF"/>
          </w:rPr>
          <w:t>7.11</w:t>
        </w:r>
      </w:hyperlink>
      <w:r>
        <w:t>;</w:t>
      </w:r>
    </w:p>
    <w:p w:rsidR="00E35632" w:rsidRDefault="00E35632">
      <w:pPr>
        <w:pStyle w:val="ConsPlusNormal"/>
        <w:spacing w:before="220"/>
        <w:ind w:firstLine="540"/>
        <w:jc w:val="both"/>
      </w:pPr>
      <w:r>
        <w:rPr>
          <w:noProof/>
          <w:position w:val="-8"/>
        </w:rPr>
        <w:drawing>
          <wp:inline distT="0" distB="0" distL="0" distR="0">
            <wp:extent cx="192405" cy="251460"/>
            <wp:effectExtent l="0" t="0" r="0" b="0"/>
            <wp:docPr id="5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 коэффициент надежности по ответственности, принимаемый равным для опор: промежуточных прямых - 1,0; анкерных прямых без разности тяжений - 1,2; угловых (промежуточных и анкерных), анкерных (прямых и концевых) с разностью тяжений, порталов открытых распределительных устройств - 1,3; специальных - 1,7.</w:t>
      </w:r>
    </w:p>
    <w:p w:rsidR="00E35632" w:rsidRDefault="00E35632">
      <w:pPr>
        <w:pStyle w:val="ConsPlusNormal"/>
        <w:spacing w:before="220"/>
        <w:ind w:firstLine="540"/>
        <w:jc w:val="both"/>
      </w:pPr>
      <w:r>
        <w:t xml:space="preserve">7.10 Силу предельного сопротивления основания выдергиваемого фундамента </w:t>
      </w:r>
      <w:r>
        <w:rPr>
          <w:i/>
        </w:rPr>
        <w:t>F</w:t>
      </w:r>
      <w:r>
        <w:rPr>
          <w:i/>
          <w:vertAlign w:val="subscript"/>
        </w:rPr>
        <w:t>u,a</w:t>
      </w:r>
      <w:r>
        <w:t>, кН, вычисляют по формуле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5364480" cy="276860"/>
            <wp:effectExtent l="0" t="0" r="0" b="0"/>
            <wp:docPr id="5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5364480" cy="276860"/>
                    </a:xfrm>
                    <a:prstGeom prst="rect">
                      <a:avLst/>
                    </a:prstGeom>
                    <a:noFill/>
                    <a:ln>
                      <a:noFill/>
                    </a:ln>
                  </pic:spPr>
                </pic:pic>
              </a:graphicData>
            </a:graphic>
          </wp:inline>
        </w:drawing>
      </w:r>
      <w:r>
        <w:t xml:space="preserve"> (7.3)</w:t>
      </w:r>
    </w:p>
    <w:p w:rsidR="00E35632" w:rsidRDefault="00E35632">
      <w:pPr>
        <w:pStyle w:val="ConsPlusNormal"/>
        <w:jc w:val="both"/>
      </w:pPr>
    </w:p>
    <w:p w:rsidR="00E35632" w:rsidRDefault="00E35632">
      <w:pPr>
        <w:pStyle w:val="ConsPlusNormal"/>
        <w:ind w:firstLine="540"/>
        <w:jc w:val="both"/>
      </w:pPr>
      <w:r>
        <w:t xml:space="preserve">где </w:t>
      </w:r>
      <w:r>
        <w:rPr>
          <w:noProof/>
          <w:position w:val="-10"/>
        </w:rPr>
        <w:drawing>
          <wp:inline distT="0" distB="0" distL="0" distR="0">
            <wp:extent cx="241935" cy="267970"/>
            <wp:effectExtent l="0" t="0" r="0" b="0"/>
            <wp:docPr id="5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241935" cy="267970"/>
                    </a:xfrm>
                    <a:prstGeom prst="rect">
                      <a:avLst/>
                    </a:prstGeom>
                    <a:noFill/>
                    <a:ln>
                      <a:noFill/>
                    </a:ln>
                  </pic:spPr>
                </pic:pic>
              </a:graphicData>
            </a:graphic>
          </wp:inline>
        </w:drawing>
      </w:r>
      <w:r>
        <w:t xml:space="preserve"> - расчетное значение удельного веса грунта обратной засыпки, кН/м</w:t>
      </w:r>
      <w:r>
        <w:rPr>
          <w:vertAlign w:val="superscript"/>
        </w:rPr>
        <w:t>3</w:t>
      </w:r>
      <w:r>
        <w:t>;</w:t>
      </w:r>
    </w:p>
    <w:p w:rsidR="00E35632" w:rsidRDefault="00E35632">
      <w:pPr>
        <w:pStyle w:val="ConsPlusNormal"/>
        <w:spacing w:before="220"/>
        <w:ind w:firstLine="540"/>
        <w:jc w:val="both"/>
      </w:pPr>
      <w:r>
        <w:rPr>
          <w:i/>
        </w:rPr>
        <w:t>V</w:t>
      </w:r>
      <w:r>
        <w:rPr>
          <w:i/>
          <w:vertAlign w:val="subscript"/>
        </w:rPr>
        <w:t>bf</w:t>
      </w:r>
      <w:r>
        <w:t xml:space="preserve"> - объем тела выпирания в форме усеченной пирамиды, м</w:t>
      </w:r>
      <w:r>
        <w:rPr>
          <w:vertAlign w:val="superscript"/>
        </w:rPr>
        <w:t>3</w:t>
      </w:r>
      <w:r>
        <w:t xml:space="preserve">, образуемой плоскостями, проходящими через кромки верхней поверхности фундамента (плиты) и наклоненными к вертикали под углами </w:t>
      </w:r>
      <w:r>
        <w:rPr>
          <w:noProof/>
          <w:position w:val="-8"/>
        </w:rPr>
        <w:drawing>
          <wp:inline distT="0" distB="0" distL="0" distR="0">
            <wp:extent cx="167640" cy="251460"/>
            <wp:effectExtent l="0" t="0" r="0" b="0"/>
            <wp:docPr id="5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равными:</w:t>
      </w:r>
    </w:p>
    <w:p w:rsidR="00E35632" w:rsidRDefault="00E35632">
      <w:pPr>
        <w:pStyle w:val="ConsPlusNormal"/>
        <w:spacing w:before="220"/>
        <w:ind w:firstLine="540"/>
        <w:jc w:val="both"/>
      </w:pPr>
      <w:r>
        <w:t xml:space="preserve">у нижней кромки </w:t>
      </w:r>
      <w:r>
        <w:rPr>
          <w:noProof/>
          <w:position w:val="-8"/>
        </w:rPr>
        <w:drawing>
          <wp:inline distT="0" distB="0" distL="0" distR="0">
            <wp:extent cx="963930" cy="251460"/>
            <wp:effectExtent l="0" t="0" r="0" b="0"/>
            <wp:docPr id="5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963930" cy="25146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у верхней кромки </w:t>
      </w:r>
      <w:r>
        <w:rPr>
          <w:noProof/>
          <w:position w:val="-8"/>
        </w:rPr>
        <w:drawing>
          <wp:inline distT="0" distB="0" distL="0" distR="0">
            <wp:extent cx="968375" cy="251460"/>
            <wp:effectExtent l="0" t="0" r="0" b="0"/>
            <wp:docPr id="5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968375" cy="25146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у боковых кромок </w:t>
      </w:r>
      <w:r>
        <w:rPr>
          <w:noProof/>
          <w:position w:val="-8"/>
        </w:rPr>
        <w:drawing>
          <wp:inline distT="0" distB="0" distL="0" distR="0">
            <wp:extent cx="838200" cy="251460"/>
            <wp:effectExtent l="0" t="0" r="0" b="0"/>
            <wp:docPr id="5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838200" cy="251460"/>
                    </a:xfrm>
                    <a:prstGeom prst="rect">
                      <a:avLst/>
                    </a:prstGeom>
                    <a:noFill/>
                    <a:ln>
                      <a:noFill/>
                    </a:ln>
                  </pic:spPr>
                </pic:pic>
              </a:graphicData>
            </a:graphic>
          </wp:inline>
        </w:drawing>
      </w:r>
      <w:r>
        <w:t>;</w:t>
      </w:r>
    </w:p>
    <w:p w:rsidR="00E35632" w:rsidRDefault="00E35632">
      <w:pPr>
        <w:pStyle w:val="ConsPlusNormal"/>
        <w:spacing w:before="220"/>
        <w:ind w:firstLine="540"/>
        <w:jc w:val="both"/>
      </w:pPr>
      <w:r>
        <w:rPr>
          <w:i/>
        </w:rPr>
        <w:t>V</w:t>
      </w:r>
      <w:r>
        <w:rPr>
          <w:i/>
          <w:vertAlign w:val="subscript"/>
        </w:rPr>
        <w:t>f</w:t>
      </w:r>
      <w:r>
        <w:t xml:space="preserve"> - объем части фундамента, находящейся в пределах тела выпирания, м</w:t>
      </w:r>
      <w:r>
        <w:rPr>
          <w:vertAlign w:val="superscript"/>
        </w:rPr>
        <w:t>3</w:t>
      </w:r>
      <w:r>
        <w:t>, для анкерных плит принимают равным нулю;</w:t>
      </w:r>
    </w:p>
    <w:p w:rsidR="00E35632" w:rsidRDefault="00E35632">
      <w:pPr>
        <w:pStyle w:val="ConsPlusNormal"/>
        <w:spacing w:before="220"/>
        <w:ind w:firstLine="540"/>
        <w:jc w:val="both"/>
      </w:pPr>
      <w:r>
        <w:rPr>
          <w:i/>
        </w:rPr>
        <w:lastRenderedPageBreak/>
        <w:t>A</w:t>
      </w:r>
      <w:r>
        <w:rPr>
          <w:vertAlign w:val="subscript"/>
        </w:rPr>
        <w:t>1</w:t>
      </w:r>
      <w:r>
        <w:t xml:space="preserve">, </w:t>
      </w:r>
      <w:r>
        <w:rPr>
          <w:i/>
        </w:rPr>
        <w:t>A</w:t>
      </w:r>
      <w:r>
        <w:rPr>
          <w:vertAlign w:val="subscript"/>
        </w:rPr>
        <w:t>2</w:t>
      </w:r>
      <w:r>
        <w:t xml:space="preserve">, </w:t>
      </w:r>
      <w:r>
        <w:rPr>
          <w:i/>
        </w:rPr>
        <w:t>A</w:t>
      </w:r>
      <w:r>
        <w:rPr>
          <w:vertAlign w:val="subscript"/>
        </w:rPr>
        <w:t>3</w:t>
      </w:r>
      <w:r>
        <w:t xml:space="preserve"> - площади граней тела выпирания, м</w:t>
      </w:r>
      <w:r>
        <w:rPr>
          <w:vertAlign w:val="superscript"/>
        </w:rPr>
        <w:t>2</w:t>
      </w:r>
      <w:r>
        <w:t>, имеющих в основании соответственно нижнюю, верхнюю и боковые кромки верхней поверхности фундамента (плиты);</w:t>
      </w:r>
    </w:p>
    <w:p w:rsidR="00E35632" w:rsidRDefault="00E35632">
      <w:pPr>
        <w:pStyle w:val="ConsPlusNormal"/>
        <w:spacing w:before="220"/>
        <w:ind w:firstLine="540"/>
        <w:jc w:val="both"/>
      </w:pPr>
      <w:r>
        <w:rPr>
          <w:i/>
        </w:rPr>
        <w:t>c</w:t>
      </w:r>
      <w:r>
        <w:rPr>
          <w:vertAlign w:val="subscript"/>
        </w:rPr>
        <w:t>0</w:t>
      </w:r>
      <w:r>
        <w:t xml:space="preserve"> и </w:t>
      </w:r>
      <w:r>
        <w:rPr>
          <w:noProof/>
          <w:position w:val="-8"/>
        </w:rPr>
        <w:drawing>
          <wp:inline distT="0" distB="0" distL="0" distR="0">
            <wp:extent cx="182880" cy="250825"/>
            <wp:effectExtent l="0" t="0" r="0" b="0"/>
            <wp:docPr id="5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 xml:space="preserve"> - расчетные значения удельного сцепления, кПа, и угла внутреннего трения грунта обратной засыпки, град., принимаемые равными:</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600710" cy="251460"/>
            <wp:effectExtent l="0" t="0" r="0" b="0"/>
            <wp:docPr id="5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600710" cy="251460"/>
                    </a:xfrm>
                    <a:prstGeom prst="rect">
                      <a:avLst/>
                    </a:prstGeom>
                    <a:noFill/>
                    <a:ln>
                      <a:noFill/>
                    </a:ln>
                  </pic:spPr>
                </pic:pic>
              </a:graphicData>
            </a:graphic>
          </wp:inline>
        </w:drawing>
      </w:r>
      <w:r>
        <w:t xml:space="preserve"> </w:t>
      </w:r>
      <w:r>
        <w:rPr>
          <w:noProof/>
          <w:position w:val="-8"/>
        </w:rPr>
        <w:drawing>
          <wp:inline distT="0" distB="0" distL="0" distR="0">
            <wp:extent cx="656590" cy="251460"/>
            <wp:effectExtent l="0" t="0" r="0" b="0"/>
            <wp:docPr id="5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656590" cy="251460"/>
                    </a:xfrm>
                    <a:prstGeom prst="rect">
                      <a:avLst/>
                    </a:prstGeom>
                    <a:noFill/>
                    <a:ln>
                      <a:noFill/>
                    </a:ln>
                  </pic:spPr>
                </pic:pic>
              </a:graphicData>
            </a:graphic>
          </wp:inline>
        </w:drawing>
      </w:r>
      <w:r>
        <w:t xml:space="preserve"> (7.4)</w:t>
      </w:r>
    </w:p>
    <w:p w:rsidR="00E35632" w:rsidRDefault="00E35632">
      <w:pPr>
        <w:pStyle w:val="ConsPlusNormal"/>
        <w:jc w:val="both"/>
      </w:pPr>
    </w:p>
    <w:p w:rsidR="00E35632" w:rsidRDefault="00E35632">
      <w:pPr>
        <w:pStyle w:val="ConsPlusNormal"/>
        <w:ind w:firstLine="540"/>
        <w:jc w:val="both"/>
      </w:pPr>
      <w:r>
        <w:t xml:space="preserve">здесь </w:t>
      </w:r>
      <w:r>
        <w:rPr>
          <w:i/>
        </w:rPr>
        <w:t>c</w:t>
      </w:r>
      <w:r>
        <w:rPr>
          <w:vertAlign w:val="subscript"/>
        </w:rPr>
        <w:t>1</w:t>
      </w:r>
      <w:r>
        <w:t xml:space="preserve">, </w:t>
      </w:r>
      <w:r>
        <w:rPr>
          <w:noProof/>
          <w:position w:val="-8"/>
        </w:rPr>
        <w:drawing>
          <wp:inline distT="0" distB="0" distL="0" distR="0">
            <wp:extent cx="192405" cy="251460"/>
            <wp:effectExtent l="0" t="0" r="0" b="0"/>
            <wp:docPr id="5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 расчетные значения соответственно удельного сцепления и угла внутреннего трения грунта природного сложения, определяемые в соответствии с </w:t>
      </w:r>
      <w:hyperlink w:anchor="P4239">
        <w:r>
          <w:rPr>
            <w:color w:val="0000FF"/>
          </w:rPr>
          <w:t>7.2</w:t>
        </w:r>
      </w:hyperlink>
      <w:r>
        <w:t>;</w:t>
      </w:r>
    </w:p>
    <w:p w:rsidR="00E35632" w:rsidRDefault="00E35632">
      <w:pPr>
        <w:pStyle w:val="ConsPlusNormal"/>
        <w:spacing w:before="220"/>
        <w:ind w:firstLine="540"/>
        <w:jc w:val="both"/>
      </w:pPr>
      <w:r>
        <w:rPr>
          <w:noProof/>
          <w:position w:val="-4"/>
        </w:rPr>
        <w:drawing>
          <wp:inline distT="0" distB="0" distL="0" distR="0">
            <wp:extent cx="142240" cy="192405"/>
            <wp:effectExtent l="0" t="0" r="0" b="0"/>
            <wp:docPr id="5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42240" cy="192405"/>
                    </a:xfrm>
                    <a:prstGeom prst="rect">
                      <a:avLst/>
                    </a:prstGeom>
                    <a:noFill/>
                    <a:ln>
                      <a:noFill/>
                    </a:ln>
                  </pic:spPr>
                </pic:pic>
              </a:graphicData>
            </a:graphic>
          </wp:inline>
        </w:drawing>
      </w:r>
      <w:r>
        <w:t xml:space="preserve"> - коэффициент, принимаемый по таблице 7.1.</w:t>
      </w:r>
    </w:p>
    <w:p w:rsidR="00E35632" w:rsidRDefault="00E35632">
      <w:pPr>
        <w:pStyle w:val="ConsPlusNormal"/>
        <w:jc w:val="both"/>
      </w:pPr>
    </w:p>
    <w:p w:rsidR="00E35632" w:rsidRDefault="00E35632">
      <w:pPr>
        <w:pStyle w:val="ConsPlusNormal"/>
        <w:jc w:val="right"/>
      </w:pPr>
      <w:r>
        <w:t>Таблица 7.1</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640"/>
        <w:gridCol w:w="1620"/>
        <w:gridCol w:w="1788"/>
      </w:tblGrid>
      <w:tr w:rsidR="00E35632">
        <w:tc>
          <w:tcPr>
            <w:tcW w:w="5640" w:type="dxa"/>
            <w:vMerge w:val="restart"/>
            <w:vAlign w:val="center"/>
          </w:tcPr>
          <w:p w:rsidR="00E35632" w:rsidRDefault="00E35632">
            <w:pPr>
              <w:pStyle w:val="ConsPlusNormal"/>
              <w:jc w:val="center"/>
            </w:pPr>
            <w:r>
              <w:t>Грунты обратной засыпки</w:t>
            </w:r>
          </w:p>
        </w:tc>
        <w:tc>
          <w:tcPr>
            <w:tcW w:w="3408" w:type="dxa"/>
            <w:gridSpan w:val="2"/>
            <w:vAlign w:val="center"/>
          </w:tcPr>
          <w:p w:rsidR="00E35632" w:rsidRDefault="00E35632">
            <w:pPr>
              <w:pStyle w:val="ConsPlusNormal"/>
              <w:jc w:val="center"/>
            </w:pPr>
            <w:r>
              <w:t xml:space="preserve">Коэффициент </w:t>
            </w:r>
            <w:r>
              <w:rPr>
                <w:noProof/>
                <w:position w:val="-4"/>
              </w:rPr>
              <w:drawing>
                <wp:inline distT="0" distB="0" distL="0" distR="0">
                  <wp:extent cx="142240" cy="192405"/>
                  <wp:effectExtent l="0" t="0" r="0" b="0"/>
                  <wp:docPr id="5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42240" cy="192405"/>
                          </a:xfrm>
                          <a:prstGeom prst="rect">
                            <a:avLst/>
                          </a:prstGeom>
                          <a:noFill/>
                          <a:ln>
                            <a:noFill/>
                          </a:ln>
                        </pic:spPr>
                      </pic:pic>
                    </a:graphicData>
                  </a:graphic>
                </wp:inline>
              </w:drawing>
            </w:r>
            <w:r>
              <w:t xml:space="preserve"> при плотности грунта засыпки, т/м</w:t>
            </w:r>
            <w:r>
              <w:rPr>
                <w:vertAlign w:val="superscript"/>
              </w:rPr>
              <w:t>3</w:t>
            </w:r>
          </w:p>
        </w:tc>
      </w:tr>
      <w:tr w:rsidR="00E35632">
        <w:tc>
          <w:tcPr>
            <w:tcW w:w="5640" w:type="dxa"/>
            <w:vMerge/>
          </w:tcPr>
          <w:p w:rsidR="00E35632" w:rsidRDefault="00E35632">
            <w:pPr>
              <w:pStyle w:val="ConsPlusNormal"/>
            </w:pPr>
          </w:p>
        </w:tc>
        <w:tc>
          <w:tcPr>
            <w:tcW w:w="1620" w:type="dxa"/>
            <w:vAlign w:val="center"/>
          </w:tcPr>
          <w:p w:rsidR="00E35632" w:rsidRDefault="00E35632">
            <w:pPr>
              <w:pStyle w:val="ConsPlusNormal"/>
              <w:jc w:val="center"/>
            </w:pPr>
            <w:r>
              <w:t>1,55</w:t>
            </w:r>
          </w:p>
        </w:tc>
        <w:tc>
          <w:tcPr>
            <w:tcW w:w="1788" w:type="dxa"/>
            <w:vAlign w:val="center"/>
          </w:tcPr>
          <w:p w:rsidR="00E35632" w:rsidRDefault="00E35632">
            <w:pPr>
              <w:pStyle w:val="ConsPlusNormal"/>
              <w:jc w:val="center"/>
            </w:pPr>
            <w:r>
              <w:t>1,7</w:t>
            </w:r>
          </w:p>
        </w:tc>
      </w:tr>
      <w:tr w:rsidR="00E35632">
        <w:tblPrEx>
          <w:tblBorders>
            <w:insideH w:val="nil"/>
          </w:tblBorders>
        </w:tblPrEx>
        <w:tc>
          <w:tcPr>
            <w:tcW w:w="5640" w:type="dxa"/>
            <w:tcBorders>
              <w:bottom w:val="nil"/>
            </w:tcBorders>
          </w:tcPr>
          <w:p w:rsidR="00E35632" w:rsidRDefault="00E35632">
            <w:pPr>
              <w:pStyle w:val="ConsPlusNormal"/>
            </w:pPr>
            <w:r>
              <w:t>Пески, кроме пылеватых влажных и насыщенных водой</w:t>
            </w:r>
          </w:p>
        </w:tc>
        <w:tc>
          <w:tcPr>
            <w:tcW w:w="1620" w:type="dxa"/>
            <w:tcBorders>
              <w:bottom w:val="nil"/>
            </w:tcBorders>
          </w:tcPr>
          <w:p w:rsidR="00E35632" w:rsidRDefault="00E35632">
            <w:pPr>
              <w:pStyle w:val="ConsPlusNormal"/>
              <w:jc w:val="center"/>
            </w:pPr>
            <w:r>
              <w:t>0,5</w:t>
            </w:r>
          </w:p>
        </w:tc>
        <w:tc>
          <w:tcPr>
            <w:tcW w:w="1788" w:type="dxa"/>
            <w:tcBorders>
              <w:bottom w:val="nil"/>
            </w:tcBorders>
          </w:tcPr>
          <w:p w:rsidR="00E35632" w:rsidRDefault="00E35632">
            <w:pPr>
              <w:pStyle w:val="ConsPlusNormal"/>
              <w:jc w:val="center"/>
            </w:pPr>
            <w:r>
              <w:t>0,8</w:t>
            </w:r>
          </w:p>
        </w:tc>
      </w:tr>
      <w:tr w:rsidR="00E35632">
        <w:tblPrEx>
          <w:tblBorders>
            <w:insideH w:val="nil"/>
          </w:tblBorders>
        </w:tblPrEx>
        <w:tc>
          <w:tcPr>
            <w:tcW w:w="5640" w:type="dxa"/>
            <w:tcBorders>
              <w:top w:val="nil"/>
            </w:tcBorders>
          </w:tcPr>
          <w:p w:rsidR="00E35632" w:rsidRDefault="00E35632">
            <w:pPr>
              <w:pStyle w:val="ConsPlusNormal"/>
            </w:pPr>
            <w:r>
              <w:t xml:space="preserve">Глинистые грунты при показателе текучести </w:t>
            </w:r>
            <w:r>
              <w:rPr>
                <w:i/>
              </w:rPr>
              <w:t>I</w:t>
            </w:r>
            <w:r>
              <w:rPr>
                <w:i/>
                <w:vertAlign w:val="subscript"/>
              </w:rPr>
              <w:t>L</w:t>
            </w:r>
            <w:r>
              <w:t xml:space="preserve"> &lt;= 0,5</w:t>
            </w:r>
          </w:p>
        </w:tc>
        <w:tc>
          <w:tcPr>
            <w:tcW w:w="1620" w:type="dxa"/>
            <w:tcBorders>
              <w:top w:val="nil"/>
            </w:tcBorders>
          </w:tcPr>
          <w:p w:rsidR="00E35632" w:rsidRDefault="00E35632">
            <w:pPr>
              <w:pStyle w:val="ConsPlusNormal"/>
              <w:jc w:val="center"/>
            </w:pPr>
            <w:r>
              <w:t>0,4</w:t>
            </w:r>
          </w:p>
        </w:tc>
        <w:tc>
          <w:tcPr>
            <w:tcW w:w="1788" w:type="dxa"/>
            <w:tcBorders>
              <w:top w:val="nil"/>
            </w:tcBorders>
          </w:tcPr>
          <w:p w:rsidR="00E35632" w:rsidRDefault="00E35632">
            <w:pPr>
              <w:pStyle w:val="ConsPlusNormal"/>
              <w:jc w:val="center"/>
            </w:pPr>
            <w:r>
              <w:t>0</w:t>
            </w:r>
            <w:r>
              <w:rPr>
                <w:vertAlign w:val="subscript"/>
              </w:rPr>
              <w:t>:</w:t>
            </w:r>
            <w:r>
              <w:t>6</w:t>
            </w:r>
          </w:p>
        </w:tc>
      </w:tr>
      <w:tr w:rsidR="00E35632">
        <w:tc>
          <w:tcPr>
            <w:tcW w:w="9048" w:type="dxa"/>
            <w:gridSpan w:val="3"/>
          </w:tcPr>
          <w:p w:rsidR="00E35632" w:rsidRDefault="00E35632">
            <w:pPr>
              <w:pStyle w:val="ConsPlusNormal"/>
              <w:ind w:firstLine="283"/>
              <w:jc w:val="both"/>
            </w:pPr>
            <w:r>
              <w:t xml:space="preserve">Примечание - Значение коэффициента </w:t>
            </w:r>
            <w:r>
              <w:rPr>
                <w:noProof/>
                <w:position w:val="-4"/>
              </w:rPr>
              <w:drawing>
                <wp:inline distT="0" distB="0" distL="0" distR="0">
                  <wp:extent cx="142240" cy="192405"/>
                  <wp:effectExtent l="0" t="0" r="0" b="0"/>
                  <wp:docPr id="5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142240" cy="192405"/>
                          </a:xfrm>
                          <a:prstGeom prst="rect">
                            <a:avLst/>
                          </a:prstGeom>
                          <a:noFill/>
                          <a:ln>
                            <a:noFill/>
                          </a:ln>
                        </pic:spPr>
                      </pic:pic>
                    </a:graphicData>
                  </a:graphic>
                </wp:inline>
              </w:drawing>
            </w:r>
            <w:r>
              <w:t xml:space="preserve"> для пылеватых песков влажных и насыщенных водой, глин и суглинков при показателе текучести 0,5 &lt; </w:t>
            </w:r>
            <w:r>
              <w:rPr>
                <w:i/>
              </w:rPr>
              <w:t>I</w:t>
            </w:r>
            <w:r>
              <w:rPr>
                <w:i/>
                <w:vertAlign w:val="subscript"/>
              </w:rPr>
              <w:t>L</w:t>
            </w:r>
            <w:r>
              <w:t xml:space="preserve"> &lt;= 0,75 и супесей при 0,5 &lt; </w:t>
            </w:r>
            <w:r>
              <w:rPr>
                <w:i/>
              </w:rPr>
              <w:t>I</w:t>
            </w:r>
            <w:r>
              <w:rPr>
                <w:i/>
                <w:vertAlign w:val="subscript"/>
              </w:rPr>
              <w:t>L</w:t>
            </w:r>
            <w:r>
              <w:t xml:space="preserve"> &lt;= 1 должно быть понижено на 15%.</w:t>
            </w:r>
          </w:p>
        </w:tc>
      </w:tr>
    </w:tbl>
    <w:p w:rsidR="00E35632" w:rsidRDefault="00E35632">
      <w:pPr>
        <w:pStyle w:val="ConsPlusNormal"/>
        <w:jc w:val="both"/>
      </w:pPr>
    </w:p>
    <w:p w:rsidR="00E35632" w:rsidRDefault="00E35632">
      <w:pPr>
        <w:pStyle w:val="ConsPlusNormal"/>
        <w:ind w:firstLine="540"/>
        <w:jc w:val="both"/>
      </w:pPr>
      <w:r>
        <w:t>При близком расположении выдергиваемых фундаментов следует учитывать уменьшение объемов тел выпирания для каждого фундамента.</w:t>
      </w:r>
    </w:p>
    <w:p w:rsidR="00E35632" w:rsidRDefault="00E35632">
      <w:pPr>
        <w:pStyle w:val="ConsPlusNormal"/>
        <w:spacing w:before="220"/>
        <w:ind w:firstLine="540"/>
        <w:jc w:val="both"/>
      </w:pPr>
      <w:bookmarkStart w:id="234" w:name="P4305"/>
      <w:bookmarkEnd w:id="234"/>
      <w:r>
        <w:t>7.11 Несущая способность (устойчивость) основания стоечной опоры считается обеспеченной при соблюдении условия</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1075690" cy="251460"/>
            <wp:effectExtent l="0" t="0" r="0" b="0"/>
            <wp:docPr id="5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1075690" cy="251460"/>
                    </a:xfrm>
                    <a:prstGeom prst="rect">
                      <a:avLst/>
                    </a:prstGeom>
                    <a:noFill/>
                    <a:ln>
                      <a:noFill/>
                    </a:ln>
                  </pic:spPr>
                </pic:pic>
              </a:graphicData>
            </a:graphic>
          </wp:inline>
        </w:drawing>
      </w:r>
      <w:r>
        <w:t xml:space="preserve"> (7.5)</w:t>
      </w:r>
    </w:p>
    <w:p w:rsidR="00E35632" w:rsidRDefault="00E35632">
      <w:pPr>
        <w:pStyle w:val="ConsPlusNormal"/>
        <w:jc w:val="both"/>
      </w:pPr>
    </w:p>
    <w:p w:rsidR="00E35632" w:rsidRDefault="00E35632">
      <w:pPr>
        <w:pStyle w:val="ConsPlusNormal"/>
        <w:ind w:firstLine="540"/>
        <w:jc w:val="both"/>
      </w:pPr>
      <w:r>
        <w:t xml:space="preserve">где </w:t>
      </w:r>
      <w:r>
        <w:rPr>
          <w:i/>
        </w:rPr>
        <w:t>F</w:t>
      </w:r>
      <w:r>
        <w:rPr>
          <w:i/>
          <w:vertAlign w:val="subscript"/>
        </w:rPr>
        <w:t>h</w:t>
      </w:r>
      <w:r>
        <w:t xml:space="preserve"> - расчетная горизонтальная сила, на отметке поверхности грунта, кН;</w:t>
      </w:r>
    </w:p>
    <w:p w:rsidR="00E35632" w:rsidRDefault="00E35632">
      <w:pPr>
        <w:pStyle w:val="ConsPlusNormal"/>
        <w:spacing w:before="220"/>
        <w:ind w:firstLine="540"/>
        <w:jc w:val="both"/>
      </w:pPr>
      <w:r>
        <w:rPr>
          <w:noProof/>
          <w:position w:val="-8"/>
        </w:rPr>
        <w:drawing>
          <wp:inline distT="0" distB="0" distL="0" distR="0">
            <wp:extent cx="241935" cy="251460"/>
            <wp:effectExtent l="0" t="0" r="0" b="0"/>
            <wp:docPr id="5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 коэффициент условий работы закрепления, принимаемый по </w:t>
      </w:r>
      <w:hyperlink w:anchor="P4316">
        <w:r>
          <w:rPr>
            <w:color w:val="0000FF"/>
          </w:rPr>
          <w:t>таблице 7.2</w:t>
        </w:r>
      </w:hyperlink>
      <w:r>
        <w:t>;</w:t>
      </w:r>
    </w:p>
    <w:p w:rsidR="00E35632" w:rsidRDefault="00E35632">
      <w:pPr>
        <w:pStyle w:val="ConsPlusNormal"/>
        <w:spacing w:before="220"/>
        <w:ind w:firstLine="540"/>
        <w:jc w:val="both"/>
      </w:pPr>
      <w:r>
        <w:rPr>
          <w:i/>
        </w:rPr>
        <w:t>F</w:t>
      </w:r>
      <w:r>
        <w:rPr>
          <w:i/>
          <w:vertAlign w:val="subscript"/>
        </w:rPr>
        <w:t>hu</w:t>
      </w:r>
      <w:r>
        <w:t xml:space="preserve"> - предельная горизонтальная сила на отметке поверхности грунта, кН;</w:t>
      </w:r>
    </w:p>
    <w:p w:rsidR="00E35632" w:rsidRDefault="00E35632">
      <w:pPr>
        <w:pStyle w:val="ConsPlusNormal"/>
        <w:spacing w:before="220"/>
        <w:ind w:firstLine="540"/>
        <w:jc w:val="both"/>
      </w:pPr>
      <w:r>
        <w:rPr>
          <w:noProof/>
          <w:position w:val="-8"/>
        </w:rPr>
        <w:drawing>
          <wp:inline distT="0" distB="0" distL="0" distR="0">
            <wp:extent cx="192405" cy="251460"/>
            <wp:effectExtent l="0" t="0" r="0" b="0"/>
            <wp:docPr id="5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 коэффициент надежности по ответственности, принимаемый по </w:t>
      </w:r>
      <w:hyperlink w:anchor="P4261">
        <w:r>
          <w:rPr>
            <w:color w:val="0000FF"/>
          </w:rPr>
          <w:t>7.9</w:t>
        </w:r>
      </w:hyperlink>
      <w:r>
        <w:t>.</w:t>
      </w:r>
    </w:p>
    <w:p w:rsidR="00E35632" w:rsidRDefault="00E35632">
      <w:pPr>
        <w:pStyle w:val="ConsPlusNormal"/>
        <w:spacing w:before="220"/>
        <w:ind w:firstLine="540"/>
        <w:jc w:val="both"/>
      </w:pPr>
      <w:r>
        <w:t xml:space="preserve">Расчет устойчивости основания фундамента стоечной опоры выполняется на воздействие расчетных значений горизонтальной нагрузки </w:t>
      </w:r>
      <w:r>
        <w:rPr>
          <w:i/>
        </w:rPr>
        <w:t>F</w:t>
      </w:r>
      <w:r>
        <w:rPr>
          <w:i/>
          <w:vertAlign w:val="subscript"/>
        </w:rPr>
        <w:t>h</w:t>
      </w:r>
      <w:r>
        <w:t xml:space="preserve">, момента </w:t>
      </w:r>
      <w:r>
        <w:rPr>
          <w:i/>
        </w:rPr>
        <w:t>M</w:t>
      </w:r>
      <w:r>
        <w:t xml:space="preserve"> от горизонтальных и вертикальных нагрузок, приложенных на уровне поверхности грунта и вертикальной нагрузки </w:t>
      </w:r>
      <w:r>
        <w:rPr>
          <w:i/>
        </w:rPr>
        <w:t>F</w:t>
      </w:r>
      <w:r>
        <w:rPr>
          <w:i/>
          <w:vertAlign w:val="subscript"/>
        </w:rPr>
        <w:t>V</w:t>
      </w:r>
      <w:r>
        <w:t>, приложенной на отметке подошвы фундамента.</w:t>
      </w:r>
    </w:p>
    <w:p w:rsidR="00E35632" w:rsidRDefault="00E35632">
      <w:pPr>
        <w:pStyle w:val="ConsPlusNormal"/>
        <w:spacing w:before="220"/>
        <w:ind w:firstLine="540"/>
        <w:jc w:val="both"/>
      </w:pPr>
      <w:r>
        <w:t xml:space="preserve">Усилия </w:t>
      </w:r>
      <w:r>
        <w:rPr>
          <w:i/>
        </w:rPr>
        <w:t>F</w:t>
      </w:r>
      <w:r>
        <w:rPr>
          <w:i/>
          <w:vertAlign w:val="subscript"/>
        </w:rPr>
        <w:t>h</w:t>
      </w:r>
      <w:r>
        <w:t xml:space="preserve">, </w:t>
      </w:r>
      <w:r>
        <w:rPr>
          <w:i/>
        </w:rPr>
        <w:t>M</w:t>
      </w:r>
      <w:r>
        <w:t xml:space="preserve">, </w:t>
      </w:r>
      <w:r>
        <w:rPr>
          <w:i/>
        </w:rPr>
        <w:t>F</w:t>
      </w:r>
      <w:r>
        <w:rPr>
          <w:i/>
          <w:vertAlign w:val="subscript"/>
        </w:rPr>
        <w:t>V</w:t>
      </w:r>
      <w:r>
        <w:t xml:space="preserve"> получают в результате статического расчета опоры. Для расчета устойчивости основания высота </w:t>
      </w:r>
      <w:r>
        <w:rPr>
          <w:i/>
        </w:rPr>
        <w:t>H</w:t>
      </w:r>
      <w:r>
        <w:t xml:space="preserve">, на которой на стойку действует горизонтальная сила </w:t>
      </w:r>
      <w:r>
        <w:rPr>
          <w:i/>
        </w:rPr>
        <w:t>F</w:t>
      </w:r>
      <w:r>
        <w:rPr>
          <w:i/>
          <w:vertAlign w:val="subscript"/>
        </w:rPr>
        <w:t>h</w:t>
      </w:r>
      <w:r>
        <w:t xml:space="preserve">, определяется из условий </w:t>
      </w:r>
      <w:r>
        <w:rPr>
          <w:i/>
        </w:rPr>
        <w:t>H</w:t>
      </w:r>
      <w:r>
        <w:t xml:space="preserve"> = </w:t>
      </w:r>
      <w:r>
        <w:rPr>
          <w:i/>
        </w:rPr>
        <w:t>M</w:t>
      </w:r>
      <w:r>
        <w:t>/</w:t>
      </w:r>
      <w:r>
        <w:rPr>
          <w:i/>
        </w:rPr>
        <w:t>F</w:t>
      </w:r>
      <w:r>
        <w:rPr>
          <w:i/>
          <w:vertAlign w:val="subscript"/>
        </w:rPr>
        <w:t>h</w:t>
      </w:r>
      <w:r>
        <w:t>.</w:t>
      </w:r>
    </w:p>
    <w:p w:rsidR="00E35632" w:rsidRDefault="00E35632">
      <w:pPr>
        <w:pStyle w:val="ConsPlusNormal"/>
        <w:jc w:val="both"/>
      </w:pPr>
    </w:p>
    <w:p w:rsidR="00E35632" w:rsidRDefault="00E35632">
      <w:pPr>
        <w:pStyle w:val="ConsPlusNormal"/>
        <w:jc w:val="right"/>
      </w:pPr>
      <w:bookmarkStart w:id="235" w:name="P4316"/>
      <w:bookmarkEnd w:id="235"/>
      <w:r>
        <w:t>Таблица 7.2</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060"/>
        <w:gridCol w:w="2880"/>
        <w:gridCol w:w="3099"/>
      </w:tblGrid>
      <w:tr w:rsidR="00E35632">
        <w:tc>
          <w:tcPr>
            <w:tcW w:w="3060" w:type="dxa"/>
            <w:vMerge w:val="restart"/>
            <w:tcBorders>
              <w:top w:val="single" w:sz="4" w:space="0" w:color="auto"/>
              <w:bottom w:val="single" w:sz="4" w:space="0" w:color="auto"/>
            </w:tcBorders>
            <w:vAlign w:val="center"/>
          </w:tcPr>
          <w:p w:rsidR="00E35632" w:rsidRDefault="00E35632">
            <w:pPr>
              <w:pStyle w:val="ConsPlusNormal"/>
              <w:jc w:val="center"/>
            </w:pPr>
            <w:r>
              <w:t>Грунты</w:t>
            </w:r>
          </w:p>
        </w:tc>
        <w:tc>
          <w:tcPr>
            <w:tcW w:w="5979" w:type="dxa"/>
            <w:gridSpan w:val="2"/>
            <w:tcBorders>
              <w:top w:val="single" w:sz="4" w:space="0" w:color="auto"/>
              <w:bottom w:val="single" w:sz="4" w:space="0" w:color="auto"/>
            </w:tcBorders>
            <w:vAlign w:val="center"/>
          </w:tcPr>
          <w:p w:rsidR="00E35632" w:rsidRDefault="00E35632">
            <w:pPr>
              <w:pStyle w:val="ConsPlusNormal"/>
              <w:jc w:val="center"/>
            </w:pPr>
            <w:r>
              <w:t xml:space="preserve">Значение коэффициента условий работы закрепления </w:t>
            </w:r>
            <w:r>
              <w:rPr>
                <w:noProof/>
                <w:position w:val="-8"/>
              </w:rPr>
              <w:drawing>
                <wp:inline distT="0" distB="0" distL="0" distR="0">
                  <wp:extent cx="241935" cy="251460"/>
                  <wp:effectExtent l="0" t="0" r="0" b="0"/>
                  <wp:docPr id="5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в грунтах со структурой</w:t>
            </w:r>
          </w:p>
        </w:tc>
      </w:tr>
      <w:tr w:rsidR="00E35632">
        <w:tc>
          <w:tcPr>
            <w:tcW w:w="3060" w:type="dxa"/>
            <w:vMerge/>
            <w:tcBorders>
              <w:top w:val="single" w:sz="4" w:space="0" w:color="auto"/>
              <w:bottom w:val="single" w:sz="4" w:space="0" w:color="auto"/>
            </w:tcBorders>
          </w:tcPr>
          <w:p w:rsidR="00E35632" w:rsidRDefault="00E35632">
            <w:pPr>
              <w:pStyle w:val="ConsPlusNormal"/>
            </w:pPr>
          </w:p>
        </w:tc>
        <w:tc>
          <w:tcPr>
            <w:tcW w:w="2880" w:type="dxa"/>
            <w:tcBorders>
              <w:top w:val="single" w:sz="4" w:space="0" w:color="auto"/>
              <w:bottom w:val="single" w:sz="4" w:space="0" w:color="auto"/>
            </w:tcBorders>
            <w:vAlign w:val="center"/>
          </w:tcPr>
          <w:p w:rsidR="00E35632" w:rsidRDefault="00E35632">
            <w:pPr>
              <w:pStyle w:val="ConsPlusNormal"/>
              <w:jc w:val="center"/>
            </w:pPr>
            <w:r>
              <w:t>нарушенной</w:t>
            </w:r>
          </w:p>
        </w:tc>
        <w:tc>
          <w:tcPr>
            <w:tcW w:w="3099" w:type="dxa"/>
            <w:tcBorders>
              <w:top w:val="single" w:sz="4" w:space="0" w:color="auto"/>
              <w:bottom w:val="single" w:sz="4" w:space="0" w:color="auto"/>
            </w:tcBorders>
            <w:vAlign w:val="center"/>
          </w:tcPr>
          <w:p w:rsidR="00E35632" w:rsidRDefault="00E35632">
            <w:pPr>
              <w:pStyle w:val="ConsPlusNormal"/>
              <w:jc w:val="center"/>
            </w:pPr>
            <w:r>
              <w:t>ненарушенной</w:t>
            </w:r>
          </w:p>
        </w:tc>
      </w:tr>
      <w:tr w:rsidR="00E35632">
        <w:tblPrEx>
          <w:tblBorders>
            <w:insideH w:val="none" w:sz="0" w:space="0" w:color="auto"/>
          </w:tblBorders>
        </w:tblPrEx>
        <w:tc>
          <w:tcPr>
            <w:tcW w:w="3060" w:type="dxa"/>
            <w:tcBorders>
              <w:top w:val="single" w:sz="4" w:space="0" w:color="auto"/>
              <w:bottom w:val="nil"/>
            </w:tcBorders>
          </w:tcPr>
          <w:p w:rsidR="00E35632" w:rsidRDefault="00E35632">
            <w:pPr>
              <w:pStyle w:val="ConsPlusNormal"/>
            </w:pPr>
            <w:r>
              <w:t>Пески:</w:t>
            </w:r>
          </w:p>
        </w:tc>
        <w:tc>
          <w:tcPr>
            <w:tcW w:w="2880" w:type="dxa"/>
            <w:tcBorders>
              <w:top w:val="single" w:sz="4" w:space="0" w:color="auto"/>
              <w:bottom w:val="nil"/>
            </w:tcBorders>
          </w:tcPr>
          <w:p w:rsidR="00E35632" w:rsidRDefault="00E35632">
            <w:pPr>
              <w:pStyle w:val="ConsPlusNormal"/>
            </w:pPr>
          </w:p>
        </w:tc>
        <w:tc>
          <w:tcPr>
            <w:tcW w:w="3099" w:type="dxa"/>
            <w:tcBorders>
              <w:top w:val="single" w:sz="4" w:space="0" w:color="auto"/>
              <w:bottom w:val="nil"/>
            </w:tcBorders>
          </w:tcPr>
          <w:p w:rsidR="00E35632" w:rsidRDefault="00E35632">
            <w:pPr>
              <w:pStyle w:val="ConsPlusNormal"/>
            </w:pPr>
          </w:p>
        </w:tc>
      </w:tr>
      <w:tr w:rsidR="00E35632">
        <w:tblPrEx>
          <w:tblBorders>
            <w:insideH w:val="none" w:sz="0" w:space="0" w:color="auto"/>
          </w:tblBorders>
        </w:tblPrEx>
        <w:tc>
          <w:tcPr>
            <w:tcW w:w="3060" w:type="dxa"/>
            <w:tcBorders>
              <w:top w:val="nil"/>
              <w:bottom w:val="nil"/>
            </w:tcBorders>
          </w:tcPr>
          <w:p w:rsidR="00E35632" w:rsidRDefault="00E35632">
            <w:pPr>
              <w:pStyle w:val="ConsPlusNormal"/>
            </w:pPr>
            <w:r>
              <w:t>крупные</w:t>
            </w:r>
          </w:p>
        </w:tc>
        <w:tc>
          <w:tcPr>
            <w:tcW w:w="2880" w:type="dxa"/>
            <w:tcBorders>
              <w:top w:val="nil"/>
              <w:bottom w:val="nil"/>
            </w:tcBorders>
          </w:tcPr>
          <w:p w:rsidR="00E35632" w:rsidRDefault="00E35632">
            <w:pPr>
              <w:pStyle w:val="ConsPlusNormal"/>
              <w:jc w:val="center"/>
            </w:pPr>
            <w:r>
              <w:t>1,05</w:t>
            </w:r>
          </w:p>
        </w:tc>
        <w:tc>
          <w:tcPr>
            <w:tcW w:w="3099" w:type="dxa"/>
            <w:tcBorders>
              <w:top w:val="nil"/>
              <w:bottom w:val="nil"/>
            </w:tcBorders>
          </w:tcPr>
          <w:p w:rsidR="00E35632" w:rsidRDefault="00E35632">
            <w:pPr>
              <w:pStyle w:val="ConsPlusNormal"/>
              <w:jc w:val="center"/>
            </w:pPr>
            <w:r>
              <w:t>1</w:t>
            </w:r>
          </w:p>
        </w:tc>
      </w:tr>
      <w:tr w:rsidR="00E35632">
        <w:tblPrEx>
          <w:tblBorders>
            <w:insideH w:val="none" w:sz="0" w:space="0" w:color="auto"/>
          </w:tblBorders>
        </w:tblPrEx>
        <w:tc>
          <w:tcPr>
            <w:tcW w:w="3060" w:type="dxa"/>
            <w:tcBorders>
              <w:top w:val="nil"/>
              <w:bottom w:val="nil"/>
            </w:tcBorders>
          </w:tcPr>
          <w:p w:rsidR="00E35632" w:rsidRDefault="00E35632">
            <w:pPr>
              <w:pStyle w:val="ConsPlusNormal"/>
            </w:pPr>
            <w:r>
              <w:t>средней крупности</w:t>
            </w:r>
          </w:p>
        </w:tc>
        <w:tc>
          <w:tcPr>
            <w:tcW w:w="2880" w:type="dxa"/>
            <w:tcBorders>
              <w:top w:val="nil"/>
              <w:bottom w:val="nil"/>
            </w:tcBorders>
          </w:tcPr>
          <w:p w:rsidR="00E35632" w:rsidRDefault="00E35632">
            <w:pPr>
              <w:pStyle w:val="ConsPlusNormal"/>
              <w:jc w:val="center"/>
            </w:pPr>
            <w:r>
              <w:t>1,1</w:t>
            </w:r>
          </w:p>
        </w:tc>
        <w:tc>
          <w:tcPr>
            <w:tcW w:w="3099" w:type="dxa"/>
            <w:tcBorders>
              <w:top w:val="nil"/>
              <w:bottom w:val="nil"/>
            </w:tcBorders>
          </w:tcPr>
          <w:p w:rsidR="00E35632" w:rsidRDefault="00E35632">
            <w:pPr>
              <w:pStyle w:val="ConsPlusNormal"/>
              <w:jc w:val="center"/>
            </w:pPr>
            <w:r>
              <w:t>1</w:t>
            </w:r>
          </w:p>
        </w:tc>
      </w:tr>
      <w:tr w:rsidR="00E35632">
        <w:tblPrEx>
          <w:tblBorders>
            <w:insideH w:val="none" w:sz="0" w:space="0" w:color="auto"/>
          </w:tblBorders>
        </w:tblPrEx>
        <w:tc>
          <w:tcPr>
            <w:tcW w:w="3060" w:type="dxa"/>
            <w:tcBorders>
              <w:top w:val="nil"/>
              <w:bottom w:val="single" w:sz="4" w:space="0" w:color="auto"/>
            </w:tcBorders>
          </w:tcPr>
          <w:p w:rsidR="00E35632" w:rsidRDefault="00E35632">
            <w:pPr>
              <w:pStyle w:val="ConsPlusNormal"/>
            </w:pPr>
            <w:r>
              <w:t>мелкие</w:t>
            </w:r>
          </w:p>
        </w:tc>
        <w:tc>
          <w:tcPr>
            <w:tcW w:w="2880" w:type="dxa"/>
            <w:tcBorders>
              <w:top w:val="nil"/>
              <w:bottom w:val="nil"/>
            </w:tcBorders>
          </w:tcPr>
          <w:p w:rsidR="00E35632" w:rsidRDefault="00E35632">
            <w:pPr>
              <w:pStyle w:val="ConsPlusNormal"/>
              <w:jc w:val="center"/>
            </w:pPr>
            <w:r>
              <w:t>1,1</w:t>
            </w:r>
          </w:p>
        </w:tc>
        <w:tc>
          <w:tcPr>
            <w:tcW w:w="3099" w:type="dxa"/>
            <w:tcBorders>
              <w:top w:val="nil"/>
              <w:bottom w:val="nil"/>
            </w:tcBorders>
          </w:tcPr>
          <w:p w:rsidR="00E35632" w:rsidRDefault="00E35632">
            <w:pPr>
              <w:pStyle w:val="ConsPlusNormal"/>
              <w:jc w:val="center"/>
            </w:pPr>
            <w:r>
              <w:t>1</w:t>
            </w:r>
          </w:p>
        </w:tc>
      </w:tr>
      <w:tr w:rsidR="00E35632">
        <w:tc>
          <w:tcPr>
            <w:tcW w:w="3060" w:type="dxa"/>
            <w:tcBorders>
              <w:top w:val="single" w:sz="4" w:space="0" w:color="auto"/>
              <w:bottom w:val="single" w:sz="4" w:space="0" w:color="auto"/>
            </w:tcBorders>
          </w:tcPr>
          <w:p w:rsidR="00E35632" w:rsidRDefault="00E35632">
            <w:pPr>
              <w:pStyle w:val="ConsPlusNormal"/>
            </w:pPr>
            <w:r>
              <w:t>пылеватые</w:t>
            </w:r>
          </w:p>
        </w:tc>
        <w:tc>
          <w:tcPr>
            <w:tcW w:w="2880" w:type="dxa"/>
            <w:tcBorders>
              <w:top w:val="nil"/>
              <w:bottom w:val="single" w:sz="4" w:space="0" w:color="auto"/>
            </w:tcBorders>
          </w:tcPr>
          <w:p w:rsidR="00E35632" w:rsidRDefault="00E35632">
            <w:pPr>
              <w:pStyle w:val="ConsPlusNormal"/>
              <w:jc w:val="center"/>
            </w:pPr>
            <w:r>
              <w:t>1,15</w:t>
            </w:r>
          </w:p>
        </w:tc>
        <w:tc>
          <w:tcPr>
            <w:tcW w:w="3099" w:type="dxa"/>
            <w:tcBorders>
              <w:top w:val="nil"/>
              <w:bottom w:val="single" w:sz="4" w:space="0" w:color="auto"/>
            </w:tcBorders>
          </w:tcPr>
          <w:p w:rsidR="00E35632" w:rsidRDefault="00E35632">
            <w:pPr>
              <w:pStyle w:val="ConsPlusNormal"/>
              <w:jc w:val="center"/>
            </w:pPr>
            <w:r>
              <w:t>1,05</w:t>
            </w:r>
          </w:p>
        </w:tc>
      </w:tr>
      <w:tr w:rsidR="00E35632">
        <w:tblPrEx>
          <w:tblBorders>
            <w:insideH w:val="none" w:sz="0" w:space="0" w:color="auto"/>
          </w:tblBorders>
        </w:tblPrEx>
        <w:tc>
          <w:tcPr>
            <w:tcW w:w="3060" w:type="dxa"/>
            <w:tcBorders>
              <w:top w:val="single" w:sz="4" w:space="0" w:color="auto"/>
              <w:bottom w:val="nil"/>
            </w:tcBorders>
          </w:tcPr>
          <w:p w:rsidR="00E35632" w:rsidRDefault="00E35632">
            <w:pPr>
              <w:pStyle w:val="ConsPlusNormal"/>
            </w:pPr>
            <w:r>
              <w:t>Супеси:</w:t>
            </w:r>
          </w:p>
        </w:tc>
        <w:tc>
          <w:tcPr>
            <w:tcW w:w="2880" w:type="dxa"/>
            <w:tcBorders>
              <w:top w:val="single" w:sz="4" w:space="0" w:color="auto"/>
              <w:bottom w:val="nil"/>
            </w:tcBorders>
          </w:tcPr>
          <w:p w:rsidR="00E35632" w:rsidRDefault="00E35632">
            <w:pPr>
              <w:pStyle w:val="ConsPlusNormal"/>
            </w:pPr>
          </w:p>
        </w:tc>
        <w:tc>
          <w:tcPr>
            <w:tcW w:w="3099" w:type="dxa"/>
            <w:tcBorders>
              <w:top w:val="single" w:sz="4" w:space="0" w:color="auto"/>
              <w:bottom w:val="nil"/>
            </w:tcBorders>
          </w:tcPr>
          <w:p w:rsidR="00E35632" w:rsidRDefault="00E35632">
            <w:pPr>
              <w:pStyle w:val="ConsPlusNormal"/>
            </w:pPr>
          </w:p>
        </w:tc>
      </w:tr>
      <w:tr w:rsidR="00E35632">
        <w:tblPrEx>
          <w:tblBorders>
            <w:insideH w:val="none" w:sz="0" w:space="0" w:color="auto"/>
          </w:tblBorders>
        </w:tblPrEx>
        <w:tc>
          <w:tcPr>
            <w:tcW w:w="3060" w:type="dxa"/>
            <w:tcBorders>
              <w:top w:val="nil"/>
              <w:bottom w:val="single" w:sz="4" w:space="0" w:color="auto"/>
            </w:tcBorders>
          </w:tcPr>
          <w:p w:rsidR="00E35632" w:rsidRDefault="00E35632">
            <w:pPr>
              <w:pStyle w:val="ConsPlusNormal"/>
            </w:pPr>
            <w:r>
              <w:rPr>
                <w:i/>
              </w:rPr>
              <w:t>I</w:t>
            </w:r>
            <w:r>
              <w:rPr>
                <w:i/>
                <w:vertAlign w:val="subscript"/>
              </w:rPr>
              <w:t>L</w:t>
            </w:r>
            <w:r>
              <w:t xml:space="preserve"> &lt;= 0,25</w:t>
            </w:r>
          </w:p>
        </w:tc>
        <w:tc>
          <w:tcPr>
            <w:tcW w:w="2880" w:type="dxa"/>
            <w:tcBorders>
              <w:top w:val="nil"/>
              <w:bottom w:val="nil"/>
            </w:tcBorders>
            <w:vAlign w:val="bottom"/>
          </w:tcPr>
          <w:p w:rsidR="00E35632" w:rsidRDefault="00E35632">
            <w:pPr>
              <w:pStyle w:val="ConsPlusNormal"/>
              <w:jc w:val="center"/>
            </w:pPr>
            <w:r>
              <w:t>1,3</w:t>
            </w:r>
          </w:p>
        </w:tc>
        <w:tc>
          <w:tcPr>
            <w:tcW w:w="3099" w:type="dxa"/>
            <w:tcBorders>
              <w:top w:val="nil"/>
              <w:bottom w:val="nil"/>
            </w:tcBorders>
            <w:vAlign w:val="bottom"/>
          </w:tcPr>
          <w:p w:rsidR="00E35632" w:rsidRDefault="00E35632">
            <w:pPr>
              <w:pStyle w:val="ConsPlusNormal"/>
              <w:jc w:val="center"/>
            </w:pPr>
            <w:r>
              <w:t>1,2</w:t>
            </w:r>
          </w:p>
        </w:tc>
      </w:tr>
      <w:tr w:rsidR="00E35632">
        <w:tc>
          <w:tcPr>
            <w:tcW w:w="3060" w:type="dxa"/>
            <w:tcBorders>
              <w:top w:val="single" w:sz="4" w:space="0" w:color="auto"/>
              <w:bottom w:val="single" w:sz="4" w:space="0" w:color="auto"/>
            </w:tcBorders>
          </w:tcPr>
          <w:p w:rsidR="00E35632" w:rsidRDefault="00E35632">
            <w:pPr>
              <w:pStyle w:val="ConsPlusNormal"/>
            </w:pPr>
            <w:r>
              <w:rPr>
                <w:i/>
              </w:rPr>
              <w:t>I</w:t>
            </w:r>
            <w:r>
              <w:rPr>
                <w:i/>
                <w:vertAlign w:val="subscript"/>
              </w:rPr>
              <w:t>L</w:t>
            </w:r>
            <w:r>
              <w:t xml:space="preserve"> &gt; 0,25</w:t>
            </w:r>
          </w:p>
        </w:tc>
        <w:tc>
          <w:tcPr>
            <w:tcW w:w="2880" w:type="dxa"/>
            <w:tcBorders>
              <w:top w:val="nil"/>
              <w:bottom w:val="single" w:sz="4" w:space="0" w:color="auto"/>
            </w:tcBorders>
            <w:vAlign w:val="bottom"/>
          </w:tcPr>
          <w:p w:rsidR="00E35632" w:rsidRDefault="00E35632">
            <w:pPr>
              <w:pStyle w:val="ConsPlusNormal"/>
              <w:jc w:val="center"/>
            </w:pPr>
            <w:r>
              <w:t>1,4</w:t>
            </w:r>
          </w:p>
        </w:tc>
        <w:tc>
          <w:tcPr>
            <w:tcW w:w="3099" w:type="dxa"/>
            <w:tcBorders>
              <w:top w:val="nil"/>
              <w:bottom w:val="single" w:sz="4" w:space="0" w:color="auto"/>
            </w:tcBorders>
            <w:vAlign w:val="bottom"/>
          </w:tcPr>
          <w:p w:rsidR="00E35632" w:rsidRDefault="00E35632">
            <w:pPr>
              <w:pStyle w:val="ConsPlusNormal"/>
              <w:jc w:val="center"/>
            </w:pPr>
            <w:r>
              <w:t>1,3</w:t>
            </w:r>
          </w:p>
        </w:tc>
      </w:tr>
      <w:tr w:rsidR="00E35632">
        <w:tblPrEx>
          <w:tblBorders>
            <w:insideH w:val="none" w:sz="0" w:space="0" w:color="auto"/>
          </w:tblBorders>
        </w:tblPrEx>
        <w:tc>
          <w:tcPr>
            <w:tcW w:w="3060" w:type="dxa"/>
            <w:tcBorders>
              <w:top w:val="single" w:sz="4" w:space="0" w:color="auto"/>
              <w:bottom w:val="nil"/>
            </w:tcBorders>
          </w:tcPr>
          <w:p w:rsidR="00E35632" w:rsidRDefault="00E35632">
            <w:pPr>
              <w:pStyle w:val="ConsPlusNormal"/>
            </w:pPr>
            <w:r>
              <w:t>Суглинки:</w:t>
            </w:r>
          </w:p>
        </w:tc>
        <w:tc>
          <w:tcPr>
            <w:tcW w:w="2880" w:type="dxa"/>
            <w:tcBorders>
              <w:top w:val="single" w:sz="4" w:space="0" w:color="auto"/>
              <w:bottom w:val="nil"/>
            </w:tcBorders>
          </w:tcPr>
          <w:p w:rsidR="00E35632" w:rsidRDefault="00E35632">
            <w:pPr>
              <w:pStyle w:val="ConsPlusNormal"/>
            </w:pPr>
          </w:p>
        </w:tc>
        <w:tc>
          <w:tcPr>
            <w:tcW w:w="3099" w:type="dxa"/>
            <w:tcBorders>
              <w:top w:val="single" w:sz="4" w:space="0" w:color="auto"/>
              <w:bottom w:val="nil"/>
            </w:tcBorders>
          </w:tcPr>
          <w:p w:rsidR="00E35632" w:rsidRDefault="00E35632">
            <w:pPr>
              <w:pStyle w:val="ConsPlusNormal"/>
            </w:pPr>
          </w:p>
        </w:tc>
      </w:tr>
      <w:tr w:rsidR="00E35632">
        <w:tblPrEx>
          <w:tblBorders>
            <w:insideH w:val="none" w:sz="0" w:space="0" w:color="auto"/>
          </w:tblBorders>
        </w:tblPrEx>
        <w:tc>
          <w:tcPr>
            <w:tcW w:w="3060" w:type="dxa"/>
            <w:tcBorders>
              <w:top w:val="nil"/>
              <w:bottom w:val="nil"/>
            </w:tcBorders>
          </w:tcPr>
          <w:p w:rsidR="00E35632" w:rsidRDefault="00E35632">
            <w:pPr>
              <w:pStyle w:val="ConsPlusNormal"/>
            </w:pPr>
            <w:r>
              <w:rPr>
                <w:i/>
              </w:rPr>
              <w:t>I</w:t>
            </w:r>
            <w:r>
              <w:rPr>
                <w:i/>
                <w:vertAlign w:val="subscript"/>
              </w:rPr>
              <w:t>L</w:t>
            </w:r>
            <w:r>
              <w:t xml:space="preserve"> &lt;= 0,25</w:t>
            </w:r>
          </w:p>
        </w:tc>
        <w:tc>
          <w:tcPr>
            <w:tcW w:w="2880" w:type="dxa"/>
            <w:tcBorders>
              <w:top w:val="nil"/>
              <w:bottom w:val="nil"/>
            </w:tcBorders>
          </w:tcPr>
          <w:p w:rsidR="00E35632" w:rsidRDefault="00E35632">
            <w:pPr>
              <w:pStyle w:val="ConsPlusNormal"/>
              <w:jc w:val="center"/>
            </w:pPr>
            <w:r>
              <w:t>1,25</w:t>
            </w:r>
          </w:p>
        </w:tc>
        <w:tc>
          <w:tcPr>
            <w:tcW w:w="3099" w:type="dxa"/>
            <w:tcBorders>
              <w:top w:val="nil"/>
              <w:bottom w:val="nil"/>
            </w:tcBorders>
          </w:tcPr>
          <w:p w:rsidR="00E35632" w:rsidRDefault="00E35632">
            <w:pPr>
              <w:pStyle w:val="ConsPlusNormal"/>
              <w:jc w:val="center"/>
            </w:pPr>
            <w:r>
              <w:t>1,15</w:t>
            </w:r>
          </w:p>
        </w:tc>
      </w:tr>
      <w:tr w:rsidR="00E35632">
        <w:tblPrEx>
          <w:tblBorders>
            <w:insideH w:val="none" w:sz="0" w:space="0" w:color="auto"/>
          </w:tblBorders>
        </w:tblPrEx>
        <w:tc>
          <w:tcPr>
            <w:tcW w:w="3060" w:type="dxa"/>
            <w:tcBorders>
              <w:top w:val="nil"/>
              <w:bottom w:val="nil"/>
            </w:tcBorders>
          </w:tcPr>
          <w:p w:rsidR="00E35632" w:rsidRDefault="00E35632">
            <w:pPr>
              <w:pStyle w:val="ConsPlusNormal"/>
            </w:pPr>
            <w:r>
              <w:t xml:space="preserve">0,25 &lt; </w:t>
            </w:r>
            <w:r>
              <w:rPr>
                <w:i/>
              </w:rPr>
              <w:t>I</w:t>
            </w:r>
            <w:r>
              <w:rPr>
                <w:i/>
                <w:vertAlign w:val="subscript"/>
              </w:rPr>
              <w:t>L</w:t>
            </w:r>
            <w:r>
              <w:t xml:space="preserve"> &lt;= 0,5</w:t>
            </w:r>
          </w:p>
        </w:tc>
        <w:tc>
          <w:tcPr>
            <w:tcW w:w="2880" w:type="dxa"/>
            <w:tcBorders>
              <w:top w:val="nil"/>
              <w:bottom w:val="nil"/>
            </w:tcBorders>
          </w:tcPr>
          <w:p w:rsidR="00E35632" w:rsidRDefault="00E35632">
            <w:pPr>
              <w:pStyle w:val="ConsPlusNormal"/>
              <w:jc w:val="center"/>
            </w:pPr>
            <w:r>
              <w:t>1,4</w:t>
            </w:r>
          </w:p>
        </w:tc>
        <w:tc>
          <w:tcPr>
            <w:tcW w:w="3099" w:type="dxa"/>
            <w:tcBorders>
              <w:top w:val="nil"/>
              <w:bottom w:val="nil"/>
            </w:tcBorders>
          </w:tcPr>
          <w:p w:rsidR="00E35632" w:rsidRDefault="00E35632">
            <w:pPr>
              <w:pStyle w:val="ConsPlusNormal"/>
              <w:jc w:val="center"/>
            </w:pPr>
            <w:r>
              <w:t>1,25</w:t>
            </w:r>
          </w:p>
        </w:tc>
      </w:tr>
      <w:tr w:rsidR="00E35632">
        <w:tblPrEx>
          <w:tblBorders>
            <w:insideH w:val="none" w:sz="0" w:space="0" w:color="auto"/>
          </w:tblBorders>
        </w:tblPrEx>
        <w:tc>
          <w:tcPr>
            <w:tcW w:w="3060" w:type="dxa"/>
            <w:tcBorders>
              <w:top w:val="nil"/>
              <w:bottom w:val="single" w:sz="4" w:space="0" w:color="auto"/>
            </w:tcBorders>
          </w:tcPr>
          <w:p w:rsidR="00E35632" w:rsidRDefault="00E35632">
            <w:pPr>
              <w:pStyle w:val="ConsPlusNormal"/>
            </w:pPr>
            <w:r>
              <w:rPr>
                <w:i/>
              </w:rPr>
              <w:t>I</w:t>
            </w:r>
            <w:r>
              <w:rPr>
                <w:i/>
                <w:vertAlign w:val="subscript"/>
              </w:rPr>
              <w:t>L</w:t>
            </w:r>
            <w:r>
              <w:t xml:space="preserve"> &gt; 0,5</w:t>
            </w:r>
          </w:p>
        </w:tc>
        <w:tc>
          <w:tcPr>
            <w:tcW w:w="2880" w:type="dxa"/>
            <w:tcBorders>
              <w:top w:val="nil"/>
              <w:bottom w:val="single" w:sz="4" w:space="0" w:color="auto"/>
            </w:tcBorders>
          </w:tcPr>
          <w:p w:rsidR="00E35632" w:rsidRDefault="00E35632">
            <w:pPr>
              <w:pStyle w:val="ConsPlusNormal"/>
              <w:jc w:val="center"/>
            </w:pPr>
            <w:r>
              <w:t>1,4</w:t>
            </w:r>
          </w:p>
        </w:tc>
        <w:tc>
          <w:tcPr>
            <w:tcW w:w="3099" w:type="dxa"/>
            <w:tcBorders>
              <w:top w:val="nil"/>
              <w:bottom w:val="single" w:sz="4" w:space="0" w:color="auto"/>
            </w:tcBorders>
          </w:tcPr>
          <w:p w:rsidR="00E35632" w:rsidRDefault="00E35632">
            <w:pPr>
              <w:pStyle w:val="ConsPlusNormal"/>
              <w:jc w:val="center"/>
            </w:pPr>
            <w:r>
              <w:t>1,25</w:t>
            </w:r>
          </w:p>
        </w:tc>
      </w:tr>
      <w:tr w:rsidR="00E35632">
        <w:tblPrEx>
          <w:tblBorders>
            <w:insideH w:val="none" w:sz="0" w:space="0" w:color="auto"/>
          </w:tblBorders>
        </w:tblPrEx>
        <w:tc>
          <w:tcPr>
            <w:tcW w:w="3060" w:type="dxa"/>
            <w:tcBorders>
              <w:top w:val="single" w:sz="4" w:space="0" w:color="auto"/>
              <w:bottom w:val="nil"/>
            </w:tcBorders>
          </w:tcPr>
          <w:p w:rsidR="00E35632" w:rsidRDefault="00E35632">
            <w:pPr>
              <w:pStyle w:val="ConsPlusNormal"/>
            </w:pPr>
            <w:r>
              <w:t>Глины:</w:t>
            </w:r>
          </w:p>
        </w:tc>
        <w:tc>
          <w:tcPr>
            <w:tcW w:w="2880" w:type="dxa"/>
            <w:tcBorders>
              <w:top w:val="single" w:sz="4" w:space="0" w:color="auto"/>
              <w:bottom w:val="nil"/>
            </w:tcBorders>
          </w:tcPr>
          <w:p w:rsidR="00E35632" w:rsidRDefault="00E35632">
            <w:pPr>
              <w:pStyle w:val="ConsPlusNormal"/>
            </w:pPr>
          </w:p>
        </w:tc>
        <w:tc>
          <w:tcPr>
            <w:tcW w:w="3099" w:type="dxa"/>
            <w:tcBorders>
              <w:top w:val="single" w:sz="4" w:space="0" w:color="auto"/>
              <w:bottom w:val="nil"/>
            </w:tcBorders>
          </w:tcPr>
          <w:p w:rsidR="00E35632" w:rsidRDefault="00E35632">
            <w:pPr>
              <w:pStyle w:val="ConsPlusNormal"/>
            </w:pPr>
          </w:p>
        </w:tc>
      </w:tr>
      <w:tr w:rsidR="00E35632">
        <w:tblPrEx>
          <w:tblBorders>
            <w:insideH w:val="none" w:sz="0" w:space="0" w:color="auto"/>
          </w:tblBorders>
        </w:tblPrEx>
        <w:tc>
          <w:tcPr>
            <w:tcW w:w="3060" w:type="dxa"/>
            <w:tcBorders>
              <w:top w:val="nil"/>
              <w:bottom w:val="nil"/>
            </w:tcBorders>
          </w:tcPr>
          <w:p w:rsidR="00E35632" w:rsidRDefault="00E35632">
            <w:pPr>
              <w:pStyle w:val="ConsPlusNormal"/>
            </w:pPr>
            <w:r>
              <w:rPr>
                <w:i/>
              </w:rPr>
              <w:t>I</w:t>
            </w:r>
            <w:r>
              <w:rPr>
                <w:i/>
                <w:vertAlign w:val="subscript"/>
              </w:rPr>
              <w:t>L</w:t>
            </w:r>
            <w:r>
              <w:t xml:space="preserve"> &lt;= 0,25</w:t>
            </w:r>
          </w:p>
        </w:tc>
        <w:tc>
          <w:tcPr>
            <w:tcW w:w="2880" w:type="dxa"/>
            <w:tcBorders>
              <w:top w:val="nil"/>
              <w:bottom w:val="nil"/>
            </w:tcBorders>
          </w:tcPr>
          <w:p w:rsidR="00E35632" w:rsidRDefault="00E35632">
            <w:pPr>
              <w:pStyle w:val="ConsPlusNormal"/>
              <w:jc w:val="center"/>
            </w:pPr>
            <w:r>
              <w:t>1,5</w:t>
            </w:r>
          </w:p>
        </w:tc>
        <w:tc>
          <w:tcPr>
            <w:tcW w:w="3099" w:type="dxa"/>
            <w:tcBorders>
              <w:top w:val="nil"/>
              <w:bottom w:val="nil"/>
            </w:tcBorders>
          </w:tcPr>
          <w:p w:rsidR="00E35632" w:rsidRDefault="00E35632">
            <w:pPr>
              <w:pStyle w:val="ConsPlusNormal"/>
              <w:jc w:val="center"/>
            </w:pPr>
            <w:r>
              <w:t>1,3</w:t>
            </w:r>
          </w:p>
        </w:tc>
      </w:tr>
      <w:tr w:rsidR="00E35632">
        <w:tblPrEx>
          <w:tblBorders>
            <w:insideH w:val="none" w:sz="0" w:space="0" w:color="auto"/>
          </w:tblBorders>
        </w:tblPrEx>
        <w:tc>
          <w:tcPr>
            <w:tcW w:w="3060" w:type="dxa"/>
            <w:tcBorders>
              <w:top w:val="nil"/>
              <w:bottom w:val="nil"/>
            </w:tcBorders>
          </w:tcPr>
          <w:p w:rsidR="00E35632" w:rsidRDefault="00E35632">
            <w:pPr>
              <w:pStyle w:val="ConsPlusNormal"/>
            </w:pPr>
            <w:r>
              <w:t xml:space="preserve">0,25 &lt; </w:t>
            </w:r>
            <w:r>
              <w:rPr>
                <w:i/>
              </w:rPr>
              <w:t>I</w:t>
            </w:r>
            <w:r>
              <w:rPr>
                <w:i/>
                <w:vertAlign w:val="subscript"/>
              </w:rPr>
              <w:t>L</w:t>
            </w:r>
            <w:r>
              <w:t xml:space="preserve"> &lt;= 0,5</w:t>
            </w:r>
          </w:p>
        </w:tc>
        <w:tc>
          <w:tcPr>
            <w:tcW w:w="2880" w:type="dxa"/>
            <w:tcBorders>
              <w:top w:val="nil"/>
              <w:bottom w:val="nil"/>
            </w:tcBorders>
          </w:tcPr>
          <w:p w:rsidR="00E35632" w:rsidRDefault="00E35632">
            <w:pPr>
              <w:pStyle w:val="ConsPlusNormal"/>
              <w:jc w:val="center"/>
            </w:pPr>
            <w:r>
              <w:t>1,5</w:t>
            </w:r>
          </w:p>
        </w:tc>
        <w:tc>
          <w:tcPr>
            <w:tcW w:w="3099" w:type="dxa"/>
            <w:tcBorders>
              <w:top w:val="nil"/>
              <w:bottom w:val="nil"/>
            </w:tcBorders>
          </w:tcPr>
          <w:p w:rsidR="00E35632" w:rsidRDefault="00E35632">
            <w:pPr>
              <w:pStyle w:val="ConsPlusNormal"/>
              <w:jc w:val="center"/>
            </w:pPr>
            <w:r>
              <w:t>1,3</w:t>
            </w:r>
          </w:p>
        </w:tc>
      </w:tr>
      <w:tr w:rsidR="00E35632">
        <w:tblPrEx>
          <w:tblBorders>
            <w:insideH w:val="none" w:sz="0" w:space="0" w:color="auto"/>
          </w:tblBorders>
        </w:tblPrEx>
        <w:tc>
          <w:tcPr>
            <w:tcW w:w="3060" w:type="dxa"/>
            <w:tcBorders>
              <w:top w:val="nil"/>
              <w:bottom w:val="single" w:sz="4" w:space="0" w:color="auto"/>
            </w:tcBorders>
          </w:tcPr>
          <w:p w:rsidR="00E35632" w:rsidRDefault="00E35632">
            <w:pPr>
              <w:pStyle w:val="ConsPlusNormal"/>
            </w:pPr>
            <w:r>
              <w:rPr>
                <w:i/>
              </w:rPr>
              <w:t>I</w:t>
            </w:r>
            <w:r>
              <w:rPr>
                <w:i/>
                <w:vertAlign w:val="subscript"/>
              </w:rPr>
              <w:t>L</w:t>
            </w:r>
            <w:r>
              <w:t xml:space="preserve"> &gt; 0,5</w:t>
            </w:r>
          </w:p>
        </w:tc>
        <w:tc>
          <w:tcPr>
            <w:tcW w:w="2880" w:type="dxa"/>
            <w:tcBorders>
              <w:top w:val="nil"/>
              <w:bottom w:val="single" w:sz="4" w:space="0" w:color="auto"/>
            </w:tcBorders>
          </w:tcPr>
          <w:p w:rsidR="00E35632" w:rsidRDefault="00E35632">
            <w:pPr>
              <w:pStyle w:val="ConsPlusNormal"/>
              <w:jc w:val="center"/>
            </w:pPr>
            <w:r>
              <w:t>1,5</w:t>
            </w:r>
          </w:p>
        </w:tc>
        <w:tc>
          <w:tcPr>
            <w:tcW w:w="3099" w:type="dxa"/>
            <w:tcBorders>
              <w:top w:val="nil"/>
              <w:bottom w:val="single" w:sz="4" w:space="0" w:color="auto"/>
            </w:tcBorders>
          </w:tcPr>
          <w:p w:rsidR="00E35632" w:rsidRDefault="00E35632">
            <w:pPr>
              <w:pStyle w:val="ConsPlusNormal"/>
              <w:jc w:val="center"/>
            </w:pPr>
            <w:r>
              <w:t>1,4</w:t>
            </w:r>
          </w:p>
        </w:tc>
      </w:tr>
    </w:tbl>
    <w:p w:rsidR="00E35632" w:rsidRDefault="00E35632">
      <w:pPr>
        <w:pStyle w:val="ConsPlusNormal"/>
        <w:jc w:val="both"/>
      </w:pPr>
    </w:p>
    <w:p w:rsidR="00E35632" w:rsidRDefault="00E35632">
      <w:pPr>
        <w:pStyle w:val="ConsPlusNormal"/>
        <w:ind w:firstLine="540"/>
        <w:jc w:val="both"/>
      </w:pPr>
      <w:r>
        <w:t>7.12 Расчет оснований стоечных опор с оттяжками и стоек порталов с внутренними связями на вдавливание выполняют по несущей способности по формуле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1019810" cy="267970"/>
            <wp:effectExtent l="0" t="0" r="0" b="0"/>
            <wp:docPr id="5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1019810" cy="267970"/>
                    </a:xfrm>
                    <a:prstGeom prst="rect">
                      <a:avLst/>
                    </a:prstGeom>
                    <a:noFill/>
                    <a:ln>
                      <a:noFill/>
                    </a:ln>
                  </pic:spPr>
                </pic:pic>
              </a:graphicData>
            </a:graphic>
          </wp:inline>
        </w:drawing>
      </w:r>
      <w:r>
        <w:t xml:space="preserve"> (7.6)</w:t>
      </w:r>
    </w:p>
    <w:p w:rsidR="00E35632" w:rsidRDefault="00E35632">
      <w:pPr>
        <w:pStyle w:val="ConsPlusNormal"/>
        <w:jc w:val="both"/>
      </w:pPr>
    </w:p>
    <w:p w:rsidR="00E35632" w:rsidRDefault="00E35632">
      <w:pPr>
        <w:pStyle w:val="ConsPlusNormal"/>
        <w:ind w:firstLine="540"/>
        <w:jc w:val="both"/>
      </w:pPr>
      <w:r>
        <w:t xml:space="preserve">где </w:t>
      </w:r>
      <w:r>
        <w:rPr>
          <w:i/>
        </w:rPr>
        <w:t>F</w:t>
      </w:r>
      <w:r>
        <w:rPr>
          <w:i/>
          <w:vertAlign w:val="subscript"/>
        </w:rPr>
        <w:t>c</w:t>
      </w:r>
      <w:r>
        <w:t xml:space="preserve"> - расчетная сжимающая нагрузка на отметке подошвы стойки, кН; для промежуточных опор расчетную нагрузку из сочетаний с кратковременными нагрузками принимают с коэффициентом 0,6 для сверленых котлованов; в остальных случаях принимают полное значение;</w:t>
      </w:r>
    </w:p>
    <w:p w:rsidR="00E35632" w:rsidRDefault="00E35632">
      <w:pPr>
        <w:pStyle w:val="ConsPlusNormal"/>
        <w:spacing w:before="220"/>
        <w:ind w:firstLine="540"/>
        <w:jc w:val="both"/>
      </w:pPr>
      <w:r>
        <w:rPr>
          <w:noProof/>
          <w:position w:val="-8"/>
        </w:rPr>
        <w:drawing>
          <wp:inline distT="0" distB="0" distL="0" distR="0">
            <wp:extent cx="192405" cy="251460"/>
            <wp:effectExtent l="0" t="0" r="0" b="0"/>
            <wp:docPr id="5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 коэффициент условий работы, равный 1;</w:t>
      </w:r>
    </w:p>
    <w:p w:rsidR="00E35632" w:rsidRDefault="00E35632">
      <w:pPr>
        <w:pStyle w:val="ConsPlusNormal"/>
        <w:spacing w:before="220"/>
        <w:ind w:firstLine="540"/>
        <w:jc w:val="both"/>
      </w:pPr>
      <w:r>
        <w:rPr>
          <w:i/>
        </w:rPr>
        <w:t>R</w:t>
      </w:r>
      <w:r>
        <w:t xml:space="preserve"> - расчетное сопротивление грунта основания под подошвой стоечной опоры, принимаемое по </w:t>
      </w:r>
      <w:hyperlink w:anchor="P4381">
        <w:r>
          <w:rPr>
            <w:color w:val="0000FF"/>
          </w:rPr>
          <w:t>таблице 7.3</w:t>
        </w:r>
      </w:hyperlink>
      <w:r>
        <w:t>, кПа;</w:t>
      </w:r>
    </w:p>
    <w:p w:rsidR="00E35632" w:rsidRDefault="00E35632">
      <w:pPr>
        <w:pStyle w:val="ConsPlusNormal"/>
        <w:spacing w:before="220"/>
        <w:ind w:firstLine="540"/>
        <w:jc w:val="both"/>
      </w:pPr>
      <w:r>
        <w:rPr>
          <w:i/>
        </w:rPr>
        <w:t>A</w:t>
      </w:r>
      <w:r>
        <w:t xml:space="preserve"> - площадь подошвы фундамента, м</w:t>
      </w:r>
      <w:r>
        <w:rPr>
          <w:vertAlign w:val="superscript"/>
        </w:rPr>
        <w:t>2</w:t>
      </w:r>
      <w:r>
        <w:t xml:space="preserve">, принимают равной площади подошвы стойки при установке стойки в сверленый котлован и заделке пазух гравийно-песчаной смесью или крупным </w:t>
      </w:r>
      <w:r>
        <w:lastRenderedPageBreak/>
        <w:t xml:space="preserve">песком, а также в копаные котлованы без опорной плиты; при установке стойки в сверленый котлован и заполнении пазух бетонированием площадь </w:t>
      </w:r>
      <w:r>
        <w:rPr>
          <w:i/>
        </w:rPr>
        <w:t>A</w:t>
      </w:r>
      <w:r>
        <w:t xml:space="preserve"> принимают равной площади котлована;</w:t>
      </w:r>
    </w:p>
    <w:p w:rsidR="00E35632" w:rsidRDefault="00E35632">
      <w:pPr>
        <w:pStyle w:val="ConsPlusNormal"/>
        <w:spacing w:before="220"/>
        <w:ind w:firstLine="540"/>
        <w:jc w:val="both"/>
      </w:pPr>
      <w:r>
        <w:rPr>
          <w:noProof/>
          <w:position w:val="-10"/>
        </w:rPr>
        <w:drawing>
          <wp:inline distT="0" distB="0" distL="0" distR="0">
            <wp:extent cx="182880" cy="267970"/>
            <wp:effectExtent l="0" t="0" r="0" b="0"/>
            <wp:docPr id="5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82880" cy="267970"/>
                    </a:xfrm>
                    <a:prstGeom prst="rect">
                      <a:avLst/>
                    </a:prstGeom>
                    <a:noFill/>
                    <a:ln>
                      <a:noFill/>
                    </a:ln>
                  </pic:spPr>
                </pic:pic>
              </a:graphicData>
            </a:graphic>
          </wp:inline>
        </w:drawing>
      </w:r>
      <w:r>
        <w:t xml:space="preserve"> - коэффициент надежности по грунту, равный 1,3.</w:t>
      </w:r>
    </w:p>
    <w:p w:rsidR="00E35632" w:rsidRDefault="00E35632">
      <w:pPr>
        <w:pStyle w:val="ConsPlusNormal"/>
        <w:jc w:val="both"/>
      </w:pPr>
    </w:p>
    <w:p w:rsidR="00E35632" w:rsidRDefault="00E35632">
      <w:pPr>
        <w:pStyle w:val="ConsPlusNormal"/>
        <w:jc w:val="right"/>
      </w:pPr>
      <w:bookmarkStart w:id="236" w:name="P4381"/>
      <w:bookmarkEnd w:id="236"/>
      <w:r>
        <w:t>Таблица 7.3</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220"/>
        <w:gridCol w:w="463"/>
        <w:gridCol w:w="2093"/>
        <w:gridCol w:w="4272"/>
      </w:tblGrid>
      <w:tr w:rsidR="00E35632">
        <w:tc>
          <w:tcPr>
            <w:tcW w:w="4776" w:type="dxa"/>
            <w:gridSpan w:val="3"/>
            <w:tcBorders>
              <w:top w:val="single" w:sz="4" w:space="0" w:color="auto"/>
              <w:bottom w:val="single" w:sz="4" w:space="0" w:color="auto"/>
            </w:tcBorders>
            <w:vAlign w:val="center"/>
          </w:tcPr>
          <w:p w:rsidR="00E35632" w:rsidRDefault="00E35632">
            <w:pPr>
              <w:pStyle w:val="ConsPlusNormal"/>
              <w:jc w:val="center"/>
            </w:pPr>
            <w:r>
              <w:t>Грунты</w:t>
            </w:r>
          </w:p>
        </w:tc>
        <w:tc>
          <w:tcPr>
            <w:tcW w:w="4272" w:type="dxa"/>
            <w:tcBorders>
              <w:top w:val="single" w:sz="4" w:space="0" w:color="auto"/>
              <w:bottom w:val="single" w:sz="4" w:space="0" w:color="auto"/>
            </w:tcBorders>
            <w:vAlign w:val="center"/>
          </w:tcPr>
          <w:p w:rsidR="00E35632" w:rsidRDefault="00E35632">
            <w:pPr>
              <w:pStyle w:val="ConsPlusNormal"/>
              <w:jc w:val="center"/>
            </w:pPr>
            <w:r>
              <w:t xml:space="preserve">Расчетное сопротивление грунта </w:t>
            </w:r>
            <w:r>
              <w:rPr>
                <w:i/>
              </w:rPr>
              <w:t>R</w:t>
            </w:r>
            <w:r>
              <w:t>, кПа</w:t>
            </w:r>
          </w:p>
        </w:tc>
      </w:tr>
      <w:tr w:rsidR="00E35632">
        <w:tblPrEx>
          <w:tblBorders>
            <w:insideH w:val="none" w:sz="0" w:space="0" w:color="auto"/>
          </w:tblBorders>
        </w:tblPrEx>
        <w:tc>
          <w:tcPr>
            <w:tcW w:w="4776" w:type="dxa"/>
            <w:gridSpan w:val="3"/>
            <w:tcBorders>
              <w:top w:val="single" w:sz="4" w:space="0" w:color="auto"/>
              <w:bottom w:val="nil"/>
            </w:tcBorders>
          </w:tcPr>
          <w:p w:rsidR="00E35632" w:rsidRDefault="00E35632">
            <w:pPr>
              <w:pStyle w:val="ConsPlusNormal"/>
            </w:pPr>
            <w:r>
              <w:t>Пески:</w:t>
            </w:r>
          </w:p>
        </w:tc>
        <w:tc>
          <w:tcPr>
            <w:tcW w:w="4272" w:type="dxa"/>
            <w:tcBorders>
              <w:top w:val="single" w:sz="4" w:space="0" w:color="auto"/>
              <w:bottom w:val="nil"/>
            </w:tcBorders>
          </w:tcPr>
          <w:p w:rsidR="00E35632" w:rsidRDefault="00E35632">
            <w:pPr>
              <w:pStyle w:val="ConsPlusNormal"/>
            </w:pPr>
          </w:p>
        </w:tc>
      </w:tr>
      <w:tr w:rsidR="00E35632">
        <w:tblPrEx>
          <w:tblBorders>
            <w:insideH w:val="none" w:sz="0" w:space="0" w:color="auto"/>
          </w:tblBorders>
        </w:tblPrEx>
        <w:tc>
          <w:tcPr>
            <w:tcW w:w="4776" w:type="dxa"/>
            <w:gridSpan w:val="3"/>
            <w:tcBorders>
              <w:top w:val="nil"/>
              <w:bottom w:val="nil"/>
            </w:tcBorders>
          </w:tcPr>
          <w:p w:rsidR="00E35632" w:rsidRDefault="00E35632">
            <w:pPr>
              <w:pStyle w:val="ConsPlusNormal"/>
              <w:ind w:firstLine="283"/>
            </w:pPr>
            <w:r>
              <w:t>гравелистые</w:t>
            </w:r>
          </w:p>
        </w:tc>
        <w:tc>
          <w:tcPr>
            <w:tcW w:w="4272" w:type="dxa"/>
            <w:tcBorders>
              <w:top w:val="nil"/>
              <w:bottom w:val="nil"/>
            </w:tcBorders>
          </w:tcPr>
          <w:p w:rsidR="00E35632" w:rsidRDefault="00E35632">
            <w:pPr>
              <w:pStyle w:val="ConsPlusNormal"/>
              <w:jc w:val="center"/>
            </w:pPr>
            <w:r>
              <w:t>6500</w:t>
            </w:r>
          </w:p>
        </w:tc>
      </w:tr>
      <w:tr w:rsidR="00E35632">
        <w:tblPrEx>
          <w:tblBorders>
            <w:insideH w:val="none" w:sz="0" w:space="0" w:color="auto"/>
          </w:tblBorders>
        </w:tblPrEx>
        <w:tc>
          <w:tcPr>
            <w:tcW w:w="4776" w:type="dxa"/>
            <w:gridSpan w:val="3"/>
            <w:tcBorders>
              <w:top w:val="nil"/>
              <w:bottom w:val="nil"/>
            </w:tcBorders>
          </w:tcPr>
          <w:p w:rsidR="00E35632" w:rsidRDefault="00E35632">
            <w:pPr>
              <w:pStyle w:val="ConsPlusNormal"/>
              <w:ind w:firstLine="283"/>
            </w:pPr>
            <w:r>
              <w:t>крупные</w:t>
            </w:r>
          </w:p>
        </w:tc>
        <w:tc>
          <w:tcPr>
            <w:tcW w:w="4272" w:type="dxa"/>
            <w:tcBorders>
              <w:top w:val="nil"/>
              <w:bottom w:val="nil"/>
            </w:tcBorders>
          </w:tcPr>
          <w:p w:rsidR="00E35632" w:rsidRDefault="00E35632">
            <w:pPr>
              <w:pStyle w:val="ConsPlusNormal"/>
              <w:jc w:val="center"/>
            </w:pPr>
            <w:r>
              <w:t>5200</w:t>
            </w:r>
          </w:p>
        </w:tc>
      </w:tr>
      <w:tr w:rsidR="00E35632">
        <w:tblPrEx>
          <w:tblBorders>
            <w:insideH w:val="none" w:sz="0" w:space="0" w:color="auto"/>
          </w:tblBorders>
        </w:tblPrEx>
        <w:tc>
          <w:tcPr>
            <w:tcW w:w="4776" w:type="dxa"/>
            <w:gridSpan w:val="3"/>
            <w:tcBorders>
              <w:top w:val="nil"/>
              <w:bottom w:val="nil"/>
            </w:tcBorders>
          </w:tcPr>
          <w:p w:rsidR="00E35632" w:rsidRDefault="00E35632">
            <w:pPr>
              <w:pStyle w:val="ConsPlusNormal"/>
              <w:ind w:firstLine="283"/>
            </w:pPr>
            <w:r>
              <w:t>средней крупности</w:t>
            </w:r>
          </w:p>
        </w:tc>
        <w:tc>
          <w:tcPr>
            <w:tcW w:w="4272" w:type="dxa"/>
            <w:tcBorders>
              <w:top w:val="nil"/>
              <w:bottom w:val="nil"/>
            </w:tcBorders>
          </w:tcPr>
          <w:p w:rsidR="00E35632" w:rsidRDefault="00E35632">
            <w:pPr>
              <w:pStyle w:val="ConsPlusNormal"/>
              <w:jc w:val="center"/>
            </w:pPr>
            <w:r>
              <w:t>3900</w:t>
            </w:r>
          </w:p>
        </w:tc>
      </w:tr>
      <w:tr w:rsidR="00E35632">
        <w:tblPrEx>
          <w:tblBorders>
            <w:insideH w:val="none" w:sz="0" w:space="0" w:color="auto"/>
          </w:tblBorders>
        </w:tblPrEx>
        <w:tc>
          <w:tcPr>
            <w:tcW w:w="4776" w:type="dxa"/>
            <w:gridSpan w:val="3"/>
            <w:tcBorders>
              <w:top w:val="nil"/>
              <w:bottom w:val="nil"/>
            </w:tcBorders>
          </w:tcPr>
          <w:p w:rsidR="00E35632" w:rsidRDefault="00E35632">
            <w:pPr>
              <w:pStyle w:val="ConsPlusNormal"/>
              <w:ind w:firstLine="283"/>
            </w:pPr>
            <w:r>
              <w:t>мелкие</w:t>
            </w:r>
          </w:p>
        </w:tc>
        <w:tc>
          <w:tcPr>
            <w:tcW w:w="4272" w:type="dxa"/>
            <w:tcBorders>
              <w:top w:val="nil"/>
              <w:bottom w:val="nil"/>
            </w:tcBorders>
          </w:tcPr>
          <w:p w:rsidR="00E35632" w:rsidRDefault="00E35632">
            <w:pPr>
              <w:pStyle w:val="ConsPlusNormal"/>
              <w:jc w:val="center"/>
            </w:pPr>
            <w:r>
              <w:t>2050</w:t>
            </w:r>
          </w:p>
        </w:tc>
      </w:tr>
      <w:tr w:rsidR="00E35632">
        <w:tblPrEx>
          <w:tblBorders>
            <w:insideH w:val="none" w:sz="0" w:space="0" w:color="auto"/>
          </w:tblBorders>
        </w:tblPrEx>
        <w:tc>
          <w:tcPr>
            <w:tcW w:w="4776" w:type="dxa"/>
            <w:gridSpan w:val="3"/>
            <w:tcBorders>
              <w:top w:val="nil"/>
              <w:bottom w:val="nil"/>
            </w:tcBorders>
          </w:tcPr>
          <w:p w:rsidR="00E35632" w:rsidRDefault="00E35632">
            <w:pPr>
              <w:pStyle w:val="ConsPlusNormal"/>
              <w:ind w:firstLine="283"/>
            </w:pPr>
            <w:r>
              <w:t>пылеватые</w:t>
            </w:r>
          </w:p>
        </w:tc>
        <w:tc>
          <w:tcPr>
            <w:tcW w:w="4272" w:type="dxa"/>
            <w:tcBorders>
              <w:top w:val="nil"/>
              <w:bottom w:val="nil"/>
            </w:tcBorders>
          </w:tcPr>
          <w:p w:rsidR="00E35632" w:rsidRDefault="00E35632">
            <w:pPr>
              <w:pStyle w:val="ConsPlusNormal"/>
              <w:jc w:val="center"/>
            </w:pPr>
            <w:r>
              <w:t>1300</w:t>
            </w:r>
          </w:p>
        </w:tc>
      </w:tr>
      <w:tr w:rsidR="00E35632">
        <w:tblPrEx>
          <w:tblBorders>
            <w:insideH w:val="none" w:sz="0" w:space="0" w:color="auto"/>
          </w:tblBorders>
        </w:tblPrEx>
        <w:tc>
          <w:tcPr>
            <w:tcW w:w="4776" w:type="dxa"/>
            <w:gridSpan w:val="3"/>
            <w:tcBorders>
              <w:top w:val="nil"/>
              <w:bottom w:val="nil"/>
            </w:tcBorders>
          </w:tcPr>
          <w:p w:rsidR="00E35632" w:rsidRDefault="00E35632">
            <w:pPr>
              <w:pStyle w:val="ConsPlusNormal"/>
            </w:pPr>
            <w:r>
              <w:t>Супеси:</w:t>
            </w:r>
          </w:p>
        </w:tc>
        <w:tc>
          <w:tcPr>
            <w:tcW w:w="4272" w:type="dxa"/>
            <w:tcBorders>
              <w:top w:val="nil"/>
              <w:bottom w:val="nil"/>
            </w:tcBorders>
          </w:tcPr>
          <w:p w:rsidR="00E35632" w:rsidRDefault="00E35632">
            <w:pPr>
              <w:pStyle w:val="ConsPlusNormal"/>
            </w:pPr>
          </w:p>
        </w:tc>
      </w:tr>
      <w:tr w:rsidR="00E35632">
        <w:tblPrEx>
          <w:tblBorders>
            <w:insideH w:val="none" w:sz="0" w:space="0" w:color="auto"/>
          </w:tblBorders>
        </w:tblPrEx>
        <w:tc>
          <w:tcPr>
            <w:tcW w:w="4776" w:type="dxa"/>
            <w:gridSpan w:val="3"/>
            <w:tcBorders>
              <w:top w:val="nil"/>
              <w:bottom w:val="nil"/>
            </w:tcBorders>
          </w:tcPr>
          <w:p w:rsidR="00E35632" w:rsidRDefault="00E35632">
            <w:pPr>
              <w:pStyle w:val="ConsPlusNormal"/>
              <w:ind w:firstLine="283"/>
            </w:pPr>
            <w:r>
              <w:rPr>
                <w:i/>
              </w:rPr>
              <w:t>I</w:t>
            </w:r>
            <w:r>
              <w:rPr>
                <w:i/>
                <w:vertAlign w:val="subscript"/>
              </w:rPr>
              <w:t>L</w:t>
            </w:r>
            <w:r>
              <w:t xml:space="preserve"> &lt;= 0</w:t>
            </w:r>
          </w:p>
        </w:tc>
        <w:tc>
          <w:tcPr>
            <w:tcW w:w="4272" w:type="dxa"/>
            <w:tcBorders>
              <w:top w:val="nil"/>
              <w:bottom w:val="nil"/>
            </w:tcBorders>
          </w:tcPr>
          <w:p w:rsidR="00E35632" w:rsidRDefault="00E35632">
            <w:pPr>
              <w:pStyle w:val="ConsPlusNormal"/>
              <w:jc w:val="center"/>
            </w:pPr>
            <w:r>
              <w:t>2050</w:t>
            </w:r>
          </w:p>
        </w:tc>
      </w:tr>
      <w:tr w:rsidR="00E35632">
        <w:tblPrEx>
          <w:tblBorders>
            <w:insideH w:val="none" w:sz="0" w:space="0" w:color="auto"/>
          </w:tblBorders>
        </w:tblPrEx>
        <w:tc>
          <w:tcPr>
            <w:tcW w:w="4776" w:type="dxa"/>
            <w:gridSpan w:val="3"/>
            <w:tcBorders>
              <w:top w:val="nil"/>
              <w:bottom w:val="nil"/>
            </w:tcBorders>
          </w:tcPr>
          <w:p w:rsidR="00E35632" w:rsidRDefault="00E35632">
            <w:pPr>
              <w:pStyle w:val="ConsPlusNormal"/>
              <w:ind w:firstLine="283"/>
            </w:pPr>
            <w:r>
              <w:t xml:space="preserve">0 &lt; </w:t>
            </w:r>
            <w:r>
              <w:rPr>
                <w:i/>
              </w:rPr>
              <w:t>I</w:t>
            </w:r>
            <w:r>
              <w:rPr>
                <w:i/>
                <w:vertAlign w:val="subscript"/>
              </w:rPr>
              <w:t>L</w:t>
            </w:r>
            <w:r>
              <w:t xml:space="preserve"> &lt;= 1</w:t>
            </w:r>
          </w:p>
        </w:tc>
        <w:tc>
          <w:tcPr>
            <w:tcW w:w="4272" w:type="dxa"/>
            <w:tcBorders>
              <w:top w:val="nil"/>
              <w:bottom w:val="nil"/>
            </w:tcBorders>
          </w:tcPr>
          <w:p w:rsidR="00E35632" w:rsidRDefault="00E35632">
            <w:pPr>
              <w:pStyle w:val="ConsPlusNormal"/>
              <w:jc w:val="center"/>
            </w:pPr>
            <w:r>
              <w:t>800</w:t>
            </w:r>
          </w:p>
        </w:tc>
      </w:tr>
      <w:tr w:rsidR="00E35632">
        <w:tblPrEx>
          <w:tblBorders>
            <w:insideH w:val="none" w:sz="0" w:space="0" w:color="auto"/>
          </w:tblBorders>
        </w:tblPrEx>
        <w:tc>
          <w:tcPr>
            <w:tcW w:w="4776" w:type="dxa"/>
            <w:gridSpan w:val="3"/>
            <w:tcBorders>
              <w:top w:val="nil"/>
              <w:bottom w:val="nil"/>
            </w:tcBorders>
          </w:tcPr>
          <w:p w:rsidR="00E35632" w:rsidRDefault="00E35632">
            <w:pPr>
              <w:pStyle w:val="ConsPlusNormal"/>
            </w:pPr>
            <w:r>
              <w:t>Суглинки и глины</w:t>
            </w:r>
          </w:p>
        </w:tc>
        <w:tc>
          <w:tcPr>
            <w:tcW w:w="4272" w:type="dxa"/>
            <w:tcBorders>
              <w:top w:val="nil"/>
              <w:bottom w:val="nil"/>
            </w:tcBorders>
          </w:tcPr>
          <w:p w:rsidR="00E35632" w:rsidRDefault="00E35632">
            <w:pPr>
              <w:pStyle w:val="ConsPlusNormal"/>
            </w:pPr>
          </w:p>
        </w:tc>
      </w:tr>
      <w:tr w:rsidR="00E35632">
        <w:tblPrEx>
          <w:tblBorders>
            <w:insideH w:val="none" w:sz="0" w:space="0" w:color="auto"/>
            <w:insideV w:val="nil"/>
          </w:tblBorders>
        </w:tblPrEx>
        <w:tc>
          <w:tcPr>
            <w:tcW w:w="2220" w:type="dxa"/>
            <w:vMerge w:val="restart"/>
            <w:tcBorders>
              <w:top w:val="nil"/>
              <w:left w:val="single" w:sz="4" w:space="0" w:color="auto"/>
              <w:bottom w:val="single" w:sz="4" w:space="0" w:color="auto"/>
            </w:tcBorders>
            <w:vAlign w:val="center"/>
          </w:tcPr>
          <w:p w:rsidR="00E35632" w:rsidRDefault="00E35632">
            <w:pPr>
              <w:pStyle w:val="ConsPlusNormal"/>
            </w:pPr>
            <w:r>
              <w:t xml:space="preserve">при </w:t>
            </w:r>
            <w:r>
              <w:rPr>
                <w:i/>
              </w:rPr>
              <w:t>I</w:t>
            </w:r>
            <w:r>
              <w:rPr>
                <w:i/>
                <w:vertAlign w:val="subscript"/>
              </w:rPr>
              <w:t>L</w:t>
            </w:r>
            <w:r>
              <w:t>, равном</w:t>
            </w:r>
          </w:p>
        </w:tc>
        <w:tc>
          <w:tcPr>
            <w:tcW w:w="463" w:type="dxa"/>
            <w:vMerge w:val="restart"/>
            <w:tcBorders>
              <w:top w:val="nil"/>
              <w:bottom w:val="single" w:sz="4" w:space="0" w:color="auto"/>
            </w:tcBorders>
            <w:vAlign w:val="center"/>
          </w:tcPr>
          <w:p w:rsidR="00E35632" w:rsidRDefault="00E35632">
            <w:pPr>
              <w:pStyle w:val="ConsPlusNormal"/>
            </w:pPr>
            <w:r>
              <w:rPr>
                <w:noProof/>
                <w:position w:val="-187"/>
              </w:rPr>
              <w:drawing>
                <wp:inline distT="0" distB="0" distL="0" distR="0">
                  <wp:extent cx="209550" cy="2514600"/>
                  <wp:effectExtent l="0" t="0" r="0" b="0"/>
                  <wp:docPr id="5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209550" cy="2514600"/>
                          </a:xfrm>
                          <a:prstGeom prst="rect">
                            <a:avLst/>
                          </a:prstGeom>
                          <a:noFill/>
                          <a:ln>
                            <a:noFill/>
                          </a:ln>
                        </pic:spPr>
                      </pic:pic>
                    </a:graphicData>
                  </a:graphic>
                </wp:inline>
              </w:drawing>
            </w:r>
          </w:p>
        </w:tc>
        <w:tc>
          <w:tcPr>
            <w:tcW w:w="2093" w:type="dxa"/>
            <w:tcBorders>
              <w:top w:val="nil"/>
              <w:bottom w:val="nil"/>
              <w:right w:val="single" w:sz="4" w:space="0" w:color="auto"/>
            </w:tcBorders>
          </w:tcPr>
          <w:p w:rsidR="00E35632" w:rsidRDefault="00E35632">
            <w:pPr>
              <w:pStyle w:val="ConsPlusNormal"/>
            </w:pPr>
            <w:r>
              <w:t>0</w:t>
            </w:r>
          </w:p>
        </w:tc>
        <w:tc>
          <w:tcPr>
            <w:tcW w:w="4272" w:type="dxa"/>
            <w:tcBorders>
              <w:top w:val="nil"/>
              <w:left w:val="single" w:sz="4" w:space="0" w:color="auto"/>
              <w:bottom w:val="nil"/>
              <w:right w:val="single" w:sz="4" w:space="0" w:color="auto"/>
            </w:tcBorders>
          </w:tcPr>
          <w:p w:rsidR="00E35632" w:rsidRDefault="00E35632">
            <w:pPr>
              <w:pStyle w:val="ConsPlusNormal"/>
              <w:jc w:val="center"/>
            </w:pPr>
            <w:r>
              <w:t>5850</w:t>
            </w:r>
          </w:p>
        </w:tc>
      </w:tr>
      <w:tr w:rsidR="00E35632">
        <w:tblPrEx>
          <w:tblBorders>
            <w:insideH w:val="none" w:sz="0" w:space="0" w:color="auto"/>
            <w:insideV w:val="nil"/>
          </w:tblBorders>
        </w:tblPrEx>
        <w:tc>
          <w:tcPr>
            <w:tcW w:w="2220" w:type="dxa"/>
            <w:vMerge/>
            <w:tcBorders>
              <w:top w:val="nil"/>
              <w:left w:val="single" w:sz="4" w:space="0" w:color="auto"/>
              <w:bottom w:val="single" w:sz="4" w:space="0" w:color="auto"/>
            </w:tcBorders>
          </w:tcPr>
          <w:p w:rsidR="00E35632" w:rsidRDefault="00E35632">
            <w:pPr>
              <w:pStyle w:val="ConsPlusNormal"/>
            </w:pPr>
          </w:p>
        </w:tc>
        <w:tc>
          <w:tcPr>
            <w:tcW w:w="463" w:type="dxa"/>
            <w:vMerge/>
            <w:tcBorders>
              <w:top w:val="nil"/>
              <w:bottom w:val="single" w:sz="4" w:space="0" w:color="auto"/>
            </w:tcBorders>
          </w:tcPr>
          <w:p w:rsidR="00E35632" w:rsidRDefault="00E35632">
            <w:pPr>
              <w:pStyle w:val="ConsPlusNormal"/>
            </w:pPr>
          </w:p>
        </w:tc>
        <w:tc>
          <w:tcPr>
            <w:tcW w:w="2093" w:type="dxa"/>
            <w:tcBorders>
              <w:top w:val="nil"/>
              <w:bottom w:val="nil"/>
              <w:right w:val="single" w:sz="4" w:space="0" w:color="auto"/>
            </w:tcBorders>
          </w:tcPr>
          <w:p w:rsidR="00E35632" w:rsidRDefault="00E35632">
            <w:pPr>
              <w:pStyle w:val="ConsPlusNormal"/>
            </w:pPr>
            <w:r>
              <w:t>0,10</w:t>
            </w:r>
          </w:p>
        </w:tc>
        <w:tc>
          <w:tcPr>
            <w:tcW w:w="4272" w:type="dxa"/>
            <w:tcBorders>
              <w:top w:val="nil"/>
              <w:left w:val="single" w:sz="4" w:space="0" w:color="auto"/>
              <w:bottom w:val="nil"/>
              <w:right w:val="single" w:sz="4" w:space="0" w:color="auto"/>
            </w:tcBorders>
          </w:tcPr>
          <w:p w:rsidR="00E35632" w:rsidRDefault="00E35632">
            <w:pPr>
              <w:pStyle w:val="ConsPlusNormal"/>
              <w:jc w:val="center"/>
            </w:pPr>
            <w:r>
              <w:t>4700</w:t>
            </w:r>
          </w:p>
        </w:tc>
      </w:tr>
      <w:tr w:rsidR="00E35632">
        <w:tblPrEx>
          <w:tblBorders>
            <w:insideH w:val="none" w:sz="0" w:space="0" w:color="auto"/>
            <w:insideV w:val="nil"/>
          </w:tblBorders>
        </w:tblPrEx>
        <w:tc>
          <w:tcPr>
            <w:tcW w:w="2220" w:type="dxa"/>
            <w:vMerge/>
            <w:tcBorders>
              <w:top w:val="nil"/>
              <w:left w:val="single" w:sz="4" w:space="0" w:color="auto"/>
              <w:bottom w:val="single" w:sz="4" w:space="0" w:color="auto"/>
            </w:tcBorders>
          </w:tcPr>
          <w:p w:rsidR="00E35632" w:rsidRDefault="00E35632">
            <w:pPr>
              <w:pStyle w:val="ConsPlusNormal"/>
            </w:pPr>
          </w:p>
        </w:tc>
        <w:tc>
          <w:tcPr>
            <w:tcW w:w="463" w:type="dxa"/>
            <w:vMerge/>
            <w:tcBorders>
              <w:top w:val="nil"/>
              <w:bottom w:val="single" w:sz="4" w:space="0" w:color="auto"/>
            </w:tcBorders>
          </w:tcPr>
          <w:p w:rsidR="00E35632" w:rsidRDefault="00E35632">
            <w:pPr>
              <w:pStyle w:val="ConsPlusNormal"/>
            </w:pPr>
          </w:p>
        </w:tc>
        <w:tc>
          <w:tcPr>
            <w:tcW w:w="2093" w:type="dxa"/>
            <w:tcBorders>
              <w:top w:val="nil"/>
              <w:bottom w:val="nil"/>
              <w:right w:val="single" w:sz="4" w:space="0" w:color="auto"/>
            </w:tcBorders>
          </w:tcPr>
          <w:p w:rsidR="00E35632" w:rsidRDefault="00E35632">
            <w:pPr>
              <w:pStyle w:val="ConsPlusNormal"/>
            </w:pPr>
            <w:r>
              <w:t>0,20</w:t>
            </w:r>
          </w:p>
        </w:tc>
        <w:tc>
          <w:tcPr>
            <w:tcW w:w="4272" w:type="dxa"/>
            <w:tcBorders>
              <w:top w:val="nil"/>
              <w:left w:val="single" w:sz="4" w:space="0" w:color="auto"/>
              <w:bottom w:val="nil"/>
              <w:right w:val="single" w:sz="4" w:space="0" w:color="auto"/>
            </w:tcBorders>
          </w:tcPr>
          <w:p w:rsidR="00E35632" w:rsidRDefault="00E35632">
            <w:pPr>
              <w:pStyle w:val="ConsPlusNormal"/>
              <w:jc w:val="center"/>
            </w:pPr>
            <w:r>
              <w:t>3600</w:t>
            </w:r>
          </w:p>
        </w:tc>
      </w:tr>
      <w:tr w:rsidR="00E35632">
        <w:tblPrEx>
          <w:tblBorders>
            <w:insideH w:val="none" w:sz="0" w:space="0" w:color="auto"/>
            <w:insideV w:val="nil"/>
          </w:tblBorders>
        </w:tblPrEx>
        <w:tc>
          <w:tcPr>
            <w:tcW w:w="2220" w:type="dxa"/>
            <w:vMerge/>
            <w:tcBorders>
              <w:top w:val="nil"/>
              <w:left w:val="single" w:sz="4" w:space="0" w:color="auto"/>
              <w:bottom w:val="single" w:sz="4" w:space="0" w:color="auto"/>
            </w:tcBorders>
          </w:tcPr>
          <w:p w:rsidR="00E35632" w:rsidRDefault="00E35632">
            <w:pPr>
              <w:pStyle w:val="ConsPlusNormal"/>
            </w:pPr>
          </w:p>
        </w:tc>
        <w:tc>
          <w:tcPr>
            <w:tcW w:w="463" w:type="dxa"/>
            <w:vMerge/>
            <w:tcBorders>
              <w:top w:val="nil"/>
              <w:bottom w:val="single" w:sz="4" w:space="0" w:color="auto"/>
            </w:tcBorders>
          </w:tcPr>
          <w:p w:rsidR="00E35632" w:rsidRDefault="00E35632">
            <w:pPr>
              <w:pStyle w:val="ConsPlusNormal"/>
            </w:pPr>
          </w:p>
        </w:tc>
        <w:tc>
          <w:tcPr>
            <w:tcW w:w="2093" w:type="dxa"/>
            <w:tcBorders>
              <w:top w:val="nil"/>
              <w:bottom w:val="nil"/>
              <w:right w:val="single" w:sz="4" w:space="0" w:color="auto"/>
            </w:tcBorders>
          </w:tcPr>
          <w:p w:rsidR="00E35632" w:rsidRDefault="00E35632">
            <w:pPr>
              <w:pStyle w:val="ConsPlusNormal"/>
            </w:pPr>
            <w:r>
              <w:t>0,30</w:t>
            </w:r>
          </w:p>
        </w:tc>
        <w:tc>
          <w:tcPr>
            <w:tcW w:w="4272" w:type="dxa"/>
            <w:tcBorders>
              <w:top w:val="nil"/>
              <w:left w:val="single" w:sz="4" w:space="0" w:color="auto"/>
              <w:bottom w:val="nil"/>
              <w:right w:val="single" w:sz="4" w:space="0" w:color="auto"/>
            </w:tcBorders>
          </w:tcPr>
          <w:p w:rsidR="00E35632" w:rsidRDefault="00E35632">
            <w:pPr>
              <w:pStyle w:val="ConsPlusNormal"/>
              <w:jc w:val="center"/>
            </w:pPr>
            <w:r>
              <w:t>2300</w:t>
            </w:r>
          </w:p>
        </w:tc>
      </w:tr>
      <w:tr w:rsidR="00E35632">
        <w:tblPrEx>
          <w:tblBorders>
            <w:insideH w:val="none" w:sz="0" w:space="0" w:color="auto"/>
            <w:insideV w:val="nil"/>
          </w:tblBorders>
        </w:tblPrEx>
        <w:tc>
          <w:tcPr>
            <w:tcW w:w="2220" w:type="dxa"/>
            <w:vMerge/>
            <w:tcBorders>
              <w:top w:val="nil"/>
              <w:left w:val="single" w:sz="4" w:space="0" w:color="auto"/>
              <w:bottom w:val="single" w:sz="4" w:space="0" w:color="auto"/>
            </w:tcBorders>
          </w:tcPr>
          <w:p w:rsidR="00E35632" w:rsidRDefault="00E35632">
            <w:pPr>
              <w:pStyle w:val="ConsPlusNormal"/>
            </w:pPr>
          </w:p>
        </w:tc>
        <w:tc>
          <w:tcPr>
            <w:tcW w:w="463" w:type="dxa"/>
            <w:vMerge/>
            <w:tcBorders>
              <w:top w:val="nil"/>
              <w:bottom w:val="single" w:sz="4" w:space="0" w:color="auto"/>
            </w:tcBorders>
          </w:tcPr>
          <w:p w:rsidR="00E35632" w:rsidRDefault="00E35632">
            <w:pPr>
              <w:pStyle w:val="ConsPlusNormal"/>
            </w:pPr>
          </w:p>
        </w:tc>
        <w:tc>
          <w:tcPr>
            <w:tcW w:w="2093" w:type="dxa"/>
            <w:tcBorders>
              <w:top w:val="nil"/>
              <w:bottom w:val="nil"/>
              <w:right w:val="single" w:sz="4" w:space="0" w:color="auto"/>
            </w:tcBorders>
          </w:tcPr>
          <w:p w:rsidR="00E35632" w:rsidRDefault="00E35632">
            <w:pPr>
              <w:pStyle w:val="ConsPlusNormal"/>
            </w:pPr>
            <w:r>
              <w:t>0,40</w:t>
            </w:r>
          </w:p>
        </w:tc>
        <w:tc>
          <w:tcPr>
            <w:tcW w:w="4272" w:type="dxa"/>
            <w:tcBorders>
              <w:top w:val="nil"/>
              <w:left w:val="single" w:sz="4" w:space="0" w:color="auto"/>
              <w:bottom w:val="nil"/>
              <w:right w:val="single" w:sz="4" w:space="0" w:color="auto"/>
            </w:tcBorders>
          </w:tcPr>
          <w:p w:rsidR="00E35632" w:rsidRDefault="00E35632">
            <w:pPr>
              <w:pStyle w:val="ConsPlusNormal"/>
              <w:jc w:val="center"/>
            </w:pPr>
            <w:r>
              <w:t>1600</w:t>
            </w:r>
          </w:p>
        </w:tc>
      </w:tr>
      <w:tr w:rsidR="00E35632">
        <w:tblPrEx>
          <w:tblBorders>
            <w:insideH w:val="none" w:sz="0" w:space="0" w:color="auto"/>
            <w:insideV w:val="nil"/>
          </w:tblBorders>
        </w:tblPrEx>
        <w:tc>
          <w:tcPr>
            <w:tcW w:w="2220" w:type="dxa"/>
            <w:vMerge/>
            <w:tcBorders>
              <w:top w:val="nil"/>
              <w:left w:val="single" w:sz="4" w:space="0" w:color="auto"/>
              <w:bottom w:val="single" w:sz="4" w:space="0" w:color="auto"/>
            </w:tcBorders>
          </w:tcPr>
          <w:p w:rsidR="00E35632" w:rsidRDefault="00E35632">
            <w:pPr>
              <w:pStyle w:val="ConsPlusNormal"/>
            </w:pPr>
          </w:p>
        </w:tc>
        <w:tc>
          <w:tcPr>
            <w:tcW w:w="463" w:type="dxa"/>
            <w:vMerge/>
            <w:tcBorders>
              <w:top w:val="nil"/>
              <w:bottom w:val="single" w:sz="4" w:space="0" w:color="auto"/>
            </w:tcBorders>
          </w:tcPr>
          <w:p w:rsidR="00E35632" w:rsidRDefault="00E35632">
            <w:pPr>
              <w:pStyle w:val="ConsPlusNormal"/>
            </w:pPr>
          </w:p>
        </w:tc>
        <w:tc>
          <w:tcPr>
            <w:tcW w:w="2093" w:type="dxa"/>
            <w:tcBorders>
              <w:top w:val="nil"/>
              <w:bottom w:val="nil"/>
              <w:right w:val="single" w:sz="4" w:space="0" w:color="auto"/>
            </w:tcBorders>
          </w:tcPr>
          <w:p w:rsidR="00E35632" w:rsidRDefault="00E35632">
            <w:pPr>
              <w:pStyle w:val="ConsPlusNormal"/>
            </w:pPr>
            <w:r>
              <w:t>0,50</w:t>
            </w:r>
          </w:p>
        </w:tc>
        <w:tc>
          <w:tcPr>
            <w:tcW w:w="4272" w:type="dxa"/>
            <w:tcBorders>
              <w:top w:val="nil"/>
              <w:left w:val="single" w:sz="4" w:space="0" w:color="auto"/>
              <w:bottom w:val="nil"/>
              <w:right w:val="single" w:sz="4" w:space="0" w:color="auto"/>
            </w:tcBorders>
          </w:tcPr>
          <w:p w:rsidR="00E35632" w:rsidRDefault="00E35632">
            <w:pPr>
              <w:pStyle w:val="ConsPlusNormal"/>
              <w:jc w:val="center"/>
            </w:pPr>
            <w:r>
              <w:t>1300</w:t>
            </w:r>
          </w:p>
        </w:tc>
      </w:tr>
      <w:tr w:rsidR="00E35632">
        <w:tblPrEx>
          <w:tblBorders>
            <w:insideH w:val="none" w:sz="0" w:space="0" w:color="auto"/>
            <w:insideV w:val="nil"/>
          </w:tblBorders>
        </w:tblPrEx>
        <w:tc>
          <w:tcPr>
            <w:tcW w:w="2220" w:type="dxa"/>
            <w:vMerge/>
            <w:tcBorders>
              <w:top w:val="nil"/>
              <w:left w:val="single" w:sz="4" w:space="0" w:color="auto"/>
              <w:bottom w:val="single" w:sz="4" w:space="0" w:color="auto"/>
            </w:tcBorders>
          </w:tcPr>
          <w:p w:rsidR="00E35632" w:rsidRDefault="00E35632">
            <w:pPr>
              <w:pStyle w:val="ConsPlusNormal"/>
            </w:pPr>
          </w:p>
        </w:tc>
        <w:tc>
          <w:tcPr>
            <w:tcW w:w="463" w:type="dxa"/>
            <w:vMerge/>
            <w:tcBorders>
              <w:top w:val="nil"/>
              <w:bottom w:val="single" w:sz="4" w:space="0" w:color="auto"/>
            </w:tcBorders>
          </w:tcPr>
          <w:p w:rsidR="00E35632" w:rsidRDefault="00E35632">
            <w:pPr>
              <w:pStyle w:val="ConsPlusNormal"/>
            </w:pPr>
          </w:p>
        </w:tc>
        <w:tc>
          <w:tcPr>
            <w:tcW w:w="2093" w:type="dxa"/>
            <w:tcBorders>
              <w:top w:val="nil"/>
              <w:bottom w:val="nil"/>
              <w:right w:val="single" w:sz="4" w:space="0" w:color="auto"/>
            </w:tcBorders>
          </w:tcPr>
          <w:p w:rsidR="00E35632" w:rsidRDefault="00E35632">
            <w:pPr>
              <w:pStyle w:val="ConsPlusNormal"/>
            </w:pPr>
            <w:r>
              <w:t>0,60</w:t>
            </w:r>
          </w:p>
        </w:tc>
        <w:tc>
          <w:tcPr>
            <w:tcW w:w="4272" w:type="dxa"/>
            <w:tcBorders>
              <w:top w:val="nil"/>
              <w:left w:val="single" w:sz="4" w:space="0" w:color="auto"/>
              <w:bottom w:val="nil"/>
              <w:right w:val="single" w:sz="4" w:space="0" w:color="auto"/>
            </w:tcBorders>
          </w:tcPr>
          <w:p w:rsidR="00E35632" w:rsidRDefault="00E35632">
            <w:pPr>
              <w:pStyle w:val="ConsPlusNormal"/>
              <w:jc w:val="center"/>
            </w:pPr>
            <w:r>
              <w:t>800</w:t>
            </w:r>
          </w:p>
        </w:tc>
      </w:tr>
      <w:tr w:rsidR="00E35632">
        <w:tblPrEx>
          <w:tblBorders>
            <w:insideH w:val="none" w:sz="0" w:space="0" w:color="auto"/>
            <w:insideV w:val="nil"/>
          </w:tblBorders>
        </w:tblPrEx>
        <w:tc>
          <w:tcPr>
            <w:tcW w:w="2220" w:type="dxa"/>
            <w:vMerge/>
            <w:tcBorders>
              <w:top w:val="nil"/>
              <w:left w:val="single" w:sz="4" w:space="0" w:color="auto"/>
              <w:bottom w:val="single" w:sz="4" w:space="0" w:color="auto"/>
            </w:tcBorders>
          </w:tcPr>
          <w:p w:rsidR="00E35632" w:rsidRDefault="00E35632">
            <w:pPr>
              <w:pStyle w:val="ConsPlusNormal"/>
            </w:pPr>
          </w:p>
        </w:tc>
        <w:tc>
          <w:tcPr>
            <w:tcW w:w="463" w:type="dxa"/>
            <w:vMerge/>
            <w:tcBorders>
              <w:top w:val="nil"/>
              <w:bottom w:val="single" w:sz="4" w:space="0" w:color="auto"/>
            </w:tcBorders>
          </w:tcPr>
          <w:p w:rsidR="00E35632" w:rsidRDefault="00E35632">
            <w:pPr>
              <w:pStyle w:val="ConsPlusNormal"/>
            </w:pPr>
          </w:p>
        </w:tc>
        <w:tc>
          <w:tcPr>
            <w:tcW w:w="2093" w:type="dxa"/>
            <w:tcBorders>
              <w:top w:val="nil"/>
              <w:bottom w:val="single" w:sz="4" w:space="0" w:color="auto"/>
              <w:right w:val="single" w:sz="4" w:space="0" w:color="auto"/>
            </w:tcBorders>
          </w:tcPr>
          <w:p w:rsidR="00E35632" w:rsidRDefault="00E35632">
            <w:pPr>
              <w:pStyle w:val="ConsPlusNormal"/>
            </w:pPr>
            <w:r>
              <w:t>0,75</w:t>
            </w:r>
          </w:p>
        </w:tc>
        <w:tc>
          <w:tcPr>
            <w:tcW w:w="4272" w:type="dxa"/>
            <w:tcBorders>
              <w:top w:val="nil"/>
              <w:left w:val="single" w:sz="4" w:space="0" w:color="auto"/>
              <w:bottom w:val="single" w:sz="4" w:space="0" w:color="auto"/>
              <w:right w:val="single" w:sz="4" w:space="0" w:color="auto"/>
            </w:tcBorders>
          </w:tcPr>
          <w:p w:rsidR="00E35632" w:rsidRDefault="00E35632">
            <w:pPr>
              <w:pStyle w:val="ConsPlusNormal"/>
              <w:jc w:val="center"/>
            </w:pPr>
            <w:r>
              <w:t>400</w:t>
            </w:r>
          </w:p>
        </w:tc>
      </w:tr>
    </w:tbl>
    <w:p w:rsidR="00E35632" w:rsidRDefault="00E35632">
      <w:pPr>
        <w:pStyle w:val="ConsPlusNormal"/>
        <w:jc w:val="both"/>
      </w:pPr>
    </w:p>
    <w:p w:rsidR="00E35632" w:rsidRDefault="00E35632">
      <w:pPr>
        <w:pStyle w:val="ConsPlusTitle"/>
        <w:ind w:firstLine="540"/>
        <w:jc w:val="both"/>
        <w:outlineLvl w:val="1"/>
      </w:pPr>
      <w:bookmarkStart w:id="237" w:name="P4424"/>
      <w:bookmarkEnd w:id="237"/>
      <w:r>
        <w:t>8 Особенности проектирования оснований и фундаментов малоэтажных зданий</w:t>
      </w:r>
    </w:p>
    <w:p w:rsidR="00E35632" w:rsidRDefault="00E35632">
      <w:pPr>
        <w:pStyle w:val="ConsPlusNormal"/>
        <w:jc w:val="both"/>
      </w:pPr>
    </w:p>
    <w:p w:rsidR="00E35632" w:rsidRDefault="00E35632">
      <w:pPr>
        <w:pStyle w:val="ConsPlusNormal"/>
        <w:ind w:firstLine="540"/>
        <w:jc w:val="both"/>
      </w:pPr>
      <w:r>
        <w:t>8.1 Положения раздела распространяются на малоэтажные жилые и общественные здания, производственные сельскохозяйственные здания, гаражи и другие малоэтажные здания и сооружения.</w:t>
      </w:r>
    </w:p>
    <w:p w:rsidR="00E35632" w:rsidRDefault="00E35632">
      <w:pPr>
        <w:pStyle w:val="ConsPlusNormal"/>
        <w:spacing w:before="220"/>
        <w:ind w:firstLine="540"/>
        <w:jc w:val="both"/>
      </w:pPr>
      <w:r>
        <w:t>Эти здания могут возводиться на малозаглубленных, устраиваемых в слое сезоннопромерзающего грунта, и незаглубленных фундаментах.</w:t>
      </w:r>
    </w:p>
    <w:p w:rsidR="00E35632" w:rsidRDefault="00E35632">
      <w:pPr>
        <w:pStyle w:val="ConsPlusNormal"/>
        <w:spacing w:before="220"/>
        <w:ind w:firstLine="540"/>
        <w:jc w:val="both"/>
      </w:pPr>
      <w:r>
        <w:t>8.2 Рекомендуется применять следующие типы фундаментов:</w:t>
      </w:r>
    </w:p>
    <w:p w:rsidR="00E35632" w:rsidRDefault="00E35632">
      <w:pPr>
        <w:pStyle w:val="ConsPlusNormal"/>
        <w:spacing w:before="220"/>
        <w:ind w:firstLine="540"/>
        <w:jc w:val="both"/>
      </w:pPr>
      <w:r>
        <w:lastRenderedPageBreak/>
        <w:t>а) фундаменты на естественном основании (ленточные, столбчатые, плитные, щелевые и др.);</w:t>
      </w:r>
    </w:p>
    <w:p w:rsidR="00E35632" w:rsidRDefault="00E35632">
      <w:pPr>
        <w:pStyle w:val="ConsPlusNormal"/>
        <w:spacing w:before="220"/>
        <w:ind w:firstLine="540"/>
        <w:jc w:val="both"/>
      </w:pPr>
      <w:bookmarkStart w:id="238" w:name="P4430"/>
      <w:bookmarkEnd w:id="238"/>
      <w:r>
        <w:t>б) фундаменты на локально уплотненных основаниях (в вытрамбованных или выштампованных котлованах, забивные блоки и др.);</w:t>
      </w:r>
    </w:p>
    <w:p w:rsidR="00E35632" w:rsidRDefault="00E35632">
      <w:pPr>
        <w:pStyle w:val="ConsPlusNormal"/>
        <w:spacing w:before="220"/>
        <w:ind w:firstLine="540"/>
        <w:jc w:val="both"/>
      </w:pPr>
      <w:bookmarkStart w:id="239" w:name="P4431"/>
      <w:bookmarkEnd w:id="239"/>
      <w:r>
        <w:t>в) короткие сваи.</w:t>
      </w:r>
    </w:p>
    <w:p w:rsidR="00E35632" w:rsidRDefault="00E35632">
      <w:pPr>
        <w:pStyle w:val="ConsPlusNormal"/>
        <w:spacing w:before="220"/>
        <w:ind w:firstLine="540"/>
        <w:jc w:val="both"/>
      </w:pPr>
      <w:r>
        <w:t xml:space="preserve">8.3 В зданиях с несущими стенами рекомендуется применять преимущественно фундаменты на естественном основании (ленточные, столбчатые, щелевые и др.). В сложных инженерно-геологических условиях (специфические грунты, высокий уровень подземных вод и др.) могут быть использованы типы фундаментов, указанные в </w:t>
      </w:r>
      <w:hyperlink w:anchor="P4430">
        <w:r>
          <w:rPr>
            <w:color w:val="0000FF"/>
          </w:rPr>
          <w:t>8.2, б)</w:t>
        </w:r>
      </w:hyperlink>
      <w:r>
        <w:t xml:space="preserve"> и </w:t>
      </w:r>
      <w:hyperlink w:anchor="P4431">
        <w:r>
          <w:rPr>
            <w:color w:val="0000FF"/>
          </w:rPr>
          <w:t>в)</w:t>
        </w:r>
      </w:hyperlink>
      <w:r>
        <w:t>.</w:t>
      </w:r>
    </w:p>
    <w:p w:rsidR="00E35632" w:rsidRDefault="00E35632">
      <w:pPr>
        <w:pStyle w:val="ConsPlusNormal"/>
        <w:spacing w:before="220"/>
        <w:ind w:firstLine="540"/>
        <w:jc w:val="both"/>
      </w:pPr>
      <w:r>
        <w:t>8.4 В зданиях стоечно-балочной схемы и при безростверковом опирании стен следует применять столбчатые фундаменты (на естественном или локально уплотненном основании) или короткие сваи.</w:t>
      </w:r>
    </w:p>
    <w:p w:rsidR="00E35632" w:rsidRDefault="00E35632">
      <w:pPr>
        <w:pStyle w:val="ConsPlusNormal"/>
        <w:spacing w:before="220"/>
        <w:ind w:firstLine="540"/>
        <w:jc w:val="both"/>
      </w:pPr>
      <w:r>
        <w:t>8.5 Для зданий без подвалов рекомендуются малозаглубленные фундаменты. Тип, конструкция малозаглубленного фундамента и способ подготовки его основания зависят от свойств грунтов основания и степени их пучинистости.</w:t>
      </w:r>
    </w:p>
    <w:p w:rsidR="00E35632" w:rsidRDefault="00E35632">
      <w:pPr>
        <w:pStyle w:val="ConsPlusNormal"/>
        <w:spacing w:before="220"/>
        <w:ind w:firstLine="540"/>
        <w:jc w:val="both"/>
      </w:pPr>
      <w:r>
        <w:t xml:space="preserve">8.6 При проектировании малозаглубленных фундаментов на пучинистых грунтах, в том числе локально уплотненных, обязательным является расчет их оснований по деформациям пучения </w:t>
      </w:r>
      <w:hyperlink w:anchor="P3432">
        <w:r>
          <w:rPr>
            <w:color w:val="0000FF"/>
          </w:rPr>
          <w:t>(6.8)</w:t>
        </w:r>
      </w:hyperlink>
      <w:r>
        <w:t>.</w:t>
      </w:r>
    </w:p>
    <w:p w:rsidR="00E35632" w:rsidRDefault="00E35632">
      <w:pPr>
        <w:pStyle w:val="ConsPlusNormal"/>
        <w:spacing w:before="220"/>
        <w:ind w:firstLine="540"/>
        <w:jc w:val="both"/>
      </w:pPr>
      <w:r>
        <w:t>Деформации морозного пучения могут быть минимизированы при применении теплозащитного экранирования на основании специальных теплотехнических расчетов.</w:t>
      </w:r>
    </w:p>
    <w:p w:rsidR="00E35632" w:rsidRDefault="00E35632">
      <w:pPr>
        <w:pStyle w:val="ConsPlusNormal"/>
        <w:jc w:val="both"/>
      </w:pPr>
      <w:r>
        <w:t xml:space="preserve">(абзац введен </w:t>
      </w:r>
      <w:hyperlink r:id="rId826">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t>8.7 При строительстве на практически непучинистых грунтах несущие элементы малозаглубленных и незаглубленных фундаментов укладывают на выравнивающую подсыпку из песка, на пучинистых грунтах - на подушку из непучинистого материала (песок гравелистый, крупный или средней крупности, мелкий щебень, котельный шлак, плиты из влаго- биостойкой теплоизоляции и др.). В необходимых случаях для увеличения расчетного сопротивления грунта основания целесообразно предусматривать устройство песчано-щебеночной (песчано-гравийной) подушки (смесь песка крупного или средней крупности - 40%, щебня или гравия - 60%).</w:t>
      </w:r>
    </w:p>
    <w:p w:rsidR="00E35632" w:rsidRDefault="00E35632">
      <w:pPr>
        <w:pStyle w:val="ConsPlusNormal"/>
        <w:jc w:val="both"/>
      </w:pPr>
      <w:r>
        <w:t xml:space="preserve">(п. 8.7 в ред. </w:t>
      </w:r>
      <w:hyperlink r:id="rId827">
        <w:r>
          <w:rPr>
            <w:color w:val="0000FF"/>
          </w:rPr>
          <w:t>Изменения N 2</w:t>
        </w:r>
      </w:hyperlink>
      <w:r>
        <w:t>, утв. Приказом Минстроя России от 24.01.2019 N 43/пр)</w:t>
      </w:r>
    </w:p>
    <w:p w:rsidR="00E35632" w:rsidRDefault="00E35632">
      <w:pPr>
        <w:pStyle w:val="ConsPlusNormal"/>
        <w:spacing w:before="220"/>
        <w:ind w:firstLine="540"/>
        <w:jc w:val="both"/>
      </w:pPr>
      <w:r>
        <w:t xml:space="preserve">8.8 В зависимости от степени пучинистости грунта </w:t>
      </w:r>
      <w:hyperlink r:id="rId828">
        <w:r>
          <w:rPr>
            <w:color w:val="0000FF"/>
          </w:rPr>
          <w:t>(ГОСТ 25100)</w:t>
        </w:r>
      </w:hyperlink>
      <w:r>
        <w:t xml:space="preserve"> основания ленточные малозаглубленные фундаменты следует устраивать:</w:t>
      </w:r>
    </w:p>
    <w:p w:rsidR="00E35632" w:rsidRDefault="00E35632">
      <w:pPr>
        <w:pStyle w:val="ConsPlusNormal"/>
        <w:spacing w:before="220"/>
        <w:ind w:firstLine="540"/>
        <w:jc w:val="both"/>
      </w:pPr>
      <w:r>
        <w:t>а) на практически непучинистых и слабопучинистых грунтах - из сборных бетонных блоков, укладываемых без соединения между собой;</w:t>
      </w:r>
    </w:p>
    <w:p w:rsidR="00E35632" w:rsidRDefault="00E35632">
      <w:pPr>
        <w:pStyle w:val="ConsPlusNormal"/>
        <w:spacing w:before="220"/>
        <w:ind w:firstLine="540"/>
        <w:jc w:val="both"/>
      </w:pPr>
      <w:r>
        <w:t>б) на средне- и сильнопучинистых грунтах - из сборных железобетонных блоков, содержащих выпуски арматуры (выпуски соседних блоков соединяют, стыки замоноличивают бетоном);</w:t>
      </w:r>
    </w:p>
    <w:p w:rsidR="00E35632" w:rsidRDefault="00E35632">
      <w:pPr>
        <w:pStyle w:val="ConsPlusNormal"/>
        <w:spacing w:before="220"/>
        <w:ind w:firstLine="540"/>
        <w:jc w:val="both"/>
      </w:pPr>
      <w:r>
        <w:t>в) на чрезмернопучинистых грунтах - из монолитного железобетона.</w:t>
      </w:r>
    </w:p>
    <w:p w:rsidR="00E35632" w:rsidRDefault="00E35632">
      <w:pPr>
        <w:pStyle w:val="ConsPlusNormal"/>
        <w:spacing w:before="220"/>
        <w:ind w:firstLine="540"/>
        <w:jc w:val="both"/>
      </w:pPr>
      <w:r>
        <w:t>8.9 Сборно-монолитные, монолитные фундаменты и ростверки щелевых фундаментов и коротких свай всех стен должны быть жестко связаны между собой и объединены в систему перекрестных лент.</w:t>
      </w:r>
    </w:p>
    <w:p w:rsidR="00E35632" w:rsidRDefault="00E35632">
      <w:pPr>
        <w:pStyle w:val="ConsPlusNormal"/>
        <w:spacing w:before="220"/>
        <w:ind w:firstLine="540"/>
        <w:jc w:val="both"/>
      </w:pPr>
      <w:r>
        <w:t>8.10 При строительстве на сильно- и чрезмернопучинистых грунтах следует производить усиление стен армированными или железобетонными поясами, устраиваемыми в уровне перекрытий и над проемами верхнего этажа.</w:t>
      </w:r>
    </w:p>
    <w:p w:rsidR="00E35632" w:rsidRDefault="00E35632">
      <w:pPr>
        <w:pStyle w:val="ConsPlusNormal"/>
        <w:spacing w:before="220"/>
        <w:ind w:firstLine="540"/>
        <w:jc w:val="both"/>
      </w:pPr>
      <w:r>
        <w:lastRenderedPageBreak/>
        <w:t>8.11 Малозаглубленные столбчатые фундаменты на средне-, сильно- и чрезмернопучинистых грунтах должны быть связаны фундаментными балками, объединенными в единую систему.</w:t>
      </w:r>
    </w:p>
    <w:p w:rsidR="00E35632" w:rsidRDefault="00E35632">
      <w:pPr>
        <w:pStyle w:val="ConsPlusNormal"/>
        <w:spacing w:before="220"/>
        <w:ind w:firstLine="540"/>
        <w:jc w:val="both"/>
      </w:pPr>
      <w:r>
        <w:t>8.12 При устройстве столбчатых фундаментов на пучинистых грунтах необходимо предусматривать зазор между нижней гранью фундаментных балок и планировочной поверхностью грунта, величина которого должна быть не менее расчетной деформации пучения (подъема) ненагруженного основания.</w:t>
      </w:r>
    </w:p>
    <w:p w:rsidR="00E35632" w:rsidRDefault="00E35632">
      <w:pPr>
        <w:pStyle w:val="ConsPlusNormal"/>
        <w:spacing w:before="220"/>
        <w:ind w:firstLine="540"/>
        <w:jc w:val="both"/>
      </w:pPr>
      <w:r>
        <w:t>8.13 При наличии чрезмернопучинистых грунтов и значительной чувствительности зданий к неравномерным деформациям рекомендуется строить их на малозаглубленных и незаглубленных монолитных железобетонных плитных фундаментах, под которыми устраивают подушки из непучинистых материалов.</w:t>
      </w:r>
    </w:p>
    <w:p w:rsidR="00E35632" w:rsidRDefault="00E35632">
      <w:pPr>
        <w:pStyle w:val="ConsPlusNormal"/>
        <w:spacing w:before="220"/>
        <w:ind w:firstLine="540"/>
        <w:jc w:val="both"/>
      </w:pPr>
      <w:r>
        <w:t>8.14 При вытрамбовывании (выштамповывании) котлованов и забивке блоков рекомендуется использовать фундаменты в форме усеченной пирамиды с углом наклона боковых граней к вертикали 5° - 10°. Фундаменты указанной конструкции допускается закладывать в сезоннопромерзающем слое грунта.</w:t>
      </w:r>
    </w:p>
    <w:p w:rsidR="00E35632" w:rsidRDefault="00E35632">
      <w:pPr>
        <w:pStyle w:val="ConsPlusNormal"/>
        <w:spacing w:before="220"/>
        <w:ind w:firstLine="540"/>
        <w:jc w:val="both"/>
      </w:pPr>
      <w:r>
        <w:t>8.15 Для зданий с несущими стенами рекомендуется применять однорядное расположение забивных блоков и пирамидальных свай с напрягаемой арматурой, а также короткие сваи различных типов и способов изготовления.</w:t>
      </w:r>
    </w:p>
    <w:p w:rsidR="00E35632" w:rsidRDefault="00E35632">
      <w:pPr>
        <w:pStyle w:val="ConsPlusNormal"/>
        <w:jc w:val="both"/>
      </w:pPr>
    </w:p>
    <w:p w:rsidR="00E35632" w:rsidRDefault="00E35632">
      <w:pPr>
        <w:pStyle w:val="ConsPlusTitle"/>
        <w:ind w:firstLine="540"/>
        <w:jc w:val="both"/>
        <w:outlineLvl w:val="1"/>
      </w:pPr>
      <w:bookmarkStart w:id="240" w:name="P4452"/>
      <w:bookmarkEnd w:id="240"/>
      <w:r>
        <w:t>9 Особенности проектирования оснований подземных частей сооружений и геотехнический прогноз</w:t>
      </w:r>
    </w:p>
    <w:p w:rsidR="00E35632" w:rsidRDefault="00E35632">
      <w:pPr>
        <w:pStyle w:val="ConsPlusNormal"/>
        <w:jc w:val="both"/>
      </w:pPr>
    </w:p>
    <w:p w:rsidR="00E35632" w:rsidRDefault="00E35632">
      <w:pPr>
        <w:pStyle w:val="ConsPlusNormal"/>
        <w:ind w:firstLine="540"/>
        <w:jc w:val="both"/>
      </w:pPr>
      <w:r>
        <w:t>9.1 Требования раздела распространяются на вновь возводимые и реконструируемые сооружения, располагаемые на застроенной территории и/или с подземной частью, устраиваемой открытым или полузакрытым способом в котловане, а также на подземные сооружения, возводимые закрытым способом, в части оценки их влияния на окружающую застройку.</w:t>
      </w:r>
    </w:p>
    <w:p w:rsidR="00E35632" w:rsidRDefault="00E35632">
      <w:pPr>
        <w:pStyle w:val="ConsPlusNormal"/>
        <w:jc w:val="both"/>
      </w:pPr>
      <w:r>
        <w:t xml:space="preserve">(п. 9.1 в ред. </w:t>
      </w:r>
      <w:hyperlink r:id="rId829">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xml:space="preserve">9.2 Проектирование оснований подземных частей сооружений включает помимо требований </w:t>
      </w:r>
      <w:hyperlink w:anchor="P382">
        <w:r>
          <w:rPr>
            <w:color w:val="0000FF"/>
          </w:rPr>
          <w:t>5.1.3</w:t>
        </w:r>
      </w:hyperlink>
      <w:r>
        <w:t xml:space="preserve"> обоснованный выбор:</w:t>
      </w:r>
    </w:p>
    <w:p w:rsidR="00E35632" w:rsidRDefault="00E35632">
      <w:pPr>
        <w:pStyle w:val="ConsPlusNormal"/>
        <w:spacing w:before="220"/>
        <w:ind w:firstLine="540"/>
        <w:jc w:val="both"/>
      </w:pPr>
      <w:r>
        <w:t>- глубины заложения подземных конструкций;</w:t>
      </w:r>
    </w:p>
    <w:p w:rsidR="00E35632" w:rsidRDefault="00E35632">
      <w:pPr>
        <w:pStyle w:val="ConsPlusNormal"/>
        <w:spacing w:before="220"/>
        <w:ind w:firstLine="540"/>
        <w:jc w:val="both"/>
      </w:pPr>
      <w:r>
        <w:t>- способа устройства подземных конструкций (в открытом котловане, полузакрытый "сверху-вниз", опускной колодец, в насыпи и др.);</w:t>
      </w:r>
    </w:p>
    <w:p w:rsidR="00E35632" w:rsidRDefault="00E35632">
      <w:pPr>
        <w:pStyle w:val="ConsPlusNormal"/>
        <w:spacing w:before="220"/>
        <w:ind w:firstLine="540"/>
        <w:jc w:val="both"/>
      </w:pPr>
      <w:r>
        <w:t>- заложения откосов неподкрепленных котлованов;</w:t>
      </w:r>
    </w:p>
    <w:p w:rsidR="00E35632" w:rsidRDefault="00E35632">
      <w:pPr>
        <w:pStyle w:val="ConsPlusNormal"/>
        <w:spacing w:before="220"/>
        <w:ind w:firstLine="540"/>
        <w:jc w:val="both"/>
      </w:pPr>
      <w:r>
        <w:t>- типа, конструкции, материала ограждений котлованов и их креплений;</w:t>
      </w:r>
    </w:p>
    <w:p w:rsidR="00E35632" w:rsidRDefault="00E35632">
      <w:pPr>
        <w:pStyle w:val="ConsPlusNormal"/>
        <w:spacing w:before="220"/>
        <w:ind w:firstLine="540"/>
        <w:jc w:val="both"/>
      </w:pPr>
      <w:r>
        <w:t>- мероприятий, применяемых для снижения влияния строительства на деформации оснований, фундаментов и надземных конструкций сооружений и инженерных коммуникаций окружающей застройки;</w:t>
      </w:r>
    </w:p>
    <w:p w:rsidR="00E35632" w:rsidRDefault="00E35632">
      <w:pPr>
        <w:pStyle w:val="ConsPlusNormal"/>
        <w:spacing w:before="220"/>
        <w:ind w:firstLine="540"/>
        <w:jc w:val="both"/>
      </w:pPr>
      <w:r>
        <w:t>- мероприятий, применяемых для минимизации изменений гидрогеологических условий или предотвращения вызванных этим возможных негативных последствий, в т.ч. для окружающей застройки и экологической среды.</w:t>
      </w:r>
    </w:p>
    <w:p w:rsidR="00E35632" w:rsidRDefault="00E35632">
      <w:pPr>
        <w:pStyle w:val="ConsPlusNormal"/>
        <w:spacing w:before="220"/>
        <w:ind w:firstLine="540"/>
        <w:jc w:val="both"/>
      </w:pPr>
      <w:r>
        <w:t xml:space="preserve">9.3 Программа инженерно-геологических изысканий для проектирования оснований подземных частей сооружений геотехнической категории 3 может подлежать геотехнической экспертизе в соответствии с требованиями </w:t>
      </w:r>
      <w:hyperlink w:anchor="P353">
        <w:r>
          <w:rPr>
            <w:color w:val="0000FF"/>
          </w:rPr>
          <w:t>4.19</w:t>
        </w:r>
      </w:hyperlink>
      <w:r>
        <w:t>.</w:t>
      </w:r>
    </w:p>
    <w:p w:rsidR="00E35632" w:rsidRDefault="00E35632">
      <w:pPr>
        <w:pStyle w:val="ConsPlusNormal"/>
        <w:spacing w:before="220"/>
        <w:ind w:firstLine="540"/>
        <w:jc w:val="both"/>
      </w:pPr>
      <w:r>
        <w:t xml:space="preserve">9.4 При проектировании подземных частей сооружений геотехнических категорий 2 и 3 в </w:t>
      </w:r>
      <w:r>
        <w:lastRenderedPageBreak/>
        <w:t>котлованах глубиной более 5 м, подкрепленных ограждающими конструкциями, геологические разведочные скважины следует размещать по трассе ограждающих конструкций не реже чем через 20 м. При отсутствии фактической возможности расположения скважин указанным образом, их следует устраивать по прямоугольной сетке с шагом не более 20 м. Число скважин должно зависеть от категории сложности инженерно-геологических условий и составлять не менее пяти.</w:t>
      </w:r>
    </w:p>
    <w:p w:rsidR="00E35632" w:rsidRDefault="00E35632">
      <w:pPr>
        <w:pStyle w:val="ConsPlusNormal"/>
        <w:spacing w:before="220"/>
        <w:ind w:firstLine="540"/>
        <w:jc w:val="both"/>
      </w:pPr>
      <w:r>
        <w:t>Инженерно-геологическое строение площадки должно быть изучено на глубину не менее 1,5</w:t>
      </w:r>
      <w:r>
        <w:rPr>
          <w:i/>
        </w:rPr>
        <w:t>H</w:t>
      </w:r>
      <w:r>
        <w:rPr>
          <w:vertAlign w:val="subscript"/>
        </w:rPr>
        <w:t>ок</w:t>
      </w:r>
      <w:r>
        <w:t xml:space="preserve"> + 5 м, где </w:t>
      </w:r>
      <w:r>
        <w:rPr>
          <w:i/>
        </w:rPr>
        <w:t>H</w:t>
      </w:r>
      <w:r>
        <w:rPr>
          <w:vertAlign w:val="subscript"/>
        </w:rPr>
        <w:t>ок</w:t>
      </w:r>
      <w:r>
        <w:t xml:space="preserve"> - глубина заложения подошвы ограждающей конструкции, но не менее 10 м от подошвы ограждающей конструкции. На указанную глубину должно быть пройдено не менее 30% скважин, но не менее трех скважин.</w:t>
      </w:r>
    </w:p>
    <w:p w:rsidR="00E35632" w:rsidRDefault="00E35632">
      <w:pPr>
        <w:pStyle w:val="ConsPlusNormal"/>
        <w:spacing w:before="220"/>
        <w:ind w:firstLine="540"/>
        <w:jc w:val="both"/>
      </w:pPr>
      <w:r>
        <w:t>При проектировании подземных частей сооружений в неподкрепленных котлованах глубина разведочных скважин должна составлять не менее 1,5</w:t>
      </w:r>
      <w:r>
        <w:rPr>
          <w:i/>
        </w:rPr>
        <w:t>H</w:t>
      </w:r>
      <w:r>
        <w:rPr>
          <w:vertAlign w:val="subscript"/>
        </w:rPr>
        <w:t>к</w:t>
      </w:r>
      <w:r>
        <w:t xml:space="preserve"> + 5 м, где </w:t>
      </w:r>
      <w:r>
        <w:rPr>
          <w:i/>
        </w:rPr>
        <w:t>H</w:t>
      </w:r>
      <w:r>
        <w:rPr>
          <w:vertAlign w:val="subscript"/>
        </w:rPr>
        <w:t>к</w:t>
      </w:r>
      <w:r>
        <w:t xml:space="preserve"> - глубина котлована.</w:t>
      </w:r>
    </w:p>
    <w:p w:rsidR="00E35632" w:rsidRDefault="00E35632">
      <w:pPr>
        <w:pStyle w:val="ConsPlusNormal"/>
        <w:spacing w:before="220"/>
        <w:ind w:firstLine="540"/>
        <w:jc w:val="both"/>
      </w:pPr>
      <w:r>
        <w:t>Примечание - При отсутствии фактической возможности выполнить разведочные скважины по трассе ограждающих конструкций не реже чем через 20 м и по прямоугольной сетке с шагом 20 x 20 м допускается использовать данные архивных скважин при обосновании в программе работ, с оценкой возможности использования имеющихся материалов.</w:t>
      </w:r>
    </w:p>
    <w:p w:rsidR="00E35632" w:rsidRDefault="00E35632">
      <w:pPr>
        <w:pStyle w:val="ConsPlusNormal"/>
        <w:jc w:val="both"/>
      </w:pPr>
      <w:r>
        <w:t xml:space="preserve">(примечание введено </w:t>
      </w:r>
      <w:hyperlink r:id="rId830">
        <w:r>
          <w:rPr>
            <w:color w:val="0000FF"/>
          </w:rPr>
          <w:t>Изменением N 4</w:t>
        </w:r>
      </w:hyperlink>
      <w:r>
        <w:t>, утв. Приказом Минстроя России от 27.12.2021 N 1022/пр)</w:t>
      </w:r>
    </w:p>
    <w:p w:rsidR="00E35632" w:rsidRDefault="00E35632">
      <w:pPr>
        <w:pStyle w:val="ConsPlusNormal"/>
        <w:ind w:firstLine="540"/>
        <w:jc w:val="both"/>
      </w:pPr>
    </w:p>
    <w:p w:rsidR="00E35632" w:rsidRDefault="00E35632">
      <w:pPr>
        <w:pStyle w:val="ConsPlusNormal"/>
        <w:ind w:firstLine="540"/>
        <w:jc w:val="both"/>
      </w:pPr>
      <w:r>
        <w:t>9.5 Инженерно-геологические изыскания следует выполнять также вне границ площадок строительства в случаях:</w:t>
      </w:r>
    </w:p>
    <w:p w:rsidR="00E35632" w:rsidRDefault="00E35632">
      <w:pPr>
        <w:pStyle w:val="ConsPlusNormal"/>
        <w:spacing w:before="220"/>
        <w:ind w:firstLine="540"/>
        <w:jc w:val="both"/>
      </w:pPr>
      <w:r>
        <w:t>- необходимости анализа возможности проявления на примыкающей к зоне строительства территории опасных инженерно-геологических процессов;</w:t>
      </w:r>
    </w:p>
    <w:p w:rsidR="00E35632" w:rsidRDefault="00E35632">
      <w:pPr>
        <w:pStyle w:val="ConsPlusNormal"/>
        <w:spacing w:before="220"/>
        <w:ind w:firstLine="540"/>
        <w:jc w:val="both"/>
      </w:pPr>
      <w:r>
        <w:t>- определения возможности и целесообразности устройства грунтовых анкеров вне границ площадки строительства, а также последующего выполнения расчетов анкерных конструкций и оценки влияния их устройства на окружающую застройку;</w:t>
      </w:r>
    </w:p>
    <w:p w:rsidR="00E35632" w:rsidRDefault="00E35632">
      <w:pPr>
        <w:pStyle w:val="ConsPlusNormal"/>
        <w:spacing w:before="220"/>
        <w:ind w:firstLine="540"/>
        <w:jc w:val="both"/>
      </w:pPr>
      <w:r>
        <w:t>- решения вопроса о необходимости закрепления грунтов оснований и усиления фундаментов сооружений окружающей застройки, попадающих в зону влияния нового строительства;</w:t>
      </w:r>
    </w:p>
    <w:p w:rsidR="00E35632" w:rsidRDefault="00E35632">
      <w:pPr>
        <w:pStyle w:val="ConsPlusNormal"/>
        <w:spacing w:before="220"/>
        <w:ind w:firstLine="540"/>
        <w:jc w:val="both"/>
      </w:pPr>
      <w:r>
        <w:t>- необходимости получения данных для расчета изменения гидрогеологических условий на территории, примыкающей к строительной площадке.</w:t>
      </w:r>
    </w:p>
    <w:p w:rsidR="00E35632" w:rsidRDefault="00E35632">
      <w:pPr>
        <w:pStyle w:val="ConsPlusNormal"/>
        <w:spacing w:before="220"/>
        <w:ind w:firstLine="540"/>
        <w:jc w:val="both"/>
      </w:pPr>
      <w:r>
        <w:t>9.6 В процессе инженерных изысканий должны быть выявлены и изучены:</w:t>
      </w:r>
    </w:p>
    <w:p w:rsidR="00E35632" w:rsidRDefault="00E35632">
      <w:pPr>
        <w:pStyle w:val="ConsPlusNormal"/>
        <w:spacing w:before="220"/>
        <w:ind w:firstLine="540"/>
        <w:jc w:val="both"/>
      </w:pPr>
      <w:r>
        <w:t>- тектонические и закарстованные структуры, разрывные и складчатые нарушения;</w:t>
      </w:r>
    </w:p>
    <w:p w:rsidR="00E35632" w:rsidRDefault="00E35632">
      <w:pPr>
        <w:pStyle w:val="ConsPlusNormal"/>
        <w:spacing w:before="220"/>
        <w:ind w:firstLine="540"/>
        <w:jc w:val="both"/>
      </w:pPr>
      <w:r>
        <w:t>- фильтрационные свойства грунтов, необходимые для расчета ожидаемых водопритоков в котлованы и подземные выработки, величина напора в горизонтах подземных вод, наличие и толщина водоупоров и их устойчивость против прорыва напорных вод;</w:t>
      </w:r>
    </w:p>
    <w:p w:rsidR="00E35632" w:rsidRDefault="00E35632">
      <w:pPr>
        <w:pStyle w:val="ConsPlusNormal"/>
        <w:spacing w:before="220"/>
        <w:ind w:firstLine="540"/>
        <w:jc w:val="both"/>
      </w:pPr>
      <w:r>
        <w:t>- наличие и распространение грунтов, обладающих плывунными, тиксотропными и суффозионными свойствами и виброползучестью;</w:t>
      </w:r>
    </w:p>
    <w:p w:rsidR="00E35632" w:rsidRDefault="00E35632">
      <w:pPr>
        <w:pStyle w:val="ConsPlusNormal"/>
        <w:spacing w:before="220"/>
        <w:ind w:firstLine="540"/>
        <w:jc w:val="both"/>
      </w:pPr>
      <w:r>
        <w:t>- наличие и местоположение подземных сооружений, подвалов, тоннелей, инженерных коммуникаций, колодцев, подземных выработок, буровых скважин и пр.;</w:t>
      </w:r>
    </w:p>
    <w:p w:rsidR="00E35632" w:rsidRDefault="00E35632">
      <w:pPr>
        <w:pStyle w:val="ConsPlusNormal"/>
        <w:spacing w:before="220"/>
        <w:ind w:firstLine="540"/>
        <w:jc w:val="both"/>
      </w:pPr>
      <w:r>
        <w:t>- динамические воздействия от существующих стационарных и временных источников и от транспорта.</w:t>
      </w:r>
    </w:p>
    <w:p w:rsidR="00E35632" w:rsidRDefault="00E35632">
      <w:pPr>
        <w:pStyle w:val="ConsPlusNormal"/>
        <w:spacing w:before="220"/>
        <w:ind w:firstLine="540"/>
        <w:jc w:val="both"/>
      </w:pPr>
      <w:bookmarkStart w:id="241" w:name="P4481"/>
      <w:bookmarkEnd w:id="241"/>
      <w:r>
        <w:t xml:space="preserve">9.7 При проектировании оснований подземных частей сооружений геотехнических категорий 2 и 3 при глубине котлована более 5 м дополнительно к предусмотренным в </w:t>
      </w:r>
      <w:hyperlink w:anchor="P464">
        <w:r>
          <w:rPr>
            <w:color w:val="0000FF"/>
          </w:rPr>
          <w:t>5.1.16</w:t>
        </w:r>
      </w:hyperlink>
      <w:r>
        <w:t xml:space="preserve"> следует </w:t>
      </w:r>
      <w:r>
        <w:lastRenderedPageBreak/>
        <w:t>определять полевыми и лабораторными методами следующие физико-механические характеристики дисперсных и скальных грунтов:</w:t>
      </w:r>
    </w:p>
    <w:p w:rsidR="00E35632" w:rsidRDefault="00E35632">
      <w:pPr>
        <w:pStyle w:val="ConsPlusNormal"/>
        <w:spacing w:before="220"/>
        <w:ind w:firstLine="540"/>
        <w:jc w:val="both"/>
      </w:pPr>
      <w:r>
        <w:t xml:space="preserve">- модуль деформации </w:t>
      </w:r>
      <w:r>
        <w:rPr>
          <w:i/>
        </w:rPr>
        <w:t>E</w:t>
      </w:r>
      <w:r>
        <w:t xml:space="preserve"> для первичной ветви нагружения и ветви повторного нагружения </w:t>
      </w:r>
      <w:r>
        <w:rPr>
          <w:i/>
        </w:rPr>
        <w:t>E</w:t>
      </w:r>
      <w:r>
        <w:rPr>
          <w:i/>
          <w:vertAlign w:val="subscript"/>
        </w:rPr>
        <w:t>e</w:t>
      </w:r>
      <w:r>
        <w:t xml:space="preserve"> (см. </w:t>
      </w:r>
      <w:hyperlink w:anchor="P571">
        <w:r>
          <w:rPr>
            <w:color w:val="0000FF"/>
          </w:rPr>
          <w:t>5.3.8</w:t>
        </w:r>
      </w:hyperlink>
      <w:r>
        <w:t>), которое следует выполнять для тех же диапазонов напряжений, что и первичное;</w:t>
      </w:r>
    </w:p>
    <w:p w:rsidR="00E35632" w:rsidRDefault="00E35632">
      <w:pPr>
        <w:pStyle w:val="ConsPlusNormal"/>
        <w:spacing w:before="220"/>
        <w:ind w:firstLine="540"/>
        <w:jc w:val="both"/>
      </w:pPr>
      <w:r>
        <w:t xml:space="preserve">- коэффициент поперечной деформации </w:t>
      </w:r>
      <w:r>
        <w:rPr>
          <w:noProof/>
          <w:position w:val="-1"/>
        </w:rPr>
        <w:drawing>
          <wp:inline distT="0" distB="0" distL="0" distR="0">
            <wp:extent cx="142240" cy="160020"/>
            <wp:effectExtent l="0" t="0" r="0" b="0"/>
            <wp:docPr id="5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r>
        <w:t xml:space="preserve">. Для подземных сооружений геотехнической категории 2 расчетные значения коэффициента </w:t>
      </w:r>
      <w:r>
        <w:rPr>
          <w:noProof/>
          <w:position w:val="-1"/>
        </w:rPr>
        <w:drawing>
          <wp:inline distT="0" distB="0" distL="0" distR="0">
            <wp:extent cx="142240" cy="160020"/>
            <wp:effectExtent l="0" t="0" r="0" b="0"/>
            <wp:docPr id="5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r>
        <w:t xml:space="preserve"> допускается принимать в соответствии с </w:t>
      </w:r>
      <w:hyperlink w:anchor="P1710">
        <w:r>
          <w:rPr>
            <w:color w:val="0000FF"/>
          </w:rPr>
          <w:t>5.6.44</w:t>
        </w:r>
      </w:hyperlink>
      <w:r>
        <w:t>;</w:t>
      </w:r>
    </w:p>
    <w:p w:rsidR="00E35632" w:rsidRDefault="00E35632">
      <w:pPr>
        <w:pStyle w:val="ConsPlusNormal"/>
        <w:spacing w:before="220"/>
        <w:ind w:firstLine="540"/>
        <w:jc w:val="both"/>
      </w:pPr>
      <w:r>
        <w:t xml:space="preserve">- прочностные характеристики: угол внутреннего трения </w:t>
      </w:r>
      <w:r>
        <w:rPr>
          <w:noProof/>
          <w:position w:val="-4"/>
        </w:rPr>
        <w:drawing>
          <wp:inline distT="0" distB="0" distL="0" distR="0">
            <wp:extent cx="160020" cy="192405"/>
            <wp:effectExtent l="0" t="0" r="0" b="0"/>
            <wp:docPr id="5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r>
        <w:t xml:space="preserve"> и удельное сцепление </w:t>
      </w:r>
      <w:r>
        <w:rPr>
          <w:i/>
        </w:rPr>
        <w:t>c</w:t>
      </w:r>
      <w:r>
        <w:t>, определяемые для условий, соответствующих всем этапам строительства и эксплуатации подземного сооружения;</w:t>
      </w:r>
    </w:p>
    <w:p w:rsidR="00E35632" w:rsidRDefault="00E35632">
      <w:pPr>
        <w:pStyle w:val="ConsPlusNormal"/>
        <w:spacing w:before="220"/>
        <w:ind w:firstLine="540"/>
        <w:jc w:val="both"/>
      </w:pPr>
      <w:r>
        <w:t xml:space="preserve">- предел прочности на одноосное сжатие </w:t>
      </w:r>
      <w:r>
        <w:rPr>
          <w:i/>
        </w:rPr>
        <w:t>R</w:t>
      </w:r>
      <w:r>
        <w:rPr>
          <w:i/>
          <w:vertAlign w:val="subscript"/>
        </w:rPr>
        <w:t>c</w:t>
      </w:r>
      <w:r>
        <w:t xml:space="preserve"> и модуль деформации </w:t>
      </w:r>
      <w:r>
        <w:rPr>
          <w:i/>
        </w:rPr>
        <w:t>E</w:t>
      </w:r>
      <w:r>
        <w:t xml:space="preserve"> для скальных, искусственно закрепленных и замороженных грунтов;</w:t>
      </w:r>
    </w:p>
    <w:p w:rsidR="00E35632" w:rsidRDefault="00E35632">
      <w:pPr>
        <w:pStyle w:val="ConsPlusNormal"/>
        <w:spacing w:before="220"/>
        <w:ind w:firstLine="540"/>
        <w:jc w:val="both"/>
      </w:pPr>
      <w:r>
        <w:t xml:space="preserve">- удельные нормальные и касательные силы морозного пучения </w:t>
      </w:r>
      <w:r>
        <w:rPr>
          <w:noProof/>
          <w:position w:val="-10"/>
        </w:rPr>
        <w:drawing>
          <wp:inline distT="0" distB="0" distL="0" distR="0">
            <wp:extent cx="335280" cy="267970"/>
            <wp:effectExtent l="0" t="0" r="0" b="0"/>
            <wp:docPr id="5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335280" cy="267970"/>
                    </a:xfrm>
                    <a:prstGeom prst="rect">
                      <a:avLst/>
                    </a:prstGeom>
                    <a:noFill/>
                    <a:ln>
                      <a:noFill/>
                    </a:ln>
                  </pic:spPr>
                </pic:pic>
              </a:graphicData>
            </a:graphic>
          </wp:inline>
        </w:drawing>
      </w:r>
      <w:r>
        <w:t xml:space="preserve"> и </w:t>
      </w:r>
      <w:r>
        <w:rPr>
          <w:noProof/>
          <w:position w:val="-10"/>
        </w:rPr>
        <w:drawing>
          <wp:inline distT="0" distB="0" distL="0" distR="0">
            <wp:extent cx="226060" cy="267970"/>
            <wp:effectExtent l="0" t="0" r="0" b="0"/>
            <wp:docPr id="5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226060" cy="267970"/>
                    </a:xfrm>
                    <a:prstGeom prst="rect">
                      <a:avLst/>
                    </a:prstGeom>
                    <a:noFill/>
                    <a:ln>
                      <a:noFill/>
                    </a:ln>
                  </pic:spPr>
                </pic:pic>
              </a:graphicData>
            </a:graphic>
          </wp:inline>
        </w:drawing>
      </w:r>
      <w:r>
        <w:t>;</w:t>
      </w:r>
    </w:p>
    <w:p w:rsidR="00E35632" w:rsidRDefault="00E35632">
      <w:pPr>
        <w:pStyle w:val="ConsPlusNormal"/>
        <w:spacing w:before="220"/>
        <w:ind w:firstLine="540"/>
        <w:jc w:val="both"/>
      </w:pPr>
      <w:r>
        <w:t>- коэффициент фильтрации грунтов;</w:t>
      </w:r>
    </w:p>
    <w:p w:rsidR="00E35632" w:rsidRDefault="00E35632">
      <w:pPr>
        <w:pStyle w:val="ConsPlusNormal"/>
        <w:spacing w:before="220"/>
        <w:ind w:firstLine="540"/>
        <w:jc w:val="both"/>
      </w:pPr>
      <w:r>
        <w:t xml:space="preserve">- характеристики трещиноватости массивов скальных грунтов: модуль трещиноватости </w:t>
      </w:r>
      <w:r>
        <w:rPr>
          <w:i/>
        </w:rPr>
        <w:t>M</w:t>
      </w:r>
      <w:r>
        <w:rPr>
          <w:i/>
          <w:vertAlign w:val="subscript"/>
        </w:rPr>
        <w:t>j</w:t>
      </w:r>
      <w:r>
        <w:t xml:space="preserve">, показатель качества породы </w:t>
      </w:r>
      <w:r>
        <w:rPr>
          <w:i/>
        </w:rPr>
        <w:t>RQD</w:t>
      </w:r>
      <w:r>
        <w:t xml:space="preserve">, коэффициент выветрелости </w:t>
      </w:r>
      <w:r>
        <w:rPr>
          <w:i/>
        </w:rPr>
        <w:t>K</w:t>
      </w:r>
      <w:r>
        <w:rPr>
          <w:i/>
          <w:vertAlign w:val="subscript"/>
        </w:rPr>
        <w:t>wr</w:t>
      </w:r>
      <w:r>
        <w:t>.</w:t>
      </w:r>
    </w:p>
    <w:p w:rsidR="00E35632" w:rsidRDefault="00E35632">
      <w:pPr>
        <w:pStyle w:val="ConsPlusNormal"/>
        <w:spacing w:before="220"/>
        <w:ind w:firstLine="540"/>
        <w:jc w:val="both"/>
      </w:pPr>
      <w:r>
        <w:t xml:space="preserve">При соответствующем обосновании по специальному заданию (например, специализированной организации, ведущей научно-техническое сопровождение проектирования и строительства согласно </w:t>
      </w:r>
      <w:hyperlink w:anchor="P334">
        <w:r>
          <w:rPr>
            <w:color w:val="0000FF"/>
          </w:rPr>
          <w:t>4.17</w:t>
        </w:r>
      </w:hyperlink>
      <w:r>
        <w:t>) изысканиями могут определяться и другие физико-механические и классификационные характеристики грунтов и массивов, в т.ч.:</w:t>
      </w:r>
    </w:p>
    <w:p w:rsidR="00E35632" w:rsidRDefault="00E35632">
      <w:pPr>
        <w:pStyle w:val="ConsPlusNormal"/>
        <w:spacing w:before="220"/>
        <w:ind w:firstLine="540"/>
        <w:jc w:val="both"/>
      </w:pPr>
      <w:r>
        <w:t xml:space="preserve">- сопротивление грунта недренированному сдвигу </w:t>
      </w:r>
      <w:r>
        <w:rPr>
          <w:i/>
        </w:rPr>
        <w:t>c</w:t>
      </w:r>
      <w:r>
        <w:rPr>
          <w:i/>
          <w:vertAlign w:val="subscript"/>
        </w:rPr>
        <w:t>u</w:t>
      </w:r>
      <w:r>
        <w:t xml:space="preserve"> </w:t>
      </w:r>
      <w:hyperlink w:anchor="P576">
        <w:r>
          <w:rPr>
            <w:color w:val="0000FF"/>
          </w:rPr>
          <w:t>(5.3.10)</w:t>
        </w:r>
      </w:hyperlink>
      <w:r>
        <w:t>;</w:t>
      </w:r>
    </w:p>
    <w:p w:rsidR="00E35632" w:rsidRDefault="00E35632">
      <w:pPr>
        <w:pStyle w:val="ConsPlusNormal"/>
        <w:spacing w:before="220"/>
        <w:ind w:firstLine="540"/>
        <w:jc w:val="both"/>
      </w:pPr>
      <w:r>
        <w:t xml:space="preserve">- коэффициент переуплотнения грунта </w:t>
      </w:r>
      <w:r>
        <w:rPr>
          <w:i/>
        </w:rPr>
        <w:t>OCR</w:t>
      </w:r>
      <w:r>
        <w:t>;</w:t>
      </w:r>
    </w:p>
    <w:p w:rsidR="00E35632" w:rsidRDefault="00E35632">
      <w:pPr>
        <w:pStyle w:val="ConsPlusNormal"/>
        <w:spacing w:before="220"/>
        <w:ind w:firstLine="540"/>
        <w:jc w:val="both"/>
      </w:pPr>
      <w:r>
        <w:t>- параметры ползучести глинистых грунтов;</w:t>
      </w:r>
    </w:p>
    <w:p w:rsidR="00E35632" w:rsidRDefault="00E35632">
      <w:pPr>
        <w:pStyle w:val="ConsPlusNormal"/>
        <w:spacing w:before="220"/>
        <w:ind w:firstLine="540"/>
        <w:jc w:val="both"/>
      </w:pPr>
      <w:r>
        <w:t xml:space="preserve">- предел прочности на одноосное растяжение </w:t>
      </w:r>
      <w:r>
        <w:rPr>
          <w:i/>
        </w:rPr>
        <w:t>R</w:t>
      </w:r>
      <w:r>
        <w:rPr>
          <w:i/>
          <w:vertAlign w:val="subscript"/>
        </w:rPr>
        <w:t>t</w:t>
      </w:r>
      <w:r>
        <w:t xml:space="preserve"> для скальных и искусственно закрепленных грунтов;</w:t>
      </w:r>
    </w:p>
    <w:p w:rsidR="00E35632" w:rsidRDefault="00E35632">
      <w:pPr>
        <w:pStyle w:val="ConsPlusNormal"/>
        <w:spacing w:before="220"/>
        <w:ind w:firstLine="540"/>
        <w:jc w:val="both"/>
      </w:pPr>
      <w:r>
        <w:t xml:space="preserve">- классификационные характеристики скальных массивов </w:t>
      </w:r>
      <w:r>
        <w:rPr>
          <w:i/>
        </w:rPr>
        <w:t>RMR</w:t>
      </w:r>
      <w:r>
        <w:t xml:space="preserve">, </w:t>
      </w:r>
      <w:r>
        <w:rPr>
          <w:i/>
        </w:rPr>
        <w:t>Q</w:t>
      </w:r>
      <w:r>
        <w:t xml:space="preserve">, </w:t>
      </w:r>
      <w:r>
        <w:rPr>
          <w:i/>
        </w:rPr>
        <w:t>GSI</w:t>
      </w:r>
      <w:r>
        <w:t>;</w:t>
      </w:r>
    </w:p>
    <w:p w:rsidR="00E35632" w:rsidRDefault="00E35632">
      <w:pPr>
        <w:pStyle w:val="ConsPlusNormal"/>
        <w:spacing w:before="220"/>
        <w:ind w:firstLine="540"/>
        <w:jc w:val="both"/>
      </w:pPr>
      <w:r>
        <w:t xml:space="preserve">- параметры релаксации напряжений в грунтах </w:t>
      </w:r>
      <w:r>
        <w:rPr>
          <w:i/>
        </w:rPr>
        <w:t>K</w:t>
      </w:r>
      <w:r>
        <w:rPr>
          <w:i/>
          <w:vertAlign w:val="subscript"/>
        </w:rPr>
        <w:t>r</w:t>
      </w:r>
      <w:r>
        <w:t xml:space="preserve">, </w:t>
      </w:r>
      <w:r>
        <w:rPr>
          <w:noProof/>
          <w:position w:val="-8"/>
        </w:rPr>
        <w:drawing>
          <wp:inline distT="0" distB="0" distL="0" distR="0">
            <wp:extent cx="209550" cy="251460"/>
            <wp:effectExtent l="0" t="0" r="0" b="0"/>
            <wp:docPr id="5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w:t>
      </w:r>
    </w:p>
    <w:p w:rsidR="00E35632" w:rsidRDefault="00E35632">
      <w:pPr>
        <w:pStyle w:val="ConsPlusNormal"/>
        <w:spacing w:before="220"/>
        <w:ind w:firstLine="540"/>
        <w:jc w:val="both"/>
      </w:pPr>
      <w:r>
        <w:t>9.8 При проектировании оснований подземных частей сооружений геотехнической категории 3 в случае необходимости следует выполнять измерения напряжений в массивах скальных и нескальных грунтов; опытные полевые работы по водопонижению, закреплению и замораживанию грунтов, устройству противофильтрационных завес и "стен в грунте", а также геофизические и прочие исследования.</w:t>
      </w:r>
    </w:p>
    <w:p w:rsidR="00E35632" w:rsidRDefault="00E35632">
      <w:pPr>
        <w:pStyle w:val="ConsPlusNormal"/>
        <w:spacing w:before="220"/>
        <w:ind w:firstLine="540"/>
        <w:jc w:val="both"/>
      </w:pPr>
      <w:r>
        <w:t>9.9 При проектировании оснований подземных частей сооружений, размещаемых вблизи окружающей застройки, расчеты и проверки следует выполнять как для обеспечения прочности, надежности и долговечности самого проектируемого сооружения на всех стадиях строительства и эксплуатации, так и для обеспечения прочности, надежности и долговечности существующих сооружений и инженерных коммуникаций, а также сохранения окружающей среды.</w:t>
      </w:r>
    </w:p>
    <w:p w:rsidR="00E35632" w:rsidRDefault="00E35632">
      <w:pPr>
        <w:pStyle w:val="ConsPlusNormal"/>
        <w:spacing w:before="220"/>
        <w:ind w:firstLine="540"/>
        <w:jc w:val="both"/>
      </w:pPr>
      <w:r>
        <w:t xml:space="preserve">9.10 При проектировании оснований подземных частей сооружений следует учитывать их уровень ответственности, а также уровень ответственности сооружений, на которые может </w:t>
      </w:r>
      <w:r>
        <w:lastRenderedPageBreak/>
        <w:t xml:space="preserve">оказывать влияние подземное строительство </w:t>
      </w:r>
      <w:hyperlink r:id="rId836">
        <w:r>
          <w:rPr>
            <w:color w:val="0000FF"/>
          </w:rPr>
          <w:t>(ГОСТ 27751)</w:t>
        </w:r>
      </w:hyperlink>
      <w:r>
        <w:t>.</w:t>
      </w:r>
    </w:p>
    <w:p w:rsidR="00E35632" w:rsidRDefault="00E35632">
      <w:pPr>
        <w:pStyle w:val="ConsPlusNormal"/>
        <w:spacing w:before="220"/>
        <w:ind w:firstLine="540"/>
        <w:jc w:val="both"/>
      </w:pPr>
      <w:r>
        <w:t xml:space="preserve">В случае, если в зону влияния проектируемой подземной части сооружения (см. </w:t>
      </w:r>
      <w:hyperlink w:anchor="P4763">
        <w:r>
          <w:rPr>
            <w:color w:val="0000FF"/>
          </w:rPr>
          <w:t>9.34</w:t>
        </w:r>
      </w:hyperlink>
      <w:r>
        <w:t>) попадает сооружение окружающей застройки более высокого уровня ответственности, геотехническая категория проектируемого сооружения должна быть повышена с учетом уровня ответственности сооружения, которое подвергается влиянию проектируемого.</w:t>
      </w:r>
    </w:p>
    <w:p w:rsidR="00E35632" w:rsidRDefault="00E35632">
      <w:pPr>
        <w:pStyle w:val="ConsPlusNormal"/>
        <w:spacing w:before="220"/>
        <w:ind w:firstLine="540"/>
        <w:jc w:val="both"/>
      </w:pPr>
      <w:r>
        <w:t>9.11 Нагрузки и воздействия на основания и конструкции подземных частей сооружений следует устанавливать расчетом, исходя из анализа совместной работы конструкций сооружения и основания, с учетом возможного их изменения на различных стадиях возведения и эксплуатации сооружения.</w:t>
      </w:r>
    </w:p>
    <w:p w:rsidR="00E35632" w:rsidRDefault="00E35632">
      <w:pPr>
        <w:pStyle w:val="ConsPlusNormal"/>
        <w:spacing w:before="220"/>
        <w:ind w:firstLine="540"/>
        <w:jc w:val="both"/>
      </w:pPr>
      <w:r>
        <w:t xml:space="preserve">Специфические нагрузки и воздействия на конструкции подземных частей сооружений, а также их длительность следует устанавливать в соответствии с требованиями </w:t>
      </w:r>
      <w:hyperlink r:id="rId837">
        <w:r>
          <w:rPr>
            <w:color w:val="0000FF"/>
          </w:rPr>
          <w:t>СП 14.13330</w:t>
        </w:r>
      </w:hyperlink>
      <w:r>
        <w:t xml:space="preserve">, </w:t>
      </w:r>
      <w:hyperlink r:id="rId838">
        <w:r>
          <w:rPr>
            <w:color w:val="0000FF"/>
          </w:rPr>
          <w:t>СП 20.13330</w:t>
        </w:r>
      </w:hyperlink>
      <w:r>
        <w:t xml:space="preserve">, </w:t>
      </w:r>
      <w:hyperlink r:id="rId839">
        <w:r>
          <w:rPr>
            <w:color w:val="0000FF"/>
          </w:rPr>
          <w:t>СП 21.13330</w:t>
        </w:r>
      </w:hyperlink>
      <w:r>
        <w:t xml:space="preserve">, </w:t>
      </w:r>
      <w:hyperlink r:id="rId840">
        <w:r>
          <w:rPr>
            <w:color w:val="0000FF"/>
          </w:rPr>
          <w:t>СП 35.13330</w:t>
        </w:r>
      </w:hyperlink>
      <w:r>
        <w:t xml:space="preserve">, </w:t>
      </w:r>
      <w:hyperlink r:id="rId841">
        <w:r>
          <w:rPr>
            <w:color w:val="0000FF"/>
          </w:rPr>
          <w:t>СП 116.13330</w:t>
        </w:r>
      </w:hyperlink>
      <w:r>
        <w:t xml:space="preserve">, </w:t>
      </w:r>
      <w:hyperlink r:id="rId842">
        <w:r>
          <w:rPr>
            <w:color w:val="0000FF"/>
          </w:rPr>
          <w:t>СП 131.13330</w:t>
        </w:r>
      </w:hyperlink>
      <w:r>
        <w:t>.</w:t>
      </w:r>
    </w:p>
    <w:p w:rsidR="00E35632" w:rsidRDefault="00E35632">
      <w:pPr>
        <w:pStyle w:val="ConsPlusNormal"/>
        <w:spacing w:before="220"/>
        <w:ind w:firstLine="540"/>
        <w:jc w:val="both"/>
      </w:pPr>
      <w:r>
        <w:t xml:space="preserve">9.12 Расчеты и проверки оснований подземных частей сооружений по первой и второй группам предельных состояний должны выполняться в соответствии с требованиями </w:t>
      </w:r>
      <w:hyperlink w:anchor="P375">
        <w:r>
          <w:rPr>
            <w:color w:val="0000FF"/>
          </w:rPr>
          <w:t>раздела 5</w:t>
        </w:r>
      </w:hyperlink>
      <w:r>
        <w:t xml:space="preserve"> и включать определения:</w:t>
      </w:r>
    </w:p>
    <w:p w:rsidR="00E35632" w:rsidRDefault="00E35632">
      <w:pPr>
        <w:pStyle w:val="ConsPlusNormal"/>
        <w:spacing w:before="220"/>
        <w:ind w:firstLine="540"/>
        <w:jc w:val="both"/>
      </w:pPr>
      <w:r>
        <w:t>- несущей способности основания, устойчивости сооружения и его отдельных элементов;</w:t>
      </w:r>
    </w:p>
    <w:p w:rsidR="00E35632" w:rsidRDefault="00E35632">
      <w:pPr>
        <w:pStyle w:val="ConsPlusNormal"/>
        <w:spacing w:before="220"/>
        <w:ind w:firstLine="540"/>
        <w:jc w:val="both"/>
      </w:pPr>
      <w:r>
        <w:t>- местной прочности скального основания;</w:t>
      </w:r>
    </w:p>
    <w:p w:rsidR="00E35632" w:rsidRDefault="00E35632">
      <w:pPr>
        <w:pStyle w:val="ConsPlusNormal"/>
        <w:spacing w:before="220"/>
        <w:ind w:firstLine="540"/>
        <w:jc w:val="both"/>
      </w:pPr>
      <w:r>
        <w:t>- устойчивости склонов, примыкающих к сооружению, откосов и ограждающих конструкций котлованов;</w:t>
      </w:r>
    </w:p>
    <w:p w:rsidR="00E35632" w:rsidRDefault="00E35632">
      <w:pPr>
        <w:pStyle w:val="ConsPlusNormal"/>
        <w:spacing w:before="220"/>
        <w:ind w:firstLine="540"/>
        <w:jc w:val="both"/>
      </w:pPr>
      <w:r>
        <w:t>- нагрузок, передающихся на ограждающие конструкции котлованов и наружные стены подземных частей сооружений;</w:t>
      </w:r>
    </w:p>
    <w:p w:rsidR="00E35632" w:rsidRDefault="00E35632">
      <w:pPr>
        <w:pStyle w:val="ConsPlusNormal"/>
        <w:spacing w:before="220"/>
        <w:ind w:firstLine="540"/>
        <w:jc w:val="both"/>
      </w:pPr>
      <w:r>
        <w:t>- усилий в конструкциях ограждения котлованов от температурно-климатических воздействий;</w:t>
      </w:r>
    </w:p>
    <w:p w:rsidR="00E35632" w:rsidRDefault="00E35632">
      <w:pPr>
        <w:pStyle w:val="ConsPlusNormal"/>
        <w:jc w:val="both"/>
      </w:pPr>
      <w:r>
        <w:t xml:space="preserve">(перечисление введено </w:t>
      </w:r>
      <w:hyperlink r:id="rId843">
        <w:r>
          <w:rPr>
            <w:color w:val="0000FF"/>
          </w:rPr>
          <w:t>Изменением N 1</w:t>
        </w:r>
      </w:hyperlink>
      <w:r>
        <w:t>, утв. Приказом Минстроя России от 20.11.2018 N 736/пр)</w:t>
      </w:r>
    </w:p>
    <w:p w:rsidR="00E35632" w:rsidRDefault="00E35632">
      <w:pPr>
        <w:pStyle w:val="ConsPlusNormal"/>
        <w:spacing w:before="220"/>
        <w:ind w:firstLine="540"/>
        <w:jc w:val="both"/>
      </w:pPr>
      <w:r>
        <w:t>- несущей способности по грунту анкерных конструкций (грунтовых анкеров, анкерных свай и др.);</w:t>
      </w:r>
    </w:p>
    <w:p w:rsidR="00E35632" w:rsidRDefault="00E35632">
      <w:pPr>
        <w:pStyle w:val="ConsPlusNormal"/>
        <w:spacing w:before="220"/>
        <w:ind w:firstLine="540"/>
        <w:jc w:val="both"/>
      </w:pPr>
      <w:r>
        <w:t>- фильтрационной прочности основания, давления подземных вод на конструкции подземных частей сооружения, устойчивости против всплытия;</w:t>
      </w:r>
    </w:p>
    <w:p w:rsidR="00E35632" w:rsidRDefault="00E35632">
      <w:pPr>
        <w:pStyle w:val="ConsPlusNormal"/>
        <w:spacing w:before="220"/>
        <w:ind w:firstLine="540"/>
        <w:jc w:val="both"/>
      </w:pPr>
      <w:r>
        <w:t>- фильтрационного расхода при водопонижении;</w:t>
      </w:r>
    </w:p>
    <w:p w:rsidR="00E35632" w:rsidRDefault="00E35632">
      <w:pPr>
        <w:pStyle w:val="ConsPlusNormal"/>
        <w:spacing w:before="220"/>
        <w:ind w:firstLine="540"/>
        <w:jc w:val="both"/>
      </w:pPr>
      <w:r>
        <w:t>- изменения гидрогеологических условий, вызванных строительством и эксплуатацией сооружения;</w:t>
      </w:r>
    </w:p>
    <w:p w:rsidR="00E35632" w:rsidRDefault="00E35632">
      <w:pPr>
        <w:pStyle w:val="ConsPlusNormal"/>
        <w:spacing w:before="220"/>
        <w:ind w:firstLine="540"/>
        <w:jc w:val="both"/>
      </w:pPr>
      <w:r>
        <w:t>- деформаций системы "подземная часть сооружения - основание";</w:t>
      </w:r>
    </w:p>
    <w:p w:rsidR="00E35632" w:rsidRDefault="00E35632">
      <w:pPr>
        <w:pStyle w:val="ConsPlusNormal"/>
        <w:spacing w:before="220"/>
        <w:ind w:firstLine="540"/>
        <w:jc w:val="both"/>
      </w:pPr>
      <w:r>
        <w:t>- деформаций оснований окружающей застройки.</w:t>
      </w:r>
    </w:p>
    <w:p w:rsidR="00E35632" w:rsidRDefault="00E35632">
      <w:pPr>
        <w:pStyle w:val="ConsPlusNormal"/>
        <w:spacing w:before="220"/>
        <w:ind w:firstLine="540"/>
        <w:jc w:val="both"/>
      </w:pPr>
      <w:r>
        <w:t>При проектировании оснований ограждений котлованов следует выполнять оценку возможных дополнительных деформаций основания сооружений в зоне влияния строительства и реконструкции от технологических воздействий, связанных с их устройством. Оценку технологических осадок допускается проводить по сопоставимому геотехническому опыту.</w:t>
      </w:r>
    </w:p>
    <w:p w:rsidR="00E35632" w:rsidRDefault="00E35632">
      <w:pPr>
        <w:pStyle w:val="ConsPlusNormal"/>
        <w:jc w:val="both"/>
      </w:pPr>
      <w:r>
        <w:t xml:space="preserve">(в ред. </w:t>
      </w:r>
      <w:hyperlink r:id="rId844">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 xml:space="preserve">При проектировании оснований подпорных стен, устраиваемых из отдельно стоящих элементов, следует выполнять расчет прочности основания на продавливание грунта между </w:t>
      </w:r>
      <w:r>
        <w:lastRenderedPageBreak/>
        <w:t>элементами.</w:t>
      </w:r>
    </w:p>
    <w:p w:rsidR="00E35632" w:rsidRDefault="00E35632">
      <w:pPr>
        <w:pStyle w:val="ConsPlusNormal"/>
        <w:spacing w:before="220"/>
        <w:ind w:firstLine="540"/>
        <w:jc w:val="both"/>
      </w:pPr>
      <w:r>
        <w:t>При выполнении расчетов следует учитывать возможные изменения уровней горизонтов подземных вод и пьезометрических напоров, а также физико-механических свойств грунтов с учетом технологических воздействий, промерзания и оттаивания, явлений просадок, пучения, набухания и т.п.</w:t>
      </w:r>
    </w:p>
    <w:p w:rsidR="00E35632" w:rsidRDefault="00E35632">
      <w:pPr>
        <w:pStyle w:val="ConsPlusNormal"/>
        <w:spacing w:before="220"/>
        <w:ind w:firstLine="540"/>
        <w:jc w:val="both"/>
      </w:pPr>
      <w:r>
        <w:t xml:space="preserve">Для предварительной оценки усилий в распорной системе с учетом температурных воздействий допускается назначать значения, полученные по расчету без учета податливости распорных креплений, увеличенные на 30%. Окончательное определение усилий в распорных конструкциях от температурных воздействий допускается выполнять в соответствии с </w:t>
      </w:r>
      <w:hyperlink r:id="rId845">
        <w:r>
          <w:rPr>
            <w:color w:val="0000FF"/>
          </w:rPr>
          <w:t>приложением К</w:t>
        </w:r>
      </w:hyperlink>
      <w:r>
        <w:t xml:space="preserve"> СП 381.1325800.</w:t>
      </w:r>
    </w:p>
    <w:p w:rsidR="00E35632" w:rsidRDefault="00E35632">
      <w:pPr>
        <w:pStyle w:val="ConsPlusNormal"/>
        <w:jc w:val="both"/>
      </w:pPr>
      <w:r>
        <w:t xml:space="preserve">(в ред. </w:t>
      </w:r>
      <w:hyperlink r:id="rId846">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При выполнении расчетов оснований подземных частей сооружений следует учитывать конструктивную нелинейность, связанную с изменением расчетной схемы в процессе строительства, технологические особенности возведения и последовательность строительных операций.</w:t>
      </w:r>
    </w:p>
    <w:p w:rsidR="00E35632" w:rsidRDefault="00E35632">
      <w:pPr>
        <w:pStyle w:val="ConsPlusNormal"/>
        <w:spacing w:before="220"/>
        <w:ind w:firstLine="540"/>
        <w:jc w:val="both"/>
      </w:pPr>
      <w:r>
        <w:t>При выполнении предварительных расчетов конструкций ограждения для котлованов глубиной до 15 м их перемещения в угловых зонах допускается определять с применением упрощенных расчетных схем распределения перемещений, основанных на результатах плоских расчетов.</w:t>
      </w:r>
    </w:p>
    <w:p w:rsidR="00E35632" w:rsidRDefault="00E35632">
      <w:pPr>
        <w:pStyle w:val="ConsPlusNormal"/>
        <w:jc w:val="both"/>
      </w:pPr>
      <w:r>
        <w:t xml:space="preserve">(абзац введен </w:t>
      </w:r>
      <w:hyperlink r:id="rId847">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t>Определение деформаций оснований окружающей застройки в районе угловых зон котлованов для сооружений окружающей застройки допускается выполнять с применением упрощенных расчетных схем распределения перемещений, основанных на результатах решения задач в плоской постановке.</w:t>
      </w:r>
    </w:p>
    <w:p w:rsidR="00E35632" w:rsidRDefault="00E35632">
      <w:pPr>
        <w:pStyle w:val="ConsPlusNormal"/>
        <w:jc w:val="both"/>
      </w:pPr>
      <w:r>
        <w:t xml:space="preserve">(абзац введен </w:t>
      </w:r>
      <w:hyperlink r:id="rId848">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t>При проектировании вновь возводимых сооружений повышенного уровня ответственности (геотехнической категории 3) в котлованах под защитой "стены в грунте" траншейного типа рекомендуется учитывать изменение напряженно-деформированного состояния грунтового массива в результате устройства "стены в грунте" для расчета следующих конструкций: "стены в грунте", распорных конструкций котлована, плитных фундаментов. При этом расчет влияния устройства "стены в грунте" на изменение напряженно-деформированного состояния окружающего массива грунта следует выполнять численным методом в пространственной постановке задачи.</w:t>
      </w:r>
    </w:p>
    <w:p w:rsidR="00E35632" w:rsidRDefault="00E35632">
      <w:pPr>
        <w:pStyle w:val="ConsPlusNormal"/>
        <w:jc w:val="both"/>
      </w:pPr>
      <w:r>
        <w:t xml:space="preserve">(абзац введен </w:t>
      </w:r>
      <w:hyperlink r:id="rId849">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t>Примечание - При проектировании ограждающих конструкций котлованов сооружений геотехнической категории 3 рекомендуется учитывать аварийные воздействия. Виды учитываемых аварийных воздействий определяются проектом.</w:t>
      </w:r>
    </w:p>
    <w:p w:rsidR="00E35632" w:rsidRDefault="00E35632">
      <w:pPr>
        <w:pStyle w:val="ConsPlusNormal"/>
        <w:jc w:val="both"/>
      </w:pPr>
      <w:r>
        <w:t xml:space="preserve">(примечание введено </w:t>
      </w:r>
      <w:hyperlink r:id="rId850">
        <w:r>
          <w:rPr>
            <w:color w:val="0000FF"/>
          </w:rPr>
          <w:t>Изменением N 4</w:t>
        </w:r>
      </w:hyperlink>
      <w:r>
        <w:t>, утв. Приказом Минстроя России от 27.12.2021 N 1022/пр)</w:t>
      </w:r>
    </w:p>
    <w:p w:rsidR="00E35632" w:rsidRDefault="00E35632">
      <w:pPr>
        <w:pStyle w:val="ConsPlusNormal"/>
        <w:ind w:firstLine="540"/>
        <w:jc w:val="both"/>
      </w:pPr>
    </w:p>
    <w:p w:rsidR="00E35632" w:rsidRDefault="00E35632">
      <w:pPr>
        <w:pStyle w:val="ConsPlusNormal"/>
        <w:ind w:firstLine="540"/>
        <w:jc w:val="both"/>
      </w:pPr>
      <w:r>
        <w:t>9.13 При выполнении расчетов оснований подземных частей сооружений допускается использование аналитических, численных и других методов.</w:t>
      </w:r>
    </w:p>
    <w:p w:rsidR="00E35632" w:rsidRDefault="00E35632">
      <w:pPr>
        <w:pStyle w:val="ConsPlusNormal"/>
        <w:spacing w:before="220"/>
        <w:ind w:firstLine="540"/>
        <w:jc w:val="both"/>
      </w:pPr>
      <w:r>
        <w:t xml:space="preserve">Выбор метода расчета - в соответствии с требованиями </w:t>
      </w:r>
      <w:hyperlink w:anchor="P416">
        <w:r>
          <w:rPr>
            <w:color w:val="0000FF"/>
          </w:rPr>
          <w:t>5.1.11</w:t>
        </w:r>
      </w:hyperlink>
      <w:r>
        <w:t>.</w:t>
      </w:r>
    </w:p>
    <w:p w:rsidR="00E35632" w:rsidRDefault="00E35632">
      <w:pPr>
        <w:pStyle w:val="ConsPlusNormal"/>
        <w:spacing w:before="220"/>
        <w:ind w:firstLine="540"/>
        <w:jc w:val="both"/>
      </w:pPr>
      <w:r>
        <w:t xml:space="preserve">При использовании численных методов расчетная модель, идеализирующая напряженно-деформированное состояние основания и сооружения, должна отражать основные свойства прототипа, конструктивные особенности сооружения, характер работы основания и схему их взаимодействия. Численные модели следует верифицировать в соответствии с требованиями </w:t>
      </w:r>
      <w:hyperlink w:anchor="P424">
        <w:r>
          <w:rPr>
            <w:color w:val="0000FF"/>
          </w:rPr>
          <w:t>5.1.12</w:t>
        </w:r>
      </w:hyperlink>
      <w:r>
        <w:t xml:space="preserve">, </w:t>
      </w:r>
      <w:hyperlink w:anchor="P430">
        <w:r>
          <w:rPr>
            <w:color w:val="0000FF"/>
          </w:rPr>
          <w:t>5.1.13</w:t>
        </w:r>
      </w:hyperlink>
      <w:r>
        <w:t>.</w:t>
      </w:r>
    </w:p>
    <w:p w:rsidR="00E35632" w:rsidRDefault="00E35632">
      <w:pPr>
        <w:pStyle w:val="ConsPlusNormal"/>
        <w:spacing w:before="220"/>
        <w:ind w:firstLine="540"/>
        <w:jc w:val="both"/>
      </w:pPr>
      <w:r>
        <w:t>9.14 При проектировании оснований подземных частей сооружений, устраиваемых с обратной засыпкой грунта, расчетные значения характеристик грунтов обратной засыпки (</w:t>
      </w:r>
      <w:r>
        <w:rPr>
          <w:noProof/>
          <w:position w:val="-8"/>
        </w:rPr>
        <w:drawing>
          <wp:inline distT="0" distB="0" distL="0" distR="0">
            <wp:extent cx="192405" cy="251460"/>
            <wp:effectExtent l="0" t="0" r="0" b="0"/>
            <wp:docPr id="5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w:t>
      </w:r>
      <w:r>
        <w:rPr>
          <w:noProof/>
          <w:position w:val="-8"/>
        </w:rPr>
        <w:drawing>
          <wp:inline distT="0" distB="0" distL="0" distR="0">
            <wp:extent cx="182880" cy="250825"/>
            <wp:effectExtent l="0" t="0" r="0" b="0"/>
            <wp:docPr id="5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 xml:space="preserve">, </w:t>
      </w:r>
      <w:r>
        <w:rPr>
          <w:i/>
        </w:rPr>
        <w:t>c</w:t>
      </w:r>
      <w:r>
        <w:t>'</w:t>
      </w:r>
      <w:r>
        <w:rPr>
          <w:vertAlign w:val="subscript"/>
        </w:rPr>
        <w:t>I</w:t>
      </w:r>
      <w:r>
        <w:t xml:space="preserve">), уплотненных не менее чем до </w:t>
      </w:r>
      <w:r>
        <w:rPr>
          <w:i/>
        </w:rPr>
        <w:t>k</w:t>
      </w:r>
      <w:r>
        <w:rPr>
          <w:i/>
          <w:vertAlign w:val="subscript"/>
        </w:rPr>
        <w:t>com</w:t>
      </w:r>
      <w:r>
        <w:t xml:space="preserve"> = 0,95 их плотности в природном состоянии, допускается устанавливать по расчетным характеристикам тех же грунтов в природном состоянии (</w:t>
      </w:r>
      <w:r>
        <w:rPr>
          <w:noProof/>
          <w:position w:val="-8"/>
        </w:rPr>
        <w:drawing>
          <wp:inline distT="0" distB="0" distL="0" distR="0">
            <wp:extent cx="167640" cy="251460"/>
            <wp:effectExtent l="0" t="0" r="0" b="0"/>
            <wp:docPr id="5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w:t>
      </w:r>
      <w:r>
        <w:rPr>
          <w:noProof/>
          <w:position w:val="-8"/>
        </w:rPr>
        <w:drawing>
          <wp:inline distT="0" distB="0" distL="0" distR="0">
            <wp:extent cx="192405" cy="251460"/>
            <wp:effectExtent l="0" t="0" r="0" b="0"/>
            <wp:docPr id="5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w:t>
      </w:r>
      <w:r>
        <w:rPr>
          <w:i/>
        </w:rPr>
        <w:t>c</w:t>
      </w:r>
      <w:r>
        <w:rPr>
          <w:vertAlign w:val="subscript"/>
        </w:rPr>
        <w:t>I</w:t>
      </w:r>
      <w:r>
        <w:t xml:space="preserve">), принимая </w:t>
      </w:r>
      <w:r>
        <w:rPr>
          <w:noProof/>
          <w:position w:val="-8"/>
        </w:rPr>
        <w:drawing>
          <wp:inline distT="0" distB="0" distL="0" distR="0">
            <wp:extent cx="774700" cy="251460"/>
            <wp:effectExtent l="0" t="0" r="0" b="0"/>
            <wp:docPr id="5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774700" cy="251460"/>
                    </a:xfrm>
                    <a:prstGeom prst="rect">
                      <a:avLst/>
                    </a:prstGeom>
                    <a:noFill/>
                    <a:ln>
                      <a:noFill/>
                    </a:ln>
                  </pic:spPr>
                </pic:pic>
              </a:graphicData>
            </a:graphic>
          </wp:inline>
        </w:drawing>
      </w:r>
      <w:r>
        <w:t xml:space="preserve">; </w:t>
      </w:r>
      <w:r>
        <w:rPr>
          <w:noProof/>
          <w:position w:val="-8"/>
        </w:rPr>
        <w:drawing>
          <wp:inline distT="0" distB="0" distL="0" distR="0">
            <wp:extent cx="705485" cy="251460"/>
            <wp:effectExtent l="0" t="0" r="0" b="0"/>
            <wp:docPr id="5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705485" cy="251460"/>
                    </a:xfrm>
                    <a:prstGeom prst="rect">
                      <a:avLst/>
                    </a:prstGeom>
                    <a:noFill/>
                    <a:ln>
                      <a:noFill/>
                    </a:ln>
                  </pic:spPr>
                </pic:pic>
              </a:graphicData>
            </a:graphic>
          </wp:inline>
        </w:drawing>
      </w:r>
      <w:r>
        <w:t xml:space="preserve">; </w:t>
      </w:r>
      <w:r>
        <w:rPr>
          <w:i/>
        </w:rPr>
        <w:t>c</w:t>
      </w:r>
      <w:r>
        <w:t>'</w:t>
      </w:r>
      <w:r>
        <w:rPr>
          <w:vertAlign w:val="subscript"/>
        </w:rPr>
        <w:t>I</w:t>
      </w:r>
      <w:r>
        <w:t xml:space="preserve"> = 0,5</w:t>
      </w:r>
      <w:r>
        <w:rPr>
          <w:i/>
        </w:rPr>
        <w:t>c</w:t>
      </w:r>
      <w:r>
        <w:rPr>
          <w:vertAlign w:val="subscript"/>
        </w:rPr>
        <w:t>I</w:t>
      </w:r>
      <w:r>
        <w:t xml:space="preserve">, при этом следует принимать </w:t>
      </w:r>
      <w:r>
        <w:rPr>
          <w:i/>
        </w:rPr>
        <w:t>c'</w:t>
      </w:r>
      <w:r>
        <w:rPr>
          <w:vertAlign w:val="subscript"/>
        </w:rPr>
        <w:t>I</w:t>
      </w:r>
      <w:r>
        <w:t xml:space="preserve"> не более 7 кПа.</w:t>
      </w:r>
    </w:p>
    <w:p w:rsidR="00E35632" w:rsidRDefault="00E35632">
      <w:pPr>
        <w:pStyle w:val="ConsPlusNormal"/>
        <w:spacing w:before="220"/>
        <w:ind w:firstLine="540"/>
        <w:jc w:val="both"/>
      </w:pPr>
      <w:r>
        <w:t>9.15 При выполнении расчетов оснований подземных частей сооружений следует определять нормальные и касательные напряжения на контакте "конструкция - грунтовый массив". Величины контактных напряжений требуется определять, рассматривая совместную работу сооружения с основанием.</w:t>
      </w:r>
    </w:p>
    <w:p w:rsidR="00E35632" w:rsidRDefault="00E35632">
      <w:pPr>
        <w:pStyle w:val="ConsPlusNormal"/>
        <w:spacing w:before="220"/>
        <w:ind w:firstLine="540"/>
        <w:jc w:val="both"/>
      </w:pPr>
      <w:r>
        <w:t>При определении величин напряжений на контакте следует учитывать историю формирования и существующее напряженно-деформированное состояние грунтового массива, конструктивные особенности сооружения, прочностные и деформационные характеристики грунтов основания и элементов сооружения, технологию и последовательность возведения сооружения.</w:t>
      </w:r>
    </w:p>
    <w:p w:rsidR="00E35632" w:rsidRDefault="00E35632">
      <w:pPr>
        <w:pStyle w:val="ConsPlusNormal"/>
        <w:spacing w:before="220"/>
        <w:ind w:firstLine="540"/>
        <w:jc w:val="both"/>
      </w:pPr>
      <w:r>
        <w:t>Следует учитывать, что деформации основания и конструкций на их контакте могут быть несовместны. В расчетах необходимо учитывать возможность отлипания или сдвига на контакте "конструкция - грунт".</w:t>
      </w:r>
    </w:p>
    <w:p w:rsidR="00E35632" w:rsidRDefault="00E35632">
      <w:pPr>
        <w:pStyle w:val="ConsPlusNormal"/>
        <w:spacing w:before="220"/>
        <w:ind w:firstLine="540"/>
        <w:jc w:val="both"/>
      </w:pPr>
      <w:bookmarkStart w:id="242" w:name="P4538"/>
      <w:bookmarkEnd w:id="242"/>
      <w:r>
        <w:t>9.16 Для проверки возможности сдвига на контакте конструкций с грунтом должны быть определены силы предельного сопротивления сдвигу, которые зависят от характеристик трения и сцепления на контакте.</w:t>
      </w:r>
    </w:p>
    <w:p w:rsidR="00E35632" w:rsidRDefault="00E35632">
      <w:pPr>
        <w:pStyle w:val="ConsPlusNormal"/>
        <w:spacing w:before="220"/>
        <w:ind w:firstLine="540"/>
        <w:jc w:val="both"/>
      </w:pPr>
      <w:r>
        <w:t>Силы трения и сцепления на контакте "конструкция - грунтовый массив" следует определять в зависимости от значений прочностных характеристик грунта, гидрогеологических условий площадки, материала конструкции, технологии ее устройства.</w:t>
      </w:r>
    </w:p>
    <w:p w:rsidR="00E35632" w:rsidRDefault="00E35632">
      <w:pPr>
        <w:pStyle w:val="ConsPlusNormal"/>
        <w:spacing w:before="220"/>
        <w:ind w:firstLine="540"/>
        <w:jc w:val="both"/>
      </w:pPr>
      <w:r>
        <w:t>Для дисперсных грунтов допускается принимать следующие расчетные значения прочностных характеристик на контакте "конструкция - грунтовый массив":</w:t>
      </w:r>
    </w:p>
    <w:p w:rsidR="00E35632" w:rsidRDefault="00E35632">
      <w:pPr>
        <w:pStyle w:val="ConsPlusNormal"/>
        <w:spacing w:before="220"/>
        <w:ind w:firstLine="540"/>
        <w:jc w:val="both"/>
      </w:pPr>
      <w:r>
        <w:t xml:space="preserve">- удельное сцепление </w:t>
      </w:r>
      <w:r>
        <w:rPr>
          <w:i/>
        </w:rPr>
        <w:t>c</w:t>
      </w:r>
      <w:r>
        <w:rPr>
          <w:vertAlign w:val="subscript"/>
        </w:rPr>
        <w:t>к</w:t>
      </w:r>
      <w:r>
        <w:t xml:space="preserve"> = 0;</w:t>
      </w:r>
    </w:p>
    <w:p w:rsidR="00E35632" w:rsidRDefault="00E35632">
      <w:pPr>
        <w:pStyle w:val="ConsPlusNormal"/>
        <w:spacing w:before="220"/>
        <w:ind w:firstLine="540"/>
        <w:jc w:val="both"/>
      </w:pPr>
      <w:r>
        <w:t xml:space="preserve">- угол трения грунта по материалу конструкции </w:t>
      </w:r>
      <w:r>
        <w:rPr>
          <w:noProof/>
          <w:position w:val="-8"/>
        </w:rPr>
        <w:drawing>
          <wp:inline distT="0" distB="0" distL="0" distR="0">
            <wp:extent cx="564515" cy="251460"/>
            <wp:effectExtent l="0" t="0" r="0" b="0"/>
            <wp:docPr id="5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64515" cy="251460"/>
                    </a:xfrm>
                    <a:prstGeom prst="rect">
                      <a:avLst/>
                    </a:prstGeom>
                    <a:noFill/>
                    <a:ln>
                      <a:noFill/>
                    </a:ln>
                  </pic:spPr>
                </pic:pic>
              </a:graphicData>
            </a:graphic>
          </wp:inline>
        </w:drawing>
      </w:r>
      <w:r>
        <w:t xml:space="preserve">, где </w:t>
      </w:r>
      <w:r>
        <w:rPr>
          <w:noProof/>
          <w:position w:val="-4"/>
        </w:rPr>
        <w:drawing>
          <wp:inline distT="0" distB="0" distL="0" distR="0">
            <wp:extent cx="160020" cy="192405"/>
            <wp:effectExtent l="0" t="0" r="0" b="0"/>
            <wp:docPr id="5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r>
        <w:t xml:space="preserve"> - угол внутреннего трения грунта, </w:t>
      </w:r>
      <w:r>
        <w:rPr>
          <w:noProof/>
          <w:position w:val="-8"/>
        </w:rPr>
        <w:drawing>
          <wp:inline distT="0" distB="0" distL="0" distR="0">
            <wp:extent cx="192405" cy="251460"/>
            <wp:effectExtent l="0" t="0" r="0" b="0"/>
            <wp:docPr id="5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 коэффициент условий работы, принимаемый по таблице 9.1.</w:t>
      </w:r>
    </w:p>
    <w:p w:rsidR="00E35632" w:rsidRDefault="00E35632">
      <w:pPr>
        <w:pStyle w:val="ConsPlusNormal"/>
        <w:jc w:val="both"/>
      </w:pPr>
    </w:p>
    <w:p w:rsidR="00E35632" w:rsidRDefault="00E35632">
      <w:pPr>
        <w:pStyle w:val="ConsPlusNormal"/>
        <w:jc w:val="right"/>
      </w:pPr>
      <w:r>
        <w:t>Таблица 9.1</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891"/>
        <w:gridCol w:w="6442"/>
        <w:gridCol w:w="682"/>
      </w:tblGrid>
      <w:tr w:rsidR="00E35632">
        <w:tc>
          <w:tcPr>
            <w:tcW w:w="1891" w:type="dxa"/>
            <w:vAlign w:val="center"/>
          </w:tcPr>
          <w:p w:rsidR="00E35632" w:rsidRDefault="00E35632">
            <w:pPr>
              <w:pStyle w:val="ConsPlusNormal"/>
              <w:jc w:val="center"/>
            </w:pPr>
            <w:r>
              <w:t>Материал конструкции</w:t>
            </w:r>
          </w:p>
        </w:tc>
        <w:tc>
          <w:tcPr>
            <w:tcW w:w="6442" w:type="dxa"/>
            <w:vAlign w:val="center"/>
          </w:tcPr>
          <w:p w:rsidR="00E35632" w:rsidRDefault="00E35632">
            <w:pPr>
              <w:pStyle w:val="ConsPlusNormal"/>
              <w:jc w:val="center"/>
            </w:pPr>
            <w:r>
              <w:t>Технология устройства и особые условия</w:t>
            </w:r>
          </w:p>
        </w:tc>
        <w:tc>
          <w:tcPr>
            <w:tcW w:w="682" w:type="dxa"/>
            <w:vAlign w:val="center"/>
          </w:tcPr>
          <w:p w:rsidR="00E35632" w:rsidRDefault="00E35632">
            <w:pPr>
              <w:pStyle w:val="ConsPlusNormal"/>
              <w:jc w:val="center"/>
            </w:pPr>
            <w:r>
              <w:rPr>
                <w:noProof/>
                <w:position w:val="-8"/>
              </w:rPr>
              <w:drawing>
                <wp:inline distT="0" distB="0" distL="0" distR="0">
                  <wp:extent cx="192405" cy="251460"/>
                  <wp:effectExtent l="0" t="0" r="0" b="0"/>
                  <wp:docPr id="5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p>
        </w:tc>
      </w:tr>
      <w:tr w:rsidR="00E35632">
        <w:tc>
          <w:tcPr>
            <w:tcW w:w="1891" w:type="dxa"/>
            <w:vMerge w:val="restart"/>
          </w:tcPr>
          <w:p w:rsidR="00E35632" w:rsidRDefault="00E35632">
            <w:pPr>
              <w:pStyle w:val="ConsPlusNormal"/>
            </w:pPr>
            <w:r>
              <w:t>Бетон, железобетон</w:t>
            </w:r>
          </w:p>
        </w:tc>
        <w:tc>
          <w:tcPr>
            <w:tcW w:w="6442" w:type="dxa"/>
          </w:tcPr>
          <w:p w:rsidR="00E35632" w:rsidRDefault="00E35632">
            <w:pPr>
              <w:pStyle w:val="ConsPlusNormal"/>
            </w:pPr>
            <w:r>
              <w:t>Монолитные гравитационные и гибкие подпорные стены, бетонируемые насухо. Монолитные фундаменты</w:t>
            </w:r>
          </w:p>
        </w:tc>
        <w:tc>
          <w:tcPr>
            <w:tcW w:w="682" w:type="dxa"/>
          </w:tcPr>
          <w:p w:rsidR="00E35632" w:rsidRDefault="00E35632">
            <w:pPr>
              <w:pStyle w:val="ConsPlusNormal"/>
              <w:jc w:val="center"/>
            </w:pPr>
            <w:r>
              <w:t>0,67</w:t>
            </w:r>
          </w:p>
        </w:tc>
      </w:tr>
      <w:tr w:rsidR="00E35632">
        <w:tc>
          <w:tcPr>
            <w:tcW w:w="1891" w:type="dxa"/>
            <w:vMerge/>
          </w:tcPr>
          <w:p w:rsidR="00E35632" w:rsidRDefault="00E35632">
            <w:pPr>
              <w:pStyle w:val="ConsPlusNormal"/>
            </w:pPr>
          </w:p>
        </w:tc>
        <w:tc>
          <w:tcPr>
            <w:tcW w:w="6442" w:type="dxa"/>
          </w:tcPr>
          <w:p w:rsidR="00E35632" w:rsidRDefault="00E35632">
            <w:pPr>
              <w:pStyle w:val="ConsPlusNormal"/>
            </w:pPr>
            <w:r>
              <w:t>Монолитные гибкие подпорные стены, бетонируемые под глинистым раствором в грунтах естественной влажности. Сборные гравитационные стены и фундаменты</w:t>
            </w:r>
          </w:p>
        </w:tc>
        <w:tc>
          <w:tcPr>
            <w:tcW w:w="682" w:type="dxa"/>
          </w:tcPr>
          <w:p w:rsidR="00E35632" w:rsidRDefault="00E35632">
            <w:pPr>
              <w:pStyle w:val="ConsPlusNormal"/>
              <w:jc w:val="center"/>
            </w:pPr>
            <w:r>
              <w:t>0,50</w:t>
            </w:r>
          </w:p>
        </w:tc>
      </w:tr>
      <w:tr w:rsidR="00E35632">
        <w:tc>
          <w:tcPr>
            <w:tcW w:w="1891" w:type="dxa"/>
            <w:vMerge/>
          </w:tcPr>
          <w:p w:rsidR="00E35632" w:rsidRDefault="00E35632">
            <w:pPr>
              <w:pStyle w:val="ConsPlusNormal"/>
            </w:pPr>
          </w:p>
        </w:tc>
        <w:tc>
          <w:tcPr>
            <w:tcW w:w="6442" w:type="dxa"/>
          </w:tcPr>
          <w:p w:rsidR="00E35632" w:rsidRDefault="00E35632">
            <w:pPr>
              <w:pStyle w:val="ConsPlusNormal"/>
            </w:pPr>
            <w:r>
              <w:t xml:space="preserve">Монолитные гибкие стены, бетонируемые под глинистым раствором в водонасыщенных грунтах. Сборные гибкие стены, </w:t>
            </w:r>
            <w:r>
              <w:lastRenderedPageBreak/>
              <w:t>устраиваемые под глинистым раствором в любых грунтах</w:t>
            </w:r>
          </w:p>
        </w:tc>
        <w:tc>
          <w:tcPr>
            <w:tcW w:w="682" w:type="dxa"/>
          </w:tcPr>
          <w:p w:rsidR="00E35632" w:rsidRDefault="00E35632">
            <w:pPr>
              <w:pStyle w:val="ConsPlusNormal"/>
              <w:jc w:val="center"/>
            </w:pPr>
            <w:r>
              <w:lastRenderedPageBreak/>
              <w:t>0,33</w:t>
            </w:r>
          </w:p>
        </w:tc>
      </w:tr>
      <w:tr w:rsidR="00E35632">
        <w:tc>
          <w:tcPr>
            <w:tcW w:w="1891" w:type="dxa"/>
            <w:vMerge w:val="restart"/>
          </w:tcPr>
          <w:p w:rsidR="00E35632" w:rsidRDefault="00E35632">
            <w:pPr>
              <w:pStyle w:val="ConsPlusNormal"/>
            </w:pPr>
            <w:r>
              <w:lastRenderedPageBreak/>
              <w:t>Металл, дерево</w:t>
            </w:r>
          </w:p>
        </w:tc>
        <w:tc>
          <w:tcPr>
            <w:tcW w:w="6442" w:type="dxa"/>
          </w:tcPr>
          <w:p w:rsidR="00E35632" w:rsidRDefault="00E35632">
            <w:pPr>
              <w:pStyle w:val="ConsPlusNormal"/>
            </w:pPr>
            <w:r>
              <w:t>В мелких и пылеватых водонасыщенных песках</w:t>
            </w:r>
          </w:p>
        </w:tc>
        <w:tc>
          <w:tcPr>
            <w:tcW w:w="682" w:type="dxa"/>
          </w:tcPr>
          <w:p w:rsidR="00E35632" w:rsidRDefault="00E35632">
            <w:pPr>
              <w:pStyle w:val="ConsPlusNormal"/>
              <w:jc w:val="center"/>
            </w:pPr>
            <w:r>
              <w:t>0</w:t>
            </w:r>
          </w:p>
        </w:tc>
      </w:tr>
      <w:tr w:rsidR="00E35632">
        <w:tc>
          <w:tcPr>
            <w:tcW w:w="1891" w:type="dxa"/>
            <w:vMerge/>
          </w:tcPr>
          <w:p w:rsidR="00E35632" w:rsidRDefault="00E35632">
            <w:pPr>
              <w:pStyle w:val="ConsPlusNormal"/>
            </w:pPr>
          </w:p>
        </w:tc>
        <w:tc>
          <w:tcPr>
            <w:tcW w:w="6442" w:type="dxa"/>
            <w:vAlign w:val="bottom"/>
          </w:tcPr>
          <w:p w:rsidR="00E35632" w:rsidRDefault="00E35632">
            <w:pPr>
              <w:pStyle w:val="ConsPlusNormal"/>
            </w:pPr>
            <w:r>
              <w:t>В прочих грунтах</w:t>
            </w:r>
          </w:p>
        </w:tc>
        <w:tc>
          <w:tcPr>
            <w:tcW w:w="682" w:type="dxa"/>
            <w:vAlign w:val="bottom"/>
          </w:tcPr>
          <w:p w:rsidR="00E35632" w:rsidRDefault="00E35632">
            <w:pPr>
              <w:pStyle w:val="ConsPlusNormal"/>
              <w:jc w:val="center"/>
            </w:pPr>
            <w:r>
              <w:t>0,33</w:t>
            </w:r>
          </w:p>
        </w:tc>
      </w:tr>
      <w:tr w:rsidR="00E35632">
        <w:tblPrEx>
          <w:tblBorders>
            <w:insideH w:val="nil"/>
          </w:tblBorders>
        </w:tblPrEx>
        <w:tc>
          <w:tcPr>
            <w:tcW w:w="1891" w:type="dxa"/>
            <w:tcBorders>
              <w:bottom w:val="nil"/>
            </w:tcBorders>
          </w:tcPr>
          <w:p w:rsidR="00E35632" w:rsidRDefault="00E35632">
            <w:pPr>
              <w:pStyle w:val="ConsPlusNormal"/>
            </w:pPr>
            <w:r>
              <w:t>Любой</w:t>
            </w:r>
          </w:p>
        </w:tc>
        <w:tc>
          <w:tcPr>
            <w:tcW w:w="6442" w:type="dxa"/>
            <w:tcBorders>
              <w:bottom w:val="nil"/>
            </w:tcBorders>
          </w:tcPr>
          <w:p w:rsidR="00E35632" w:rsidRDefault="00E35632">
            <w:pPr>
              <w:pStyle w:val="ConsPlusNormal"/>
            </w:pPr>
            <w:r>
              <w:t>При наличии вибрационных нагрузок на основание (вибропогружение или забивка свай или шпунта на расстоянии менее 30 м, движение тяжелой техники на расстоянии менее 20 м, другие воздействия, приводящие к колебаниям с ускорениями более 0,15 м/с</w:t>
            </w:r>
            <w:r>
              <w:rPr>
                <w:vertAlign w:val="superscript"/>
              </w:rPr>
              <w:t>2</w:t>
            </w:r>
            <w:r>
              <w:t>)</w:t>
            </w:r>
          </w:p>
        </w:tc>
        <w:tc>
          <w:tcPr>
            <w:tcW w:w="682" w:type="dxa"/>
            <w:tcBorders>
              <w:bottom w:val="nil"/>
            </w:tcBorders>
          </w:tcPr>
          <w:p w:rsidR="00E35632" w:rsidRDefault="00E35632">
            <w:pPr>
              <w:pStyle w:val="ConsPlusNormal"/>
              <w:jc w:val="center"/>
            </w:pPr>
            <w:r>
              <w:t>0</w:t>
            </w:r>
          </w:p>
        </w:tc>
      </w:tr>
      <w:tr w:rsidR="00E35632">
        <w:tblPrEx>
          <w:tblBorders>
            <w:insideH w:val="nil"/>
          </w:tblBorders>
        </w:tblPrEx>
        <w:tc>
          <w:tcPr>
            <w:tcW w:w="9015" w:type="dxa"/>
            <w:gridSpan w:val="3"/>
            <w:tcBorders>
              <w:top w:val="nil"/>
            </w:tcBorders>
          </w:tcPr>
          <w:p w:rsidR="00E35632" w:rsidRDefault="00E35632">
            <w:pPr>
              <w:pStyle w:val="ConsPlusNormal"/>
              <w:jc w:val="both"/>
            </w:pPr>
            <w:r>
              <w:t xml:space="preserve">(в ред. </w:t>
            </w:r>
            <w:hyperlink r:id="rId861">
              <w:r>
                <w:rPr>
                  <w:color w:val="0000FF"/>
                </w:rPr>
                <w:t>Изменения N 4</w:t>
              </w:r>
            </w:hyperlink>
            <w:r>
              <w:t>, утв. Приказом Минстроя России от 27.12.2021 N 1022/пр)</w:t>
            </w:r>
          </w:p>
        </w:tc>
      </w:tr>
    </w:tbl>
    <w:p w:rsidR="00E35632" w:rsidRDefault="00E35632">
      <w:pPr>
        <w:pStyle w:val="ConsPlusNormal"/>
        <w:jc w:val="both"/>
      </w:pPr>
    </w:p>
    <w:p w:rsidR="00E35632" w:rsidRDefault="00E35632">
      <w:pPr>
        <w:pStyle w:val="ConsPlusNormal"/>
        <w:ind w:firstLine="540"/>
        <w:jc w:val="both"/>
      </w:pPr>
      <w:r>
        <w:t>9.17 Давление грунта на подпорные стены, ограждения котлованов и наружные стены подземных частей сооружения следует определять в зависимости от величин перемещений и деформаций, реализуемых в результате совместной работы конструкций с грунтовым массивом.</w:t>
      </w:r>
    </w:p>
    <w:p w:rsidR="00E35632" w:rsidRDefault="00E35632">
      <w:pPr>
        <w:pStyle w:val="ConsPlusNormal"/>
        <w:spacing w:before="220"/>
        <w:ind w:firstLine="540"/>
        <w:jc w:val="both"/>
      </w:pPr>
      <w:r>
        <w:t>9.18 При определении давления грунта на подпорные стены, ограждения котлованов и стены подземных частей сооружений следует учитывать:</w:t>
      </w:r>
    </w:p>
    <w:p w:rsidR="00E35632" w:rsidRDefault="00E35632">
      <w:pPr>
        <w:pStyle w:val="ConsPlusNormal"/>
        <w:spacing w:before="220"/>
        <w:ind w:firstLine="540"/>
        <w:jc w:val="both"/>
      </w:pPr>
      <w:r>
        <w:t>- внешние нагрузки и воздействия на грунтовый массив (нагрузки от складируемых материалов, строительных механизмов, транспортные нагрузки на проезжей части, нагрузки, передаваемые фундаментами сооружений окружающей застройки) и пр.;</w:t>
      </w:r>
    </w:p>
    <w:p w:rsidR="00E35632" w:rsidRDefault="00E35632">
      <w:pPr>
        <w:pStyle w:val="ConsPlusNormal"/>
        <w:spacing w:before="220"/>
        <w:ind w:firstLine="540"/>
        <w:jc w:val="both"/>
      </w:pPr>
      <w:r>
        <w:t>- наличие существующих подземных и заглубленных сооружений;</w:t>
      </w:r>
    </w:p>
    <w:p w:rsidR="00E35632" w:rsidRDefault="00E35632">
      <w:pPr>
        <w:pStyle w:val="ConsPlusNormal"/>
        <w:spacing w:before="220"/>
        <w:ind w:firstLine="540"/>
        <w:jc w:val="both"/>
      </w:pPr>
      <w:r>
        <w:t>- наклон граней стены к вертикали;</w:t>
      </w:r>
    </w:p>
    <w:p w:rsidR="00E35632" w:rsidRDefault="00E35632">
      <w:pPr>
        <w:pStyle w:val="ConsPlusNormal"/>
        <w:spacing w:before="220"/>
        <w:ind w:firstLine="540"/>
        <w:jc w:val="both"/>
      </w:pPr>
      <w:r>
        <w:t>- наклон поверхности грунта, неровности рельефа и отклонение границ инженерно-геологических элементов от горизонтали;</w:t>
      </w:r>
    </w:p>
    <w:p w:rsidR="00E35632" w:rsidRDefault="00E35632">
      <w:pPr>
        <w:pStyle w:val="ConsPlusNormal"/>
        <w:spacing w:before="220"/>
        <w:ind w:firstLine="540"/>
        <w:jc w:val="both"/>
      </w:pPr>
      <w:r>
        <w:t>- возможность устройства берм и откосов в котловане в процессе производства работ;</w:t>
      </w:r>
    </w:p>
    <w:p w:rsidR="00E35632" w:rsidRDefault="00E35632">
      <w:pPr>
        <w:pStyle w:val="ConsPlusNormal"/>
        <w:spacing w:before="220"/>
        <w:ind w:firstLine="540"/>
        <w:jc w:val="both"/>
      </w:pPr>
      <w:r>
        <w:t>- прочностные характеристики на контакте "конструкция - грунтовый массив";</w:t>
      </w:r>
    </w:p>
    <w:p w:rsidR="00E35632" w:rsidRDefault="00E35632">
      <w:pPr>
        <w:pStyle w:val="ConsPlusNormal"/>
        <w:spacing w:before="220"/>
        <w:ind w:firstLine="540"/>
        <w:jc w:val="both"/>
      </w:pPr>
      <w:r>
        <w:t>- вертикальные и горизонтальные перемещения конструкции и их направление относительно основания;</w:t>
      </w:r>
    </w:p>
    <w:p w:rsidR="00E35632" w:rsidRDefault="00E35632">
      <w:pPr>
        <w:pStyle w:val="ConsPlusNormal"/>
        <w:spacing w:before="220"/>
        <w:ind w:firstLine="540"/>
        <w:jc w:val="both"/>
      </w:pPr>
      <w:r>
        <w:t>- деформационные характеристики подпорной конструкции, анкерных и распорных элементов;</w:t>
      </w:r>
    </w:p>
    <w:p w:rsidR="00E35632" w:rsidRDefault="00E35632">
      <w:pPr>
        <w:pStyle w:val="ConsPlusNormal"/>
        <w:spacing w:before="220"/>
        <w:ind w:firstLine="540"/>
        <w:jc w:val="both"/>
      </w:pPr>
      <w:r>
        <w:t>- последовательность производства работ;</w:t>
      </w:r>
    </w:p>
    <w:p w:rsidR="00E35632" w:rsidRDefault="00E35632">
      <w:pPr>
        <w:pStyle w:val="ConsPlusNormal"/>
        <w:spacing w:before="220"/>
        <w:ind w:firstLine="540"/>
        <w:jc w:val="both"/>
      </w:pPr>
      <w:r>
        <w:t>- возможность перебора грунта в процессе экскавации;</w:t>
      </w:r>
    </w:p>
    <w:p w:rsidR="00E35632" w:rsidRDefault="00E35632">
      <w:pPr>
        <w:pStyle w:val="ConsPlusNormal"/>
        <w:spacing w:before="220"/>
        <w:ind w:firstLine="540"/>
        <w:jc w:val="both"/>
      </w:pPr>
      <w:r>
        <w:t>- фильтрационные силы в массиве грунта;</w:t>
      </w:r>
    </w:p>
    <w:p w:rsidR="00E35632" w:rsidRDefault="00E35632">
      <w:pPr>
        <w:pStyle w:val="ConsPlusNormal"/>
        <w:spacing w:before="220"/>
        <w:ind w:firstLine="540"/>
        <w:jc w:val="both"/>
      </w:pPr>
      <w:r>
        <w:t>- дополнительные давления на подпорные конструкции, вызванные морозным пучением и набуханием грунтов, а также проведением работ по нагнетанию в грунт растворов, тампонажу и пр.;</w:t>
      </w:r>
    </w:p>
    <w:p w:rsidR="00E35632" w:rsidRDefault="00E35632">
      <w:pPr>
        <w:pStyle w:val="ConsPlusNormal"/>
        <w:spacing w:before="220"/>
        <w:ind w:firstLine="540"/>
        <w:jc w:val="both"/>
      </w:pPr>
      <w:r>
        <w:t>- температурные воздействия;</w:t>
      </w:r>
    </w:p>
    <w:p w:rsidR="00E35632" w:rsidRDefault="00E35632">
      <w:pPr>
        <w:pStyle w:val="ConsPlusNormal"/>
        <w:spacing w:before="220"/>
        <w:ind w:firstLine="540"/>
        <w:jc w:val="both"/>
      </w:pPr>
      <w:r>
        <w:t>- динамические воздействия и их влияние на статическое давление грунта.</w:t>
      </w:r>
    </w:p>
    <w:p w:rsidR="00E35632" w:rsidRDefault="00E35632">
      <w:pPr>
        <w:pStyle w:val="ConsPlusNormal"/>
        <w:spacing w:before="220"/>
        <w:ind w:firstLine="540"/>
        <w:jc w:val="both"/>
      </w:pPr>
      <w:r>
        <w:t xml:space="preserve">9.19 При определении величин бокового давления грунта на ограждения котлованов и </w:t>
      </w:r>
      <w:r>
        <w:lastRenderedPageBreak/>
        <w:t xml:space="preserve">конструкции подземных частей сооружений для выполнения расчетов по первой группе предельных состояний следует использовать значения прочностных характеристик грунтов </w:t>
      </w:r>
      <w:r>
        <w:rPr>
          <w:noProof/>
          <w:position w:val="-8"/>
        </w:rPr>
        <w:drawing>
          <wp:inline distT="0" distB="0" distL="0" distR="0">
            <wp:extent cx="192405" cy="251460"/>
            <wp:effectExtent l="0" t="0" r="0" b="0"/>
            <wp:docPr id="5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192405" cy="251460"/>
                    </a:xfrm>
                    <a:prstGeom prst="rect">
                      <a:avLst/>
                    </a:prstGeom>
                    <a:noFill/>
                    <a:ln>
                      <a:noFill/>
                    </a:ln>
                  </pic:spPr>
                </pic:pic>
              </a:graphicData>
            </a:graphic>
          </wp:inline>
        </w:drawing>
      </w:r>
      <w:r>
        <w:t xml:space="preserve">, </w:t>
      </w:r>
      <w:r>
        <w:rPr>
          <w:i/>
        </w:rPr>
        <w:t>c</w:t>
      </w:r>
      <w:r>
        <w:rPr>
          <w:vertAlign w:val="subscript"/>
        </w:rPr>
        <w:t>I</w:t>
      </w:r>
      <w:r>
        <w:t xml:space="preserve"> (либо </w:t>
      </w:r>
      <w:r>
        <w:rPr>
          <w:i/>
        </w:rPr>
        <w:t>c</w:t>
      </w:r>
      <w:r>
        <w:rPr>
          <w:i/>
          <w:vertAlign w:val="subscript"/>
        </w:rPr>
        <w:t>u,</w:t>
      </w:r>
      <w:r>
        <w:rPr>
          <w:vertAlign w:val="subscript"/>
        </w:rPr>
        <w:t>I</w:t>
      </w:r>
      <w:r>
        <w:t xml:space="preserve">), а для выполнения расчетов по второй группе предельных состояний - </w:t>
      </w:r>
      <w:r>
        <w:rPr>
          <w:noProof/>
          <w:position w:val="-8"/>
        </w:rPr>
        <w:drawing>
          <wp:inline distT="0" distB="0" distL="0" distR="0">
            <wp:extent cx="209550" cy="251460"/>
            <wp:effectExtent l="0" t="0" r="0" b="0"/>
            <wp:docPr id="5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w:t>
      </w:r>
      <w:r>
        <w:rPr>
          <w:i/>
        </w:rPr>
        <w:t>c</w:t>
      </w:r>
      <w:r>
        <w:rPr>
          <w:vertAlign w:val="subscript"/>
        </w:rPr>
        <w:t>II</w:t>
      </w:r>
      <w:r>
        <w:t xml:space="preserve"> (либо </w:t>
      </w:r>
      <w:r>
        <w:rPr>
          <w:i/>
        </w:rPr>
        <w:t>c</w:t>
      </w:r>
      <w:r>
        <w:rPr>
          <w:i/>
          <w:vertAlign w:val="subscript"/>
        </w:rPr>
        <w:t>u,</w:t>
      </w:r>
      <w:r>
        <w:rPr>
          <w:vertAlign w:val="subscript"/>
        </w:rPr>
        <w:t>II</w:t>
      </w:r>
      <w:r>
        <w:t xml:space="preserve">). В обоих случаях коэффициент надежности по нагрузке для удельного веса грунта должен приниматься </w:t>
      </w:r>
      <w:r>
        <w:rPr>
          <w:noProof/>
          <w:position w:val="-10"/>
        </w:rPr>
        <w:drawing>
          <wp:inline distT="0" distB="0" distL="0" distR="0">
            <wp:extent cx="726440" cy="267970"/>
            <wp:effectExtent l="0" t="0" r="0" b="0"/>
            <wp:docPr id="5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726440" cy="267970"/>
                    </a:xfrm>
                    <a:prstGeom prst="rect">
                      <a:avLst/>
                    </a:prstGeom>
                    <a:noFill/>
                    <a:ln>
                      <a:noFill/>
                    </a:ln>
                  </pic:spPr>
                </pic:pic>
              </a:graphicData>
            </a:graphic>
          </wp:inline>
        </w:drawing>
      </w:r>
      <w:r>
        <w:t>.</w:t>
      </w:r>
    </w:p>
    <w:p w:rsidR="00E35632" w:rsidRDefault="00E35632">
      <w:pPr>
        <w:pStyle w:val="ConsPlusNormal"/>
        <w:spacing w:before="220"/>
        <w:ind w:firstLine="540"/>
        <w:jc w:val="both"/>
      </w:pPr>
      <w:bookmarkStart w:id="243" w:name="P4583"/>
      <w:bookmarkEnd w:id="243"/>
      <w:r>
        <w:t>9.20 При горизонтальных перемещениях подпорного сооружения или стены подвала менее 0,0005</w:t>
      </w:r>
      <w:r>
        <w:rPr>
          <w:i/>
        </w:rPr>
        <w:t>h</w:t>
      </w:r>
      <w:r>
        <w:t xml:space="preserve">, где </w:t>
      </w:r>
      <w:r>
        <w:rPr>
          <w:i/>
        </w:rPr>
        <w:t>h</w:t>
      </w:r>
      <w:r>
        <w:t xml:space="preserve"> - глубина котлована или высота конструкции, давление грунта вычисляется при давлении покоя. При определении напряженного состояния основания в покое следует учитывать историю его формирования.</w:t>
      </w:r>
    </w:p>
    <w:p w:rsidR="00E35632" w:rsidRDefault="00E35632">
      <w:pPr>
        <w:pStyle w:val="ConsPlusNormal"/>
        <w:spacing w:before="220"/>
        <w:ind w:firstLine="540"/>
        <w:jc w:val="both"/>
      </w:pPr>
      <w:r>
        <w:t xml:space="preserve">Горизонтальную составляющую эффективного давления грунта в покое на глубине </w:t>
      </w:r>
      <w:r>
        <w:rPr>
          <w:i/>
        </w:rPr>
        <w:t>z</w:t>
      </w:r>
      <w:r>
        <w:t xml:space="preserve"> вычисляют по формуле</w:t>
      </w:r>
    </w:p>
    <w:p w:rsidR="00E35632" w:rsidRDefault="00E35632">
      <w:pPr>
        <w:pStyle w:val="ConsPlusNormal"/>
        <w:jc w:val="both"/>
      </w:pPr>
    </w:p>
    <w:p w:rsidR="00E35632" w:rsidRDefault="00E35632">
      <w:pPr>
        <w:pStyle w:val="ConsPlusNormal"/>
        <w:jc w:val="center"/>
      </w:pPr>
      <w:bookmarkStart w:id="244" w:name="P4586"/>
      <w:bookmarkEnd w:id="244"/>
      <w:r>
        <w:rPr>
          <w:noProof/>
          <w:position w:val="-10"/>
        </w:rPr>
        <w:drawing>
          <wp:inline distT="0" distB="0" distL="0" distR="0">
            <wp:extent cx="1997710" cy="267970"/>
            <wp:effectExtent l="0" t="0" r="0" b="0"/>
            <wp:docPr id="5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65" cstate="print">
                      <a:extLst>
                        <a:ext uri="{28A0092B-C50C-407E-A947-70E740481C1C}">
                          <a14:useLocalDpi xmlns:a14="http://schemas.microsoft.com/office/drawing/2010/main" val="0"/>
                        </a:ext>
                      </a:extLst>
                    </a:blip>
                    <a:srcRect/>
                    <a:stretch>
                      <a:fillRect/>
                    </a:stretch>
                  </pic:blipFill>
                  <pic:spPr bwMode="auto">
                    <a:xfrm>
                      <a:off x="0" y="0"/>
                      <a:ext cx="1997710" cy="267970"/>
                    </a:xfrm>
                    <a:prstGeom prst="rect">
                      <a:avLst/>
                    </a:prstGeom>
                    <a:noFill/>
                    <a:ln>
                      <a:noFill/>
                    </a:ln>
                  </pic:spPr>
                </pic:pic>
              </a:graphicData>
            </a:graphic>
          </wp:inline>
        </w:drawing>
      </w:r>
      <w:r>
        <w:t xml:space="preserve"> (9.1)</w:t>
      </w:r>
    </w:p>
    <w:p w:rsidR="00E35632" w:rsidRDefault="00E35632">
      <w:pPr>
        <w:pStyle w:val="ConsPlusNormal"/>
        <w:jc w:val="both"/>
      </w:pPr>
    </w:p>
    <w:p w:rsidR="00E35632" w:rsidRDefault="00E35632">
      <w:pPr>
        <w:pStyle w:val="ConsPlusNormal"/>
        <w:ind w:firstLine="540"/>
        <w:jc w:val="both"/>
      </w:pPr>
      <w:r>
        <w:t xml:space="preserve">где </w:t>
      </w:r>
      <w:r>
        <w:rPr>
          <w:i/>
        </w:rPr>
        <w:t>K</w:t>
      </w:r>
      <w:r>
        <w:rPr>
          <w:vertAlign w:val="subscript"/>
        </w:rPr>
        <w:t>0</w:t>
      </w:r>
      <w:r>
        <w:t xml:space="preserve"> - коэффициент бокового давления грунта в покое;</w:t>
      </w:r>
    </w:p>
    <w:p w:rsidR="00E35632" w:rsidRDefault="00E35632">
      <w:pPr>
        <w:pStyle w:val="ConsPlusNormal"/>
        <w:spacing w:before="220"/>
        <w:ind w:firstLine="540"/>
        <w:jc w:val="both"/>
      </w:pPr>
      <w:r>
        <w:rPr>
          <w:noProof/>
          <w:position w:val="-10"/>
        </w:rPr>
        <w:drawing>
          <wp:inline distT="0" distB="0" distL="0" distR="0">
            <wp:extent cx="479425" cy="267970"/>
            <wp:effectExtent l="0" t="0" r="0" b="0"/>
            <wp:docPr id="5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9425" cy="267970"/>
                    </a:xfrm>
                    <a:prstGeom prst="rect">
                      <a:avLst/>
                    </a:prstGeom>
                    <a:noFill/>
                    <a:ln>
                      <a:noFill/>
                    </a:ln>
                  </pic:spPr>
                </pic:pic>
              </a:graphicData>
            </a:graphic>
          </wp:inline>
        </w:drawing>
      </w:r>
      <w:r>
        <w:t xml:space="preserve"> - вертикальное эффективное напряжение от собственного веса грунта на глубине </w:t>
      </w:r>
      <w:r>
        <w:rPr>
          <w:i/>
        </w:rPr>
        <w:t>z</w:t>
      </w:r>
      <w:r>
        <w:t>;</w:t>
      </w:r>
    </w:p>
    <w:p w:rsidR="00E35632" w:rsidRDefault="00E35632">
      <w:pPr>
        <w:pStyle w:val="ConsPlusNormal"/>
        <w:spacing w:before="220"/>
        <w:ind w:firstLine="540"/>
        <w:jc w:val="both"/>
      </w:pPr>
      <w:r>
        <w:rPr>
          <w:noProof/>
          <w:position w:val="-10"/>
        </w:rPr>
        <w:drawing>
          <wp:inline distT="0" distB="0" distL="0" distR="0">
            <wp:extent cx="479425" cy="267970"/>
            <wp:effectExtent l="0" t="0" r="0" b="0"/>
            <wp:docPr id="5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479425" cy="267970"/>
                    </a:xfrm>
                    <a:prstGeom prst="rect">
                      <a:avLst/>
                    </a:prstGeom>
                    <a:noFill/>
                    <a:ln>
                      <a:noFill/>
                    </a:ln>
                  </pic:spPr>
                </pic:pic>
              </a:graphicData>
            </a:graphic>
          </wp:inline>
        </w:drawing>
      </w:r>
      <w:r>
        <w:t xml:space="preserve"> - вертикальное эффективное напряжение на глубине </w:t>
      </w:r>
      <w:r>
        <w:rPr>
          <w:i/>
        </w:rPr>
        <w:t>z</w:t>
      </w:r>
      <w:r>
        <w:t xml:space="preserve"> от поверхностной нагрузки.</w:t>
      </w:r>
    </w:p>
    <w:p w:rsidR="00E35632" w:rsidRDefault="00E35632">
      <w:pPr>
        <w:pStyle w:val="ConsPlusNormal"/>
        <w:spacing w:before="220"/>
        <w:ind w:firstLine="540"/>
        <w:jc w:val="both"/>
      </w:pPr>
      <w:r>
        <w:t>Коэффициент бокового давления грунта в покое следует определять в процессе инженерно-геологических изысканий полевыми методами.</w:t>
      </w:r>
    </w:p>
    <w:p w:rsidR="00E35632" w:rsidRDefault="00E35632">
      <w:pPr>
        <w:pStyle w:val="ConsPlusNormal"/>
        <w:spacing w:before="220"/>
        <w:ind w:firstLine="540"/>
        <w:jc w:val="both"/>
      </w:pPr>
      <w:r>
        <w:t xml:space="preserve">При горизонтальной поверхности грунта коэффициент давления грунта в покое </w:t>
      </w:r>
      <w:r>
        <w:rPr>
          <w:i/>
        </w:rPr>
        <w:t>K</w:t>
      </w:r>
      <w:r>
        <w:rPr>
          <w:vertAlign w:val="subscript"/>
        </w:rPr>
        <w:t>0</w:t>
      </w:r>
      <w:r>
        <w:t xml:space="preserve"> для нормально уплотненных грунтов допускается вычислять по формуле</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1019810" cy="251460"/>
            <wp:effectExtent l="0" t="0" r="0" b="0"/>
            <wp:docPr id="5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019810" cy="251460"/>
                    </a:xfrm>
                    <a:prstGeom prst="rect">
                      <a:avLst/>
                    </a:prstGeom>
                    <a:noFill/>
                    <a:ln>
                      <a:noFill/>
                    </a:ln>
                  </pic:spPr>
                </pic:pic>
              </a:graphicData>
            </a:graphic>
          </wp:inline>
        </w:drawing>
      </w:r>
      <w:r>
        <w:t xml:space="preserve"> (9.2)</w:t>
      </w:r>
    </w:p>
    <w:p w:rsidR="00E35632" w:rsidRDefault="00E35632">
      <w:pPr>
        <w:pStyle w:val="ConsPlusNormal"/>
        <w:jc w:val="both"/>
      </w:pPr>
    </w:p>
    <w:p w:rsidR="00E35632" w:rsidRDefault="00E35632">
      <w:pPr>
        <w:pStyle w:val="ConsPlusNormal"/>
        <w:ind w:firstLine="540"/>
        <w:jc w:val="both"/>
      </w:pPr>
      <w:r>
        <w:t xml:space="preserve">где </w:t>
      </w:r>
      <w:r>
        <w:rPr>
          <w:noProof/>
          <w:position w:val="-1"/>
        </w:rPr>
        <w:drawing>
          <wp:inline distT="0" distB="0" distL="0" distR="0">
            <wp:extent cx="142240" cy="160020"/>
            <wp:effectExtent l="0" t="0" r="0" b="0"/>
            <wp:docPr id="5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r>
        <w:t xml:space="preserve"> - коэффициент поперечной деформации.</w:t>
      </w:r>
    </w:p>
    <w:p w:rsidR="00E35632" w:rsidRDefault="00E35632">
      <w:pPr>
        <w:pStyle w:val="ConsPlusNormal"/>
        <w:spacing w:before="220"/>
        <w:ind w:firstLine="540"/>
        <w:jc w:val="both"/>
      </w:pPr>
      <w:r>
        <w:t xml:space="preserve">Для переуплотненных грунтов допустимо </w:t>
      </w:r>
      <w:r>
        <w:rPr>
          <w:i/>
        </w:rPr>
        <w:t>K</w:t>
      </w:r>
      <w:r>
        <w:rPr>
          <w:vertAlign w:val="subscript"/>
        </w:rPr>
        <w:t>0</w:t>
      </w:r>
      <w:r>
        <w:t xml:space="preserve"> вычислять по формуле</w:t>
      </w:r>
    </w:p>
    <w:p w:rsidR="00E35632" w:rsidRDefault="00E35632">
      <w:pPr>
        <w:pStyle w:val="ConsPlusNormal"/>
        <w:jc w:val="both"/>
      </w:pPr>
    </w:p>
    <w:p w:rsidR="00E35632" w:rsidRDefault="00E35632">
      <w:pPr>
        <w:pStyle w:val="ConsPlusNormal"/>
        <w:jc w:val="center"/>
      </w:pPr>
      <w:bookmarkStart w:id="245" w:name="P4599"/>
      <w:bookmarkEnd w:id="245"/>
      <w:r>
        <w:rPr>
          <w:noProof/>
          <w:position w:val="-10"/>
        </w:rPr>
        <w:drawing>
          <wp:inline distT="0" distB="0" distL="0" distR="0">
            <wp:extent cx="1550035" cy="276860"/>
            <wp:effectExtent l="0" t="0" r="0" b="0"/>
            <wp:docPr id="5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550035" cy="276860"/>
                    </a:xfrm>
                    <a:prstGeom prst="rect">
                      <a:avLst/>
                    </a:prstGeom>
                    <a:noFill/>
                    <a:ln>
                      <a:noFill/>
                    </a:ln>
                  </pic:spPr>
                </pic:pic>
              </a:graphicData>
            </a:graphic>
          </wp:inline>
        </w:drawing>
      </w:r>
      <w:r>
        <w:t xml:space="preserve"> (9.3)</w:t>
      </w:r>
    </w:p>
    <w:p w:rsidR="00E35632" w:rsidRDefault="00E35632">
      <w:pPr>
        <w:pStyle w:val="ConsPlusNormal"/>
        <w:jc w:val="both"/>
      </w:pPr>
    </w:p>
    <w:p w:rsidR="00E35632" w:rsidRDefault="00E35632">
      <w:pPr>
        <w:pStyle w:val="ConsPlusNormal"/>
        <w:ind w:firstLine="540"/>
        <w:jc w:val="both"/>
      </w:pPr>
      <w:r>
        <w:t xml:space="preserve">где </w:t>
      </w:r>
      <w:r>
        <w:rPr>
          <w:i/>
        </w:rPr>
        <w:t>OCR</w:t>
      </w:r>
      <w:r>
        <w:t xml:space="preserve"> - коэффициент переуплотнения грунта.</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 xml:space="preserve">1 Коэффициент </w:t>
      </w:r>
      <w:r>
        <w:rPr>
          <w:i/>
        </w:rPr>
        <w:t>OCR</w:t>
      </w:r>
      <w:r>
        <w:t xml:space="preserve"> определяется отношением давления, при котором грунт был ранее переуплотнен (например, ледником), к давлению, действующему в настоящее время.</w:t>
      </w:r>
    </w:p>
    <w:p w:rsidR="00E35632" w:rsidRDefault="00E35632">
      <w:pPr>
        <w:pStyle w:val="ConsPlusNormal"/>
        <w:spacing w:before="220"/>
        <w:ind w:firstLine="540"/>
        <w:jc w:val="both"/>
      </w:pPr>
      <w:r>
        <w:t xml:space="preserve">2 В </w:t>
      </w:r>
      <w:hyperlink w:anchor="P4599">
        <w:r>
          <w:rPr>
            <w:color w:val="0000FF"/>
          </w:rPr>
          <w:t>формуле (9.3)</w:t>
        </w:r>
      </w:hyperlink>
      <w:r>
        <w:t xml:space="preserve"> не допускается использовать значения </w:t>
      </w:r>
      <w:r>
        <w:rPr>
          <w:i/>
        </w:rPr>
        <w:t>OCR</w:t>
      </w:r>
      <w:r>
        <w:t xml:space="preserve"> &gt; 2,0.</w:t>
      </w:r>
    </w:p>
    <w:p w:rsidR="00E35632" w:rsidRDefault="00E35632">
      <w:pPr>
        <w:pStyle w:val="ConsPlusNormal"/>
        <w:jc w:val="both"/>
      </w:pPr>
    </w:p>
    <w:p w:rsidR="00E35632" w:rsidRDefault="00E35632">
      <w:pPr>
        <w:pStyle w:val="ConsPlusNormal"/>
        <w:ind w:firstLine="540"/>
        <w:jc w:val="both"/>
      </w:pPr>
      <w:r>
        <w:t xml:space="preserve">Если поверхность основания наклонена по отношению к горизонтали под углом </w:t>
      </w:r>
      <w:r>
        <w:rPr>
          <w:noProof/>
          <w:position w:val="-6"/>
        </w:rPr>
        <w:drawing>
          <wp:inline distT="0" distB="0" distL="0" distR="0">
            <wp:extent cx="437515" cy="226060"/>
            <wp:effectExtent l="0" t="0" r="0" b="0"/>
            <wp:docPr id="5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37515" cy="226060"/>
                    </a:xfrm>
                    <a:prstGeom prst="rect">
                      <a:avLst/>
                    </a:prstGeom>
                    <a:noFill/>
                    <a:ln>
                      <a:noFill/>
                    </a:ln>
                  </pic:spPr>
                </pic:pic>
              </a:graphicData>
            </a:graphic>
          </wp:inline>
        </w:drawing>
      </w:r>
      <w:r>
        <w:t xml:space="preserve"> вверх по направлению от ограждения котлована или стены сооружения, то горизонтальную составляющую эффективного давления грунта </w:t>
      </w:r>
      <w:r>
        <w:rPr>
          <w:noProof/>
          <w:position w:val="-10"/>
        </w:rPr>
        <w:drawing>
          <wp:inline distT="0" distB="0" distL="0" distR="0">
            <wp:extent cx="513080" cy="267970"/>
            <wp:effectExtent l="0" t="0" r="0" b="0"/>
            <wp:docPr id="5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513080" cy="267970"/>
                    </a:xfrm>
                    <a:prstGeom prst="rect">
                      <a:avLst/>
                    </a:prstGeom>
                    <a:noFill/>
                    <a:ln>
                      <a:noFill/>
                    </a:ln>
                  </pic:spPr>
                </pic:pic>
              </a:graphicData>
            </a:graphic>
          </wp:inline>
        </w:drawing>
      </w:r>
      <w:r>
        <w:t xml:space="preserve"> следует вычислять по </w:t>
      </w:r>
      <w:hyperlink w:anchor="P4586">
        <w:r>
          <w:rPr>
            <w:color w:val="0000FF"/>
          </w:rPr>
          <w:t>формуле 9.1</w:t>
        </w:r>
      </w:hyperlink>
      <w:r>
        <w:t xml:space="preserve">, в которой </w:t>
      </w:r>
      <w:r>
        <w:rPr>
          <w:i/>
        </w:rPr>
        <w:t>K</w:t>
      </w:r>
      <w:r>
        <w:rPr>
          <w:vertAlign w:val="subscript"/>
        </w:rPr>
        <w:t>0</w:t>
      </w:r>
      <w:r>
        <w:t xml:space="preserve"> заменяется коэффициентом </w:t>
      </w:r>
      <w:r>
        <w:rPr>
          <w:noProof/>
          <w:position w:val="-10"/>
        </w:rPr>
        <w:drawing>
          <wp:inline distT="0" distB="0" distL="0" distR="0">
            <wp:extent cx="335280" cy="267970"/>
            <wp:effectExtent l="0" t="0" r="0" b="0"/>
            <wp:docPr id="5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335280" cy="267970"/>
                    </a:xfrm>
                    <a:prstGeom prst="rect">
                      <a:avLst/>
                    </a:prstGeom>
                    <a:noFill/>
                    <a:ln>
                      <a:noFill/>
                    </a:ln>
                  </pic:spPr>
                </pic:pic>
              </a:graphicData>
            </a:graphic>
          </wp:inline>
        </w:drawing>
      </w:r>
      <w:r>
        <w:t>, вычисляемым по формуле</w:t>
      </w:r>
    </w:p>
    <w:p w:rsidR="00E35632" w:rsidRDefault="00E35632">
      <w:pPr>
        <w:pStyle w:val="ConsPlusNormal"/>
        <w:jc w:val="both"/>
      </w:pPr>
    </w:p>
    <w:p w:rsidR="00E35632" w:rsidRDefault="00E35632">
      <w:pPr>
        <w:pStyle w:val="ConsPlusNormal"/>
        <w:jc w:val="center"/>
      </w:pPr>
      <w:r>
        <w:rPr>
          <w:noProof/>
          <w:position w:val="-10"/>
        </w:rPr>
        <w:lastRenderedPageBreak/>
        <w:drawing>
          <wp:inline distT="0" distB="0" distL="0" distR="0">
            <wp:extent cx="1410335" cy="267970"/>
            <wp:effectExtent l="0" t="0" r="0" b="0"/>
            <wp:docPr id="5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410335" cy="267970"/>
                    </a:xfrm>
                    <a:prstGeom prst="rect">
                      <a:avLst/>
                    </a:prstGeom>
                    <a:noFill/>
                    <a:ln>
                      <a:noFill/>
                    </a:ln>
                  </pic:spPr>
                </pic:pic>
              </a:graphicData>
            </a:graphic>
          </wp:inline>
        </w:drawing>
      </w:r>
      <w:r>
        <w:t xml:space="preserve"> (9.4)</w:t>
      </w:r>
    </w:p>
    <w:p w:rsidR="00E35632" w:rsidRDefault="00E35632">
      <w:pPr>
        <w:pStyle w:val="ConsPlusNormal"/>
        <w:jc w:val="both"/>
      </w:pPr>
    </w:p>
    <w:p w:rsidR="00E35632" w:rsidRDefault="00E35632">
      <w:pPr>
        <w:pStyle w:val="ConsPlusNormal"/>
        <w:ind w:firstLine="540"/>
        <w:jc w:val="both"/>
      </w:pPr>
      <w:r>
        <w:t>При этом направление равнодействующей силы бокового давления принимается параллельным поверхности грунта.</w:t>
      </w:r>
    </w:p>
    <w:p w:rsidR="00E35632" w:rsidRDefault="00E35632">
      <w:pPr>
        <w:pStyle w:val="ConsPlusNormal"/>
        <w:spacing w:before="220"/>
        <w:ind w:firstLine="540"/>
        <w:jc w:val="both"/>
      </w:pPr>
      <w:r>
        <w:t xml:space="preserve">9.21 При горизонтальных перемещениях </w:t>
      </w:r>
      <w:r>
        <w:rPr>
          <w:i/>
        </w:rPr>
        <w:t>u</w:t>
      </w:r>
      <w:r>
        <w:t xml:space="preserve"> подпорного сооружения или стены подвала более 0,0005</w:t>
      </w:r>
      <w:r>
        <w:rPr>
          <w:i/>
        </w:rPr>
        <w:t>h</w:t>
      </w:r>
      <w:r>
        <w:t xml:space="preserve"> зависимость величин бокового давления грунта допускается определять в соответствии с кусочно-линейной диаграммой на </w:t>
      </w:r>
      <w:hyperlink w:anchor="P4616">
        <w:r>
          <w:rPr>
            <w:color w:val="0000FF"/>
          </w:rPr>
          <w:t>рисунке 9.1</w:t>
        </w:r>
      </w:hyperlink>
      <w:r>
        <w:t>. Знак перемещений считается положительным при перемещении конструкции в направлении грунтового массива.</w:t>
      </w:r>
    </w:p>
    <w:p w:rsidR="00E35632" w:rsidRDefault="00E35632">
      <w:pPr>
        <w:pStyle w:val="ConsPlusNormal"/>
        <w:spacing w:before="220"/>
        <w:ind w:firstLine="540"/>
        <w:jc w:val="both"/>
      </w:pPr>
      <w:r>
        <w:t xml:space="preserve">Предельные величины бокового давления грунта соответствуют активному давлению </w:t>
      </w:r>
      <w:r>
        <w:rPr>
          <w:noProof/>
          <w:position w:val="-8"/>
        </w:rPr>
        <w:drawing>
          <wp:inline distT="0" distB="0" distL="0" distR="0">
            <wp:extent cx="513080" cy="251460"/>
            <wp:effectExtent l="0" t="0" r="0" b="0"/>
            <wp:docPr id="5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513080" cy="251460"/>
                    </a:xfrm>
                    <a:prstGeom prst="rect">
                      <a:avLst/>
                    </a:prstGeom>
                    <a:noFill/>
                    <a:ln>
                      <a:noFill/>
                    </a:ln>
                  </pic:spPr>
                </pic:pic>
              </a:graphicData>
            </a:graphic>
          </wp:inline>
        </w:drawing>
      </w:r>
      <w:r>
        <w:t xml:space="preserve"> при перемещении конструкции в направлении от грунтового массива и пассивному давлению </w:t>
      </w:r>
      <w:r>
        <w:rPr>
          <w:noProof/>
          <w:position w:val="-10"/>
        </w:rPr>
        <w:drawing>
          <wp:inline distT="0" distB="0" distL="0" distR="0">
            <wp:extent cx="521970" cy="267970"/>
            <wp:effectExtent l="0" t="0" r="0" b="0"/>
            <wp:docPr id="58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521970" cy="267970"/>
                    </a:xfrm>
                    <a:prstGeom prst="rect">
                      <a:avLst/>
                    </a:prstGeom>
                    <a:noFill/>
                    <a:ln>
                      <a:noFill/>
                    </a:ln>
                  </pic:spPr>
                </pic:pic>
              </a:graphicData>
            </a:graphic>
          </wp:inline>
        </w:drawing>
      </w:r>
      <w:r>
        <w:t xml:space="preserve"> при перемещении в направлении грунтового массива.</w:t>
      </w:r>
    </w:p>
    <w:p w:rsidR="00E35632" w:rsidRDefault="00E35632">
      <w:pPr>
        <w:pStyle w:val="ConsPlusNormal"/>
        <w:jc w:val="both"/>
      </w:pPr>
    </w:p>
    <w:p w:rsidR="00E35632" w:rsidRDefault="00E35632">
      <w:pPr>
        <w:pStyle w:val="ConsPlusNormal"/>
        <w:jc w:val="center"/>
      </w:pPr>
      <w:r>
        <w:rPr>
          <w:noProof/>
          <w:position w:val="-167"/>
        </w:rPr>
        <w:drawing>
          <wp:inline distT="0" distB="0" distL="0" distR="0">
            <wp:extent cx="5260340" cy="2272665"/>
            <wp:effectExtent l="0" t="0" r="0" b="0"/>
            <wp:docPr id="58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77">
                      <a:extLst>
                        <a:ext uri="{28A0092B-C50C-407E-A947-70E740481C1C}">
                          <a14:useLocalDpi xmlns:a14="http://schemas.microsoft.com/office/drawing/2010/main" val="0"/>
                        </a:ext>
                      </a:extLst>
                    </a:blip>
                    <a:srcRect/>
                    <a:stretch>
                      <a:fillRect/>
                    </a:stretch>
                  </pic:blipFill>
                  <pic:spPr bwMode="auto">
                    <a:xfrm>
                      <a:off x="0" y="0"/>
                      <a:ext cx="5260340" cy="2272665"/>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bookmarkStart w:id="246" w:name="P4616"/>
      <w:bookmarkEnd w:id="246"/>
      <w:r>
        <w:rPr>
          <w:b/>
          <w:i/>
        </w:rPr>
        <w:t>Рисунок 9.1</w:t>
      </w:r>
      <w:r>
        <w:t xml:space="preserve"> </w:t>
      </w:r>
      <w:r>
        <w:rPr>
          <w:b/>
        </w:rPr>
        <w:t>- Зависимость величин бокового давления грунта</w:t>
      </w:r>
    </w:p>
    <w:p w:rsidR="00E35632" w:rsidRDefault="00E35632">
      <w:pPr>
        <w:pStyle w:val="ConsPlusNormal"/>
        <w:jc w:val="center"/>
      </w:pPr>
      <w:r>
        <w:rPr>
          <w:noProof/>
          <w:position w:val="-8"/>
        </w:rPr>
        <w:drawing>
          <wp:inline distT="0" distB="0" distL="0" distR="0">
            <wp:extent cx="440055" cy="251460"/>
            <wp:effectExtent l="0" t="0" r="0" b="0"/>
            <wp:docPr id="58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440055" cy="251460"/>
                    </a:xfrm>
                    <a:prstGeom prst="rect">
                      <a:avLst/>
                    </a:prstGeom>
                    <a:noFill/>
                    <a:ln>
                      <a:noFill/>
                    </a:ln>
                  </pic:spPr>
                </pic:pic>
              </a:graphicData>
            </a:graphic>
          </wp:inline>
        </w:drawing>
      </w:r>
      <w:r>
        <w:t xml:space="preserve"> </w:t>
      </w:r>
      <w:r>
        <w:rPr>
          <w:b/>
        </w:rPr>
        <w:t>от горизонтальных перемещений конструкции</w:t>
      </w:r>
      <w:r>
        <w:t xml:space="preserve"> </w:t>
      </w:r>
      <w:r>
        <w:rPr>
          <w:b/>
          <w:i/>
        </w:rPr>
        <w:t>u</w:t>
      </w:r>
      <w:r>
        <w:rPr>
          <w:b/>
        </w:rPr>
        <w:t>,</w:t>
      </w:r>
    </w:p>
    <w:p w:rsidR="00E35632" w:rsidRDefault="00E35632">
      <w:pPr>
        <w:pStyle w:val="ConsPlusNormal"/>
        <w:jc w:val="center"/>
      </w:pPr>
      <w:r>
        <w:rPr>
          <w:b/>
        </w:rPr>
        <w:t>где</w:t>
      </w:r>
      <w:r>
        <w:t xml:space="preserve"> </w:t>
      </w:r>
      <w:r>
        <w:rPr>
          <w:b/>
          <w:i/>
        </w:rPr>
        <w:t>u</w:t>
      </w:r>
      <w:r>
        <w:rPr>
          <w:b/>
          <w:i/>
          <w:vertAlign w:val="subscript"/>
        </w:rPr>
        <w:t>a</w:t>
      </w:r>
      <w:r>
        <w:t xml:space="preserve"> </w:t>
      </w:r>
      <w:r>
        <w:rPr>
          <w:b/>
          <w:i/>
        </w:rPr>
        <w:t>=</w:t>
      </w:r>
      <w:r>
        <w:t xml:space="preserve"> </w:t>
      </w:r>
      <w:r>
        <w:rPr>
          <w:b/>
        </w:rPr>
        <w:t>0,001</w:t>
      </w:r>
      <w:r>
        <w:rPr>
          <w:b/>
          <w:i/>
        </w:rPr>
        <w:t>h</w:t>
      </w:r>
      <w:r>
        <w:rPr>
          <w:b/>
        </w:rPr>
        <w:t>,</w:t>
      </w:r>
      <w:r>
        <w:t xml:space="preserve"> </w:t>
      </w:r>
      <w:r>
        <w:rPr>
          <w:b/>
          <w:i/>
        </w:rPr>
        <w:t>u</w:t>
      </w:r>
      <w:r>
        <w:rPr>
          <w:b/>
          <w:i/>
          <w:vertAlign w:val="subscript"/>
        </w:rPr>
        <w:t>p</w:t>
      </w:r>
      <w:r>
        <w:t xml:space="preserve"> </w:t>
      </w:r>
      <w:r>
        <w:rPr>
          <w:b/>
        </w:rPr>
        <w:t>= (0,01 - 0,02)</w:t>
      </w:r>
      <w:r>
        <w:rPr>
          <w:b/>
          <w:i/>
        </w:rPr>
        <w:t>h</w:t>
      </w:r>
    </w:p>
    <w:p w:rsidR="00E35632" w:rsidRDefault="00E35632">
      <w:pPr>
        <w:pStyle w:val="ConsPlusNormal"/>
        <w:jc w:val="center"/>
      </w:pPr>
      <w:r>
        <w:t xml:space="preserve">(рисунок 9.1 в ред. </w:t>
      </w:r>
      <w:hyperlink r:id="rId879">
        <w:r>
          <w:rPr>
            <w:color w:val="0000FF"/>
          </w:rPr>
          <w:t>Изменения N 4</w:t>
        </w:r>
      </w:hyperlink>
      <w:r>
        <w:t>, утв. Приказом</w:t>
      </w:r>
    </w:p>
    <w:p w:rsidR="00E35632" w:rsidRDefault="00E35632">
      <w:pPr>
        <w:pStyle w:val="ConsPlusNormal"/>
        <w:jc w:val="center"/>
      </w:pPr>
      <w:r>
        <w:t>Минстроя России от 27.12.2021 N 1022/пр)</w:t>
      </w:r>
    </w:p>
    <w:p w:rsidR="00E35632" w:rsidRDefault="00E35632">
      <w:pPr>
        <w:pStyle w:val="ConsPlusNormal"/>
        <w:jc w:val="both"/>
      </w:pPr>
    </w:p>
    <w:p w:rsidR="00E35632" w:rsidRDefault="00E35632">
      <w:pPr>
        <w:pStyle w:val="ConsPlusNormal"/>
        <w:ind w:firstLine="540"/>
        <w:jc w:val="both"/>
      </w:pPr>
      <w:r>
        <w:t xml:space="preserve">9.22 Величины бокового давления грунта допускается принимать равными </w:t>
      </w:r>
      <w:r>
        <w:rPr>
          <w:noProof/>
          <w:position w:val="-10"/>
        </w:rPr>
        <w:drawing>
          <wp:inline distT="0" distB="0" distL="0" distR="0">
            <wp:extent cx="521970" cy="267970"/>
            <wp:effectExtent l="0" t="0" r="0" b="0"/>
            <wp:docPr id="58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21970" cy="267970"/>
                    </a:xfrm>
                    <a:prstGeom prst="rect">
                      <a:avLst/>
                    </a:prstGeom>
                    <a:noFill/>
                    <a:ln>
                      <a:noFill/>
                    </a:ln>
                  </pic:spPr>
                </pic:pic>
              </a:graphicData>
            </a:graphic>
          </wp:inline>
        </w:drawing>
      </w:r>
      <w:r>
        <w:t>, если величина горизонтального перемещения конструкции в направлении от грунта превышает 0,001</w:t>
      </w:r>
      <w:r>
        <w:rPr>
          <w:i/>
        </w:rPr>
        <w:t>h</w:t>
      </w:r>
      <w:r>
        <w:t>.</w:t>
      </w:r>
    </w:p>
    <w:p w:rsidR="00E35632" w:rsidRDefault="00E35632">
      <w:pPr>
        <w:pStyle w:val="ConsPlusNormal"/>
        <w:spacing w:before="220"/>
        <w:ind w:firstLine="540"/>
        <w:jc w:val="both"/>
      </w:pPr>
      <w:r>
        <w:t xml:space="preserve">Величину эффективного активного давления грунта на конструкцию, вызванного его объемным весом </w:t>
      </w:r>
      <w:r>
        <w:rPr>
          <w:noProof/>
          <w:position w:val="-4"/>
        </w:rPr>
        <w:drawing>
          <wp:inline distT="0" distB="0" distL="0" distR="0">
            <wp:extent cx="142240" cy="192405"/>
            <wp:effectExtent l="0" t="0" r="0" b="0"/>
            <wp:docPr id="58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142240" cy="192405"/>
                    </a:xfrm>
                    <a:prstGeom prst="rect">
                      <a:avLst/>
                    </a:prstGeom>
                    <a:noFill/>
                    <a:ln>
                      <a:noFill/>
                    </a:ln>
                  </pic:spPr>
                </pic:pic>
              </a:graphicData>
            </a:graphic>
          </wp:inline>
        </w:drawing>
      </w:r>
      <w:r>
        <w:t xml:space="preserve">, при наличии вертикальной равномерно распределенной нагрузки </w:t>
      </w:r>
      <w:r>
        <w:rPr>
          <w:i/>
        </w:rPr>
        <w:t>q</w:t>
      </w:r>
      <w:r>
        <w:t>, приложенной к поверхности, следует вычислять по формулам:</w:t>
      </w:r>
    </w:p>
    <w:p w:rsidR="00E35632" w:rsidRDefault="00E35632">
      <w:pPr>
        <w:pStyle w:val="ConsPlusNormal"/>
        <w:spacing w:before="220"/>
        <w:ind w:firstLine="540"/>
        <w:jc w:val="both"/>
      </w:pPr>
      <w:r>
        <w:t xml:space="preserve">нормальная составляющая на глубине </w:t>
      </w:r>
      <w:r>
        <w:rPr>
          <w:i/>
        </w:rPr>
        <w:t>z</w:t>
      </w:r>
      <w:r>
        <w:t>:</w:t>
      </w:r>
    </w:p>
    <w:p w:rsidR="00E35632" w:rsidRDefault="00E35632">
      <w:pPr>
        <w:pStyle w:val="ConsPlusNormal"/>
        <w:jc w:val="both"/>
      </w:pPr>
    </w:p>
    <w:p w:rsidR="00E35632" w:rsidRDefault="00E35632">
      <w:pPr>
        <w:pStyle w:val="ConsPlusNormal"/>
        <w:jc w:val="center"/>
      </w:pPr>
      <w:r>
        <w:rPr>
          <w:noProof/>
          <w:position w:val="-12"/>
        </w:rPr>
        <w:drawing>
          <wp:inline distT="0" distB="0" distL="0" distR="0">
            <wp:extent cx="2165350" cy="302260"/>
            <wp:effectExtent l="0" t="0" r="0" b="0"/>
            <wp:docPr id="58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2165350" cy="302260"/>
                    </a:xfrm>
                    <a:prstGeom prst="rect">
                      <a:avLst/>
                    </a:prstGeom>
                    <a:noFill/>
                    <a:ln>
                      <a:noFill/>
                    </a:ln>
                  </pic:spPr>
                </pic:pic>
              </a:graphicData>
            </a:graphic>
          </wp:inline>
        </w:drawing>
      </w:r>
      <w:r>
        <w:t xml:space="preserve"> (9.5)</w:t>
      </w:r>
    </w:p>
    <w:p w:rsidR="00E35632" w:rsidRDefault="00E35632">
      <w:pPr>
        <w:pStyle w:val="ConsPlusNormal"/>
        <w:jc w:val="both"/>
      </w:pPr>
    </w:p>
    <w:p w:rsidR="00E35632" w:rsidRDefault="00E35632">
      <w:pPr>
        <w:pStyle w:val="ConsPlusNormal"/>
        <w:ind w:firstLine="540"/>
        <w:jc w:val="both"/>
      </w:pPr>
      <w:r>
        <w:t xml:space="preserve">где </w:t>
      </w:r>
      <w:r>
        <w:rPr>
          <w:i/>
        </w:rPr>
        <w:t>c</w:t>
      </w:r>
      <w:r>
        <w:t xml:space="preserve"> - удельное сцепление грунта;</w:t>
      </w:r>
    </w:p>
    <w:p w:rsidR="00E35632" w:rsidRDefault="00E35632">
      <w:pPr>
        <w:pStyle w:val="ConsPlusNormal"/>
        <w:spacing w:before="220"/>
        <w:ind w:firstLine="540"/>
        <w:jc w:val="both"/>
      </w:pPr>
      <w:r>
        <w:rPr>
          <w:noProof/>
          <w:position w:val="-4"/>
        </w:rPr>
        <w:drawing>
          <wp:inline distT="0" distB="0" distL="0" distR="0">
            <wp:extent cx="142240" cy="192405"/>
            <wp:effectExtent l="0" t="0" r="0" b="0"/>
            <wp:docPr id="59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42240" cy="192405"/>
                    </a:xfrm>
                    <a:prstGeom prst="rect">
                      <a:avLst/>
                    </a:prstGeom>
                    <a:noFill/>
                    <a:ln>
                      <a:noFill/>
                    </a:ln>
                  </pic:spPr>
                </pic:pic>
              </a:graphicData>
            </a:graphic>
          </wp:inline>
        </w:drawing>
      </w:r>
      <w:r>
        <w:t xml:space="preserve"> - удельный вес грунта, принимаемый во взвешенном состоянии для водонасыщенных грунтов;</w:t>
      </w:r>
    </w:p>
    <w:p w:rsidR="00E35632" w:rsidRDefault="00E35632">
      <w:pPr>
        <w:pStyle w:val="ConsPlusNormal"/>
        <w:spacing w:before="220"/>
        <w:ind w:firstLine="540"/>
        <w:jc w:val="both"/>
      </w:pPr>
      <w:r>
        <w:rPr>
          <w:i/>
        </w:rPr>
        <w:t>K</w:t>
      </w:r>
      <w:r>
        <w:rPr>
          <w:i/>
          <w:vertAlign w:val="subscript"/>
        </w:rPr>
        <w:t>a</w:t>
      </w:r>
      <w:r>
        <w:t xml:space="preserve"> - коэффициент активного давления;</w:t>
      </w:r>
    </w:p>
    <w:p w:rsidR="00E35632" w:rsidRDefault="00E35632">
      <w:pPr>
        <w:pStyle w:val="ConsPlusNormal"/>
        <w:spacing w:before="220"/>
        <w:ind w:firstLine="540"/>
        <w:jc w:val="both"/>
      </w:pPr>
      <w:r>
        <w:lastRenderedPageBreak/>
        <w:t xml:space="preserve">касательная составляющая на глубине </w:t>
      </w:r>
      <w:r>
        <w:rPr>
          <w:i/>
        </w:rPr>
        <w:t>z</w:t>
      </w:r>
      <w:r>
        <w:t xml:space="preserve"> (положительна при перемещении грунта вниз относительно конструкции):</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1311275" cy="267970"/>
            <wp:effectExtent l="0" t="0" r="0" b="0"/>
            <wp:docPr id="59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311275" cy="267970"/>
                    </a:xfrm>
                    <a:prstGeom prst="rect">
                      <a:avLst/>
                    </a:prstGeom>
                    <a:noFill/>
                    <a:ln>
                      <a:noFill/>
                    </a:ln>
                  </pic:spPr>
                </pic:pic>
              </a:graphicData>
            </a:graphic>
          </wp:inline>
        </w:drawing>
      </w:r>
      <w:r>
        <w:t xml:space="preserve"> (9.6)</w:t>
      </w:r>
    </w:p>
    <w:p w:rsidR="00E35632" w:rsidRDefault="00E35632">
      <w:pPr>
        <w:pStyle w:val="ConsPlusNormal"/>
        <w:jc w:val="both"/>
      </w:pPr>
    </w:p>
    <w:p w:rsidR="00E35632" w:rsidRDefault="00E35632">
      <w:pPr>
        <w:pStyle w:val="ConsPlusNormal"/>
        <w:ind w:firstLine="540"/>
        <w:jc w:val="both"/>
      </w:pPr>
      <w:r>
        <w:t xml:space="preserve">где </w:t>
      </w:r>
      <w:r>
        <w:rPr>
          <w:noProof/>
          <w:position w:val="-3"/>
        </w:rPr>
        <w:drawing>
          <wp:inline distT="0" distB="0" distL="0" distR="0">
            <wp:extent cx="160020" cy="182880"/>
            <wp:effectExtent l="0" t="0" r="0" b="0"/>
            <wp:docPr id="59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160020" cy="182880"/>
                    </a:xfrm>
                    <a:prstGeom prst="rect">
                      <a:avLst/>
                    </a:prstGeom>
                    <a:noFill/>
                    <a:ln>
                      <a:noFill/>
                    </a:ln>
                  </pic:spPr>
                </pic:pic>
              </a:graphicData>
            </a:graphic>
          </wp:inline>
        </w:drawing>
      </w:r>
      <w:r>
        <w:t xml:space="preserve"> - угол трения грунта по материалу конструкции, определяемый в соответствии с </w:t>
      </w:r>
      <w:hyperlink w:anchor="P4538">
        <w:r>
          <w:rPr>
            <w:color w:val="0000FF"/>
          </w:rPr>
          <w:t>9.16</w:t>
        </w:r>
      </w:hyperlink>
      <w:r>
        <w:t>.</w:t>
      </w:r>
    </w:p>
    <w:p w:rsidR="00E35632" w:rsidRDefault="00E35632">
      <w:pPr>
        <w:pStyle w:val="ConsPlusNormal"/>
        <w:spacing w:before="220"/>
        <w:ind w:firstLine="540"/>
        <w:jc w:val="both"/>
      </w:pPr>
      <w:r>
        <w:t xml:space="preserve">Величины </w:t>
      </w:r>
      <w:r>
        <w:rPr>
          <w:noProof/>
          <w:position w:val="-8"/>
        </w:rPr>
        <w:drawing>
          <wp:inline distT="0" distB="0" distL="0" distR="0">
            <wp:extent cx="513080" cy="251460"/>
            <wp:effectExtent l="0" t="0" r="0" b="0"/>
            <wp:docPr id="59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513080" cy="251460"/>
                    </a:xfrm>
                    <a:prstGeom prst="rect">
                      <a:avLst/>
                    </a:prstGeom>
                    <a:noFill/>
                    <a:ln>
                      <a:noFill/>
                    </a:ln>
                  </pic:spPr>
                </pic:pic>
              </a:graphicData>
            </a:graphic>
          </wp:inline>
        </w:drawing>
      </w:r>
      <w:r>
        <w:t xml:space="preserve"> принимаются во всех случаях равными не менее 0.</w:t>
      </w:r>
    </w:p>
    <w:p w:rsidR="00E35632" w:rsidRDefault="00E35632">
      <w:pPr>
        <w:pStyle w:val="ConsPlusNormal"/>
        <w:spacing w:before="220"/>
        <w:ind w:firstLine="540"/>
        <w:jc w:val="both"/>
      </w:pPr>
      <w:r>
        <w:t>В случае негоризонтальной поверхности грунта и наклона граней конструкции к вертикали (</w:t>
      </w:r>
      <w:hyperlink w:anchor="P4650">
        <w:r>
          <w:rPr>
            <w:color w:val="0000FF"/>
          </w:rPr>
          <w:t>рисунок 9.2</w:t>
        </w:r>
      </w:hyperlink>
      <w:r>
        <w:t>, а) коэффициент активного давления грунта следует вычислять по формуле</w:t>
      </w:r>
    </w:p>
    <w:p w:rsidR="00E35632" w:rsidRDefault="00E35632">
      <w:pPr>
        <w:pStyle w:val="ConsPlusNormal"/>
        <w:jc w:val="both"/>
      </w:pPr>
    </w:p>
    <w:p w:rsidR="00E35632" w:rsidRDefault="00E35632">
      <w:pPr>
        <w:pStyle w:val="ConsPlusNormal"/>
        <w:jc w:val="center"/>
      </w:pPr>
      <w:r>
        <w:rPr>
          <w:noProof/>
          <w:position w:val="-53"/>
        </w:rPr>
        <w:drawing>
          <wp:inline distT="0" distB="0" distL="0" distR="0">
            <wp:extent cx="2905760" cy="815975"/>
            <wp:effectExtent l="0" t="0" r="0" b="0"/>
            <wp:docPr id="59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905760" cy="815975"/>
                    </a:xfrm>
                    <a:prstGeom prst="rect">
                      <a:avLst/>
                    </a:prstGeom>
                    <a:noFill/>
                    <a:ln>
                      <a:noFill/>
                    </a:ln>
                  </pic:spPr>
                </pic:pic>
              </a:graphicData>
            </a:graphic>
          </wp:inline>
        </w:drawing>
      </w:r>
      <w:r>
        <w:t xml:space="preserve"> (9.7)</w:t>
      </w:r>
    </w:p>
    <w:p w:rsidR="00E35632" w:rsidRDefault="00E35632">
      <w:pPr>
        <w:pStyle w:val="ConsPlusNormal"/>
        <w:jc w:val="both"/>
      </w:pPr>
    </w:p>
    <w:p w:rsidR="00E35632" w:rsidRDefault="00E35632">
      <w:pPr>
        <w:pStyle w:val="ConsPlusNormal"/>
        <w:ind w:firstLine="540"/>
        <w:jc w:val="both"/>
      </w:pPr>
      <w:r>
        <w:t xml:space="preserve">где </w:t>
      </w:r>
      <w:r>
        <w:rPr>
          <w:noProof/>
          <w:position w:val="-6"/>
        </w:rPr>
        <w:drawing>
          <wp:inline distT="0" distB="0" distL="0" distR="0">
            <wp:extent cx="167640" cy="226060"/>
            <wp:effectExtent l="0" t="0" r="0" b="0"/>
            <wp:docPr id="5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167640" cy="226060"/>
                    </a:xfrm>
                    <a:prstGeom prst="rect">
                      <a:avLst/>
                    </a:prstGeom>
                    <a:noFill/>
                    <a:ln>
                      <a:noFill/>
                    </a:ln>
                  </pic:spPr>
                </pic:pic>
              </a:graphicData>
            </a:graphic>
          </wp:inline>
        </w:drawing>
      </w:r>
      <w:r>
        <w:t xml:space="preserve"> - угол наклона поверхности грунта к горизонту,</w:t>
      </w:r>
    </w:p>
    <w:p w:rsidR="00E35632" w:rsidRDefault="00E35632">
      <w:pPr>
        <w:pStyle w:val="ConsPlusNormal"/>
        <w:spacing w:before="220"/>
        <w:ind w:firstLine="540"/>
        <w:jc w:val="both"/>
      </w:pPr>
      <w:r>
        <w:rPr>
          <w:noProof/>
          <w:position w:val="-4"/>
        </w:rPr>
        <w:drawing>
          <wp:inline distT="0" distB="0" distL="0" distR="0">
            <wp:extent cx="142240" cy="193040"/>
            <wp:effectExtent l="0" t="0" r="0" b="0"/>
            <wp:docPr id="59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142240" cy="193040"/>
                    </a:xfrm>
                    <a:prstGeom prst="rect">
                      <a:avLst/>
                    </a:prstGeom>
                    <a:noFill/>
                    <a:ln>
                      <a:noFill/>
                    </a:ln>
                  </pic:spPr>
                </pic:pic>
              </a:graphicData>
            </a:graphic>
          </wp:inline>
        </w:drawing>
      </w:r>
      <w:r>
        <w:t xml:space="preserve"> - угол отклонения грани конструкции от вертикали,</w:t>
      </w:r>
    </w:p>
    <w:p w:rsidR="00E35632" w:rsidRDefault="00E35632">
      <w:pPr>
        <w:pStyle w:val="ConsPlusNormal"/>
        <w:spacing w:before="220"/>
        <w:ind w:firstLine="540"/>
        <w:jc w:val="both"/>
      </w:pPr>
      <w:r>
        <w:rPr>
          <w:noProof/>
          <w:position w:val="-4"/>
        </w:rPr>
        <w:drawing>
          <wp:inline distT="0" distB="0" distL="0" distR="0">
            <wp:extent cx="160020" cy="192405"/>
            <wp:effectExtent l="0" t="0" r="0" b="0"/>
            <wp:docPr id="59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r>
        <w:t xml:space="preserve"> - угол внутреннего трения грунта.</w:t>
      </w:r>
    </w:p>
    <w:p w:rsidR="00E35632" w:rsidRDefault="00E35632">
      <w:pPr>
        <w:pStyle w:val="ConsPlusNormal"/>
        <w:spacing w:before="220"/>
        <w:ind w:firstLine="540"/>
        <w:jc w:val="both"/>
      </w:pPr>
      <w:r>
        <w:t>При горизонтальной поверхности грунта, вертикальной абсолютно гладкой грани конструкции коэффициент активного давления грунта допускается вычислять по формуле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1453515" cy="267970"/>
            <wp:effectExtent l="0" t="0" r="0" b="0"/>
            <wp:docPr id="59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1453515" cy="267970"/>
                    </a:xfrm>
                    <a:prstGeom prst="rect">
                      <a:avLst/>
                    </a:prstGeom>
                    <a:noFill/>
                    <a:ln>
                      <a:noFill/>
                    </a:ln>
                  </pic:spPr>
                </pic:pic>
              </a:graphicData>
            </a:graphic>
          </wp:inline>
        </w:drawing>
      </w:r>
      <w:r>
        <w:t xml:space="preserve"> (9.8)</w:t>
      </w:r>
    </w:p>
    <w:p w:rsidR="00E35632" w:rsidRDefault="00E35632">
      <w:pPr>
        <w:pStyle w:val="ConsPlusNormal"/>
        <w:jc w:val="both"/>
      </w:pPr>
    </w:p>
    <w:p w:rsidR="00E35632" w:rsidRDefault="00E35632">
      <w:pPr>
        <w:pStyle w:val="ConsPlusNormal"/>
        <w:jc w:val="center"/>
      </w:pPr>
      <w:r>
        <w:rPr>
          <w:noProof/>
          <w:position w:val="-141"/>
        </w:rPr>
        <w:drawing>
          <wp:inline distT="0" distB="0" distL="0" distR="0">
            <wp:extent cx="5561965" cy="1937385"/>
            <wp:effectExtent l="0" t="0" r="0" b="0"/>
            <wp:docPr id="59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561965" cy="1937385"/>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bookmarkStart w:id="247" w:name="P4650"/>
      <w:bookmarkEnd w:id="247"/>
      <w:r>
        <w:rPr>
          <w:b/>
          <w:i/>
        </w:rPr>
        <w:t>Рисунок 9.2</w:t>
      </w:r>
      <w:r>
        <w:t xml:space="preserve"> </w:t>
      </w:r>
      <w:r>
        <w:rPr>
          <w:b/>
        </w:rPr>
        <w:t>- Схема к определению величин</w:t>
      </w:r>
      <w:r>
        <w:t xml:space="preserve"> </w:t>
      </w:r>
      <w:r>
        <w:rPr>
          <w:b/>
          <w:i/>
        </w:rPr>
        <w:t>а)</w:t>
      </w:r>
      <w:r>
        <w:t xml:space="preserve"> </w:t>
      </w:r>
      <w:r>
        <w:rPr>
          <w:b/>
        </w:rPr>
        <w:t>активного,</w:t>
      </w:r>
    </w:p>
    <w:p w:rsidR="00E35632" w:rsidRDefault="00E35632">
      <w:pPr>
        <w:pStyle w:val="ConsPlusNormal"/>
        <w:jc w:val="center"/>
      </w:pPr>
      <w:r>
        <w:rPr>
          <w:b/>
          <w:i/>
        </w:rPr>
        <w:t>б)</w:t>
      </w:r>
      <w:r>
        <w:t xml:space="preserve"> </w:t>
      </w:r>
      <w:r>
        <w:rPr>
          <w:b/>
        </w:rPr>
        <w:t>пассивного давлении грунта при негоризонтальной</w:t>
      </w:r>
    </w:p>
    <w:p w:rsidR="00E35632" w:rsidRDefault="00E35632">
      <w:pPr>
        <w:pStyle w:val="ConsPlusNormal"/>
        <w:jc w:val="center"/>
      </w:pPr>
      <w:r>
        <w:rPr>
          <w:b/>
        </w:rPr>
        <w:t>поверхности грунта и наклоне граней</w:t>
      </w:r>
    </w:p>
    <w:p w:rsidR="00E35632" w:rsidRDefault="00E35632">
      <w:pPr>
        <w:pStyle w:val="ConsPlusNormal"/>
        <w:jc w:val="center"/>
      </w:pPr>
      <w:r>
        <w:rPr>
          <w:b/>
        </w:rPr>
        <w:t>конструкции к вертикали</w:t>
      </w:r>
    </w:p>
    <w:p w:rsidR="00E35632" w:rsidRDefault="00E35632">
      <w:pPr>
        <w:pStyle w:val="ConsPlusNormal"/>
        <w:jc w:val="both"/>
      </w:pPr>
    </w:p>
    <w:p w:rsidR="00E35632" w:rsidRDefault="00E35632">
      <w:pPr>
        <w:pStyle w:val="ConsPlusNormal"/>
        <w:ind w:firstLine="540"/>
        <w:jc w:val="both"/>
      </w:pPr>
      <w:bookmarkStart w:id="248" w:name="P4655"/>
      <w:bookmarkEnd w:id="248"/>
      <w:r>
        <w:t xml:space="preserve">9.23 Величины бокового давления грунта допускается принимать равными </w:t>
      </w:r>
      <w:r>
        <w:rPr>
          <w:noProof/>
          <w:position w:val="-10"/>
        </w:rPr>
        <w:drawing>
          <wp:inline distT="0" distB="0" distL="0" distR="0">
            <wp:extent cx="521970" cy="267970"/>
            <wp:effectExtent l="0" t="0" r="0" b="0"/>
            <wp:docPr id="60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21970" cy="267970"/>
                    </a:xfrm>
                    <a:prstGeom prst="rect">
                      <a:avLst/>
                    </a:prstGeom>
                    <a:noFill/>
                    <a:ln>
                      <a:noFill/>
                    </a:ln>
                  </pic:spPr>
                </pic:pic>
              </a:graphicData>
            </a:graphic>
          </wp:inline>
        </w:drawing>
      </w:r>
      <w:r>
        <w:t>, если величина горизонтального перемещения конструкции в направлении на грунт превышает 0,01</w:t>
      </w:r>
      <w:r>
        <w:rPr>
          <w:i/>
        </w:rPr>
        <w:t>h</w:t>
      </w:r>
      <w:r>
        <w:t xml:space="preserve"> для влажных грунтов и 0,02</w:t>
      </w:r>
      <w:r>
        <w:rPr>
          <w:i/>
        </w:rPr>
        <w:t>h</w:t>
      </w:r>
      <w:r>
        <w:t xml:space="preserve"> для водонасыщенных грунтов.</w:t>
      </w:r>
    </w:p>
    <w:p w:rsidR="00E35632" w:rsidRDefault="00E35632">
      <w:pPr>
        <w:pStyle w:val="ConsPlusNormal"/>
        <w:spacing w:before="220"/>
        <w:ind w:firstLine="540"/>
        <w:jc w:val="both"/>
      </w:pPr>
      <w:r>
        <w:t>Величину эффективного пассивного давления грунта на конструкцию, допускается вычислять по формулам:</w:t>
      </w:r>
    </w:p>
    <w:p w:rsidR="00E35632" w:rsidRDefault="00E35632">
      <w:pPr>
        <w:pStyle w:val="ConsPlusNormal"/>
        <w:spacing w:before="220"/>
        <w:ind w:firstLine="540"/>
        <w:jc w:val="both"/>
      </w:pPr>
      <w:r>
        <w:lastRenderedPageBreak/>
        <w:t xml:space="preserve">нормальная составляющая на глубине </w:t>
      </w:r>
      <w:r>
        <w:rPr>
          <w:i/>
        </w:rPr>
        <w:t>z</w:t>
      </w:r>
      <w:r>
        <w:t>:</w:t>
      </w:r>
    </w:p>
    <w:p w:rsidR="00E35632" w:rsidRDefault="00E35632">
      <w:pPr>
        <w:pStyle w:val="ConsPlusNormal"/>
        <w:jc w:val="both"/>
      </w:pPr>
    </w:p>
    <w:p w:rsidR="00E35632" w:rsidRDefault="00E35632">
      <w:pPr>
        <w:pStyle w:val="ConsPlusNormal"/>
        <w:jc w:val="center"/>
      </w:pPr>
      <w:r>
        <w:rPr>
          <w:noProof/>
          <w:position w:val="-13"/>
        </w:rPr>
        <w:drawing>
          <wp:inline distT="0" distB="0" distL="0" distR="0">
            <wp:extent cx="2109470" cy="310515"/>
            <wp:effectExtent l="0" t="0" r="0" b="0"/>
            <wp:docPr id="60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2109470" cy="310515"/>
                    </a:xfrm>
                    <a:prstGeom prst="rect">
                      <a:avLst/>
                    </a:prstGeom>
                    <a:noFill/>
                    <a:ln>
                      <a:noFill/>
                    </a:ln>
                  </pic:spPr>
                </pic:pic>
              </a:graphicData>
            </a:graphic>
          </wp:inline>
        </w:drawing>
      </w:r>
      <w:r>
        <w:t xml:space="preserve"> (9.9)</w:t>
      </w:r>
    </w:p>
    <w:p w:rsidR="00E35632" w:rsidRDefault="00E35632">
      <w:pPr>
        <w:pStyle w:val="ConsPlusNormal"/>
        <w:jc w:val="both"/>
      </w:pPr>
    </w:p>
    <w:p w:rsidR="00E35632" w:rsidRDefault="00E35632">
      <w:pPr>
        <w:pStyle w:val="ConsPlusNormal"/>
        <w:ind w:firstLine="540"/>
        <w:jc w:val="both"/>
      </w:pPr>
      <w:r>
        <w:t xml:space="preserve">где </w:t>
      </w:r>
      <w:r>
        <w:rPr>
          <w:i/>
        </w:rPr>
        <w:t>K</w:t>
      </w:r>
      <w:r>
        <w:rPr>
          <w:i/>
          <w:vertAlign w:val="subscript"/>
        </w:rPr>
        <w:t>p</w:t>
      </w:r>
      <w:r>
        <w:t xml:space="preserve"> - коэффициент пассивного давления;</w:t>
      </w:r>
    </w:p>
    <w:p w:rsidR="00E35632" w:rsidRDefault="00E35632">
      <w:pPr>
        <w:pStyle w:val="ConsPlusNormal"/>
        <w:spacing w:before="220"/>
        <w:ind w:firstLine="540"/>
        <w:jc w:val="both"/>
      </w:pPr>
      <w:r>
        <w:t xml:space="preserve">касательная составляющая на глубине </w:t>
      </w:r>
      <w:r>
        <w:rPr>
          <w:i/>
        </w:rPr>
        <w:t>z</w:t>
      </w:r>
      <w:r>
        <w:t xml:space="preserve"> (положительна при перемещении грунта вверх относительно конструкции):</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1311275" cy="267970"/>
            <wp:effectExtent l="0" t="0" r="0" b="0"/>
            <wp:docPr id="60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311275" cy="267970"/>
                    </a:xfrm>
                    <a:prstGeom prst="rect">
                      <a:avLst/>
                    </a:prstGeom>
                    <a:noFill/>
                    <a:ln>
                      <a:noFill/>
                    </a:ln>
                  </pic:spPr>
                </pic:pic>
              </a:graphicData>
            </a:graphic>
          </wp:inline>
        </w:drawing>
      </w:r>
      <w:r>
        <w:t xml:space="preserve"> (9.10)</w:t>
      </w:r>
    </w:p>
    <w:p w:rsidR="00E35632" w:rsidRDefault="00E35632">
      <w:pPr>
        <w:pStyle w:val="ConsPlusNormal"/>
        <w:jc w:val="both"/>
      </w:pPr>
    </w:p>
    <w:p w:rsidR="00E35632" w:rsidRDefault="00E35632">
      <w:pPr>
        <w:pStyle w:val="ConsPlusNormal"/>
        <w:ind w:firstLine="540"/>
        <w:jc w:val="both"/>
      </w:pPr>
      <w:r>
        <w:t xml:space="preserve">В случае негоризонтальной поверхности грунта и наклона граней конструкции к вертикали (см. </w:t>
      </w:r>
      <w:hyperlink w:anchor="P4650">
        <w:r>
          <w:rPr>
            <w:color w:val="0000FF"/>
          </w:rPr>
          <w:t>рисунок 9.2</w:t>
        </w:r>
      </w:hyperlink>
      <w:r>
        <w:t>, б) коэффициент пассивного давления грунта допускается вычислять по формуле</w:t>
      </w:r>
    </w:p>
    <w:p w:rsidR="00E35632" w:rsidRDefault="00E35632">
      <w:pPr>
        <w:pStyle w:val="ConsPlusNormal"/>
        <w:jc w:val="both"/>
      </w:pPr>
    </w:p>
    <w:p w:rsidR="00E35632" w:rsidRDefault="00E35632">
      <w:pPr>
        <w:pStyle w:val="ConsPlusNormal"/>
        <w:jc w:val="center"/>
      </w:pPr>
      <w:bookmarkStart w:id="249" w:name="P4668"/>
      <w:bookmarkEnd w:id="249"/>
      <w:r>
        <w:rPr>
          <w:noProof/>
          <w:position w:val="-53"/>
        </w:rPr>
        <w:drawing>
          <wp:inline distT="0" distB="0" distL="0" distR="0">
            <wp:extent cx="2933700" cy="812800"/>
            <wp:effectExtent l="0" t="0" r="0" b="0"/>
            <wp:docPr id="60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2933700" cy="812800"/>
                    </a:xfrm>
                    <a:prstGeom prst="rect">
                      <a:avLst/>
                    </a:prstGeom>
                    <a:noFill/>
                    <a:ln>
                      <a:noFill/>
                    </a:ln>
                  </pic:spPr>
                </pic:pic>
              </a:graphicData>
            </a:graphic>
          </wp:inline>
        </w:drawing>
      </w:r>
      <w:r>
        <w:t xml:space="preserve"> (9.11)</w:t>
      </w:r>
    </w:p>
    <w:p w:rsidR="00E35632" w:rsidRDefault="00E35632">
      <w:pPr>
        <w:pStyle w:val="ConsPlusNormal"/>
        <w:jc w:val="both"/>
      </w:pPr>
    </w:p>
    <w:p w:rsidR="00E35632" w:rsidRDefault="00E35632">
      <w:pPr>
        <w:pStyle w:val="ConsPlusNormal"/>
        <w:ind w:firstLine="540"/>
        <w:jc w:val="both"/>
      </w:pPr>
      <w:r>
        <w:t>При горизонтальной поверхности грунта, вертикальной абсолютно гладкой грани конструкции коэффициент пассивного давления грунта допускается вычислять по формуле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1453515" cy="267970"/>
            <wp:effectExtent l="0" t="0" r="0" b="0"/>
            <wp:docPr id="60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1453515" cy="267970"/>
                    </a:xfrm>
                    <a:prstGeom prst="rect">
                      <a:avLst/>
                    </a:prstGeom>
                    <a:noFill/>
                    <a:ln>
                      <a:noFill/>
                    </a:ln>
                  </pic:spPr>
                </pic:pic>
              </a:graphicData>
            </a:graphic>
          </wp:inline>
        </w:drawing>
      </w:r>
      <w:r>
        <w:t xml:space="preserve"> (9.12)</w:t>
      </w:r>
    </w:p>
    <w:p w:rsidR="00E35632" w:rsidRDefault="00E35632">
      <w:pPr>
        <w:pStyle w:val="ConsPlusNormal"/>
        <w:jc w:val="both"/>
      </w:pPr>
    </w:p>
    <w:p w:rsidR="00E35632" w:rsidRDefault="00E35632">
      <w:pPr>
        <w:pStyle w:val="ConsPlusNormal"/>
        <w:ind w:firstLine="540"/>
        <w:jc w:val="both"/>
      </w:pPr>
      <w:r>
        <w:t xml:space="preserve">Следует учитывать, что </w:t>
      </w:r>
      <w:hyperlink w:anchor="P4668">
        <w:r>
          <w:rPr>
            <w:color w:val="0000FF"/>
          </w:rPr>
          <w:t>формула (9.11)</w:t>
        </w:r>
      </w:hyperlink>
      <w:r>
        <w:t xml:space="preserve"> завышает величины пассивного давления для высоких значений угла внутреннего трения грунта. В связи с этим, при </w:t>
      </w:r>
      <w:r>
        <w:rPr>
          <w:noProof/>
          <w:position w:val="-4"/>
        </w:rPr>
        <w:drawing>
          <wp:inline distT="0" distB="0" distL="0" distR="0">
            <wp:extent cx="160020" cy="192405"/>
            <wp:effectExtent l="0" t="0" r="0" b="0"/>
            <wp:docPr id="60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r>
        <w:t xml:space="preserve">, превышающем 20°, в </w:t>
      </w:r>
      <w:hyperlink w:anchor="P4668">
        <w:r>
          <w:rPr>
            <w:color w:val="0000FF"/>
          </w:rPr>
          <w:t>формуле (9.11)</w:t>
        </w:r>
      </w:hyperlink>
      <w:r>
        <w:t xml:space="preserve"> во всех случаях следует принимать </w:t>
      </w:r>
      <w:r>
        <w:rPr>
          <w:noProof/>
          <w:position w:val="-3"/>
        </w:rPr>
        <w:drawing>
          <wp:inline distT="0" distB="0" distL="0" distR="0">
            <wp:extent cx="401320" cy="184150"/>
            <wp:effectExtent l="0" t="0" r="0" b="0"/>
            <wp:docPr id="60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401320" cy="18415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9.24 При необходимости учета других факторов, помимо указанных в </w:t>
      </w:r>
      <w:hyperlink w:anchor="P4583">
        <w:r>
          <w:rPr>
            <w:color w:val="0000FF"/>
          </w:rPr>
          <w:t>9.20</w:t>
        </w:r>
      </w:hyperlink>
      <w:r>
        <w:t xml:space="preserve"> - </w:t>
      </w:r>
      <w:hyperlink w:anchor="P4655">
        <w:r>
          <w:rPr>
            <w:color w:val="0000FF"/>
          </w:rPr>
          <w:t>9.23</w:t>
        </w:r>
      </w:hyperlink>
      <w:r>
        <w:t>, для определения величин активного и пассивного давления, а также при расчете промежуточных значений бокового давления грунта следует использовать численные методы.</w:t>
      </w:r>
    </w:p>
    <w:p w:rsidR="00E35632" w:rsidRDefault="00E35632">
      <w:pPr>
        <w:pStyle w:val="ConsPlusNormal"/>
        <w:spacing w:before="220"/>
        <w:ind w:firstLine="540"/>
        <w:jc w:val="both"/>
      </w:pPr>
      <w:r>
        <w:t xml:space="preserve">9.25 При вычислении эффективных величин бокового давления проницаемых грунтов на ограждения котлованов следует учитывать фильтрационные силы в том случае, если ограждение является несовершенной противофильтрационной завесой (ПФЗ) и в котловане выполняется строительное водопонижение (см. </w:t>
      </w:r>
      <w:hyperlink w:anchor="P4698">
        <w:r>
          <w:rPr>
            <w:color w:val="0000FF"/>
          </w:rPr>
          <w:t>рисунок 9.3</w:t>
        </w:r>
      </w:hyperlink>
      <w:r>
        <w:t>).</w:t>
      </w:r>
    </w:p>
    <w:p w:rsidR="00E35632" w:rsidRDefault="00E35632">
      <w:pPr>
        <w:pStyle w:val="ConsPlusNormal"/>
        <w:spacing w:before="220"/>
        <w:ind w:firstLine="540"/>
        <w:jc w:val="both"/>
      </w:pPr>
      <w:r>
        <w:t>Эффективные величины бокового давления водонасыщенных проницаемых грунтов в этом случае вычисляют по формуле</w:t>
      </w:r>
    </w:p>
    <w:p w:rsidR="00E35632" w:rsidRDefault="00E35632">
      <w:pPr>
        <w:pStyle w:val="ConsPlusNormal"/>
        <w:jc w:val="both"/>
      </w:pPr>
    </w:p>
    <w:p w:rsidR="00E35632" w:rsidRDefault="00E35632">
      <w:pPr>
        <w:pStyle w:val="ConsPlusNormal"/>
        <w:jc w:val="center"/>
      </w:pPr>
      <w:bookmarkStart w:id="250" w:name="P4679"/>
      <w:bookmarkEnd w:id="250"/>
      <w:r>
        <w:rPr>
          <w:noProof/>
          <w:position w:val="-8"/>
        </w:rPr>
        <w:drawing>
          <wp:inline distT="0" distB="0" distL="0" distR="0">
            <wp:extent cx="1718310" cy="251460"/>
            <wp:effectExtent l="0" t="0" r="0" b="0"/>
            <wp:docPr id="60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1718310" cy="251460"/>
                    </a:xfrm>
                    <a:prstGeom prst="rect">
                      <a:avLst/>
                    </a:prstGeom>
                    <a:noFill/>
                    <a:ln>
                      <a:noFill/>
                    </a:ln>
                  </pic:spPr>
                </pic:pic>
              </a:graphicData>
            </a:graphic>
          </wp:inline>
        </w:drawing>
      </w:r>
      <w:r>
        <w:t xml:space="preserve"> (9.13)</w:t>
      </w:r>
    </w:p>
    <w:p w:rsidR="00E35632" w:rsidRDefault="00E35632">
      <w:pPr>
        <w:pStyle w:val="ConsPlusNormal"/>
        <w:jc w:val="both"/>
      </w:pPr>
    </w:p>
    <w:p w:rsidR="00E35632" w:rsidRDefault="00E35632">
      <w:pPr>
        <w:pStyle w:val="ConsPlusNormal"/>
        <w:ind w:firstLine="540"/>
        <w:jc w:val="both"/>
      </w:pPr>
      <w:r>
        <w:t xml:space="preserve">где </w:t>
      </w:r>
      <w:r>
        <w:rPr>
          <w:i/>
        </w:rPr>
        <w:t>K</w:t>
      </w:r>
      <w:r>
        <w:t xml:space="preserve"> - коэффициент бокового давления грунта, может соответствовать активному, пассивному или промежуточному значению;</w:t>
      </w:r>
    </w:p>
    <w:p w:rsidR="00E35632" w:rsidRDefault="00E35632">
      <w:pPr>
        <w:pStyle w:val="ConsPlusNormal"/>
        <w:spacing w:before="220"/>
        <w:ind w:firstLine="540"/>
        <w:jc w:val="both"/>
      </w:pPr>
      <w:r>
        <w:rPr>
          <w:noProof/>
          <w:position w:val="-6"/>
        </w:rPr>
        <w:drawing>
          <wp:inline distT="0" distB="0" distL="0" distR="0">
            <wp:extent cx="192405" cy="226060"/>
            <wp:effectExtent l="0" t="0" r="0" b="0"/>
            <wp:docPr id="60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192405" cy="226060"/>
                    </a:xfrm>
                    <a:prstGeom prst="rect">
                      <a:avLst/>
                    </a:prstGeom>
                    <a:noFill/>
                    <a:ln>
                      <a:noFill/>
                    </a:ln>
                  </pic:spPr>
                </pic:pic>
              </a:graphicData>
            </a:graphic>
          </wp:inline>
        </w:drawing>
      </w:r>
      <w:r>
        <w:t xml:space="preserve"> - удельный вес грунта во взвешенном состоянии;</w:t>
      </w:r>
    </w:p>
    <w:p w:rsidR="00E35632" w:rsidRDefault="00E35632">
      <w:pPr>
        <w:pStyle w:val="ConsPlusNormal"/>
        <w:spacing w:before="220"/>
        <w:ind w:firstLine="540"/>
        <w:jc w:val="both"/>
      </w:pPr>
      <w:r>
        <w:rPr>
          <w:noProof/>
          <w:position w:val="-8"/>
        </w:rPr>
        <w:drawing>
          <wp:inline distT="0" distB="0" distL="0" distR="0">
            <wp:extent cx="209550" cy="251460"/>
            <wp:effectExtent l="0" t="0" r="0" b="0"/>
            <wp:docPr id="60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удельный вес воды;</w:t>
      </w:r>
    </w:p>
    <w:p w:rsidR="00E35632" w:rsidRDefault="00E35632">
      <w:pPr>
        <w:pStyle w:val="ConsPlusNormal"/>
        <w:spacing w:before="220"/>
        <w:ind w:firstLine="540"/>
        <w:jc w:val="both"/>
      </w:pPr>
      <w:r>
        <w:rPr>
          <w:i/>
        </w:rPr>
        <w:t>I</w:t>
      </w:r>
      <w:r>
        <w:t xml:space="preserve"> - градиент гидравлического напора на отрезке вертикали, равном 1 м, 1/м.</w:t>
      </w:r>
    </w:p>
    <w:p w:rsidR="00E35632" w:rsidRDefault="00E35632">
      <w:pPr>
        <w:pStyle w:val="ConsPlusNormal"/>
        <w:spacing w:before="220"/>
        <w:ind w:firstLine="540"/>
        <w:jc w:val="both"/>
      </w:pPr>
      <w:r>
        <w:lastRenderedPageBreak/>
        <w:t xml:space="preserve">Знак "+" в </w:t>
      </w:r>
      <w:hyperlink w:anchor="P4679">
        <w:r>
          <w:rPr>
            <w:color w:val="0000FF"/>
          </w:rPr>
          <w:t>формуле (9.13)</w:t>
        </w:r>
      </w:hyperlink>
      <w:r>
        <w:t xml:space="preserve"> соответствует области нисходящей фильтрации, знак "-" - области восходящей фильтрации.</w:t>
      </w:r>
    </w:p>
    <w:p w:rsidR="00E35632" w:rsidRDefault="00E35632">
      <w:pPr>
        <w:pStyle w:val="ConsPlusNormal"/>
        <w:spacing w:before="220"/>
        <w:ind w:firstLine="540"/>
        <w:jc w:val="both"/>
      </w:pPr>
      <w:r>
        <w:t xml:space="preserve">9.26 При выполнении расчетов оснований, сложенных водонасыщенными грунтами в нестабилизированном состоянии </w:t>
      </w:r>
      <w:hyperlink w:anchor="P1864">
        <w:r>
          <w:rPr>
            <w:color w:val="0000FF"/>
          </w:rPr>
          <w:t>(5.7.5)</w:t>
        </w:r>
      </w:hyperlink>
      <w:r>
        <w:t>, допускается определять величины бокового давления на ограждения котлованов и конструкции подземных частей сооружений, выраженные в полных напряжениях.</w:t>
      </w:r>
    </w:p>
    <w:p w:rsidR="00E35632" w:rsidRDefault="00E35632">
      <w:pPr>
        <w:pStyle w:val="ConsPlusNormal"/>
        <w:spacing w:before="220"/>
        <w:ind w:firstLine="540"/>
        <w:jc w:val="both"/>
      </w:pPr>
      <w:r>
        <w:t xml:space="preserve">В этом случае нормальную составляющую величины активного давления грунта на конструкцию на глубине </w:t>
      </w:r>
      <w:r>
        <w:rPr>
          <w:i/>
        </w:rPr>
        <w:t>z</w:t>
      </w:r>
      <w:r>
        <w:t xml:space="preserve"> допускается вычислять по формуле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2039620" cy="267970"/>
            <wp:effectExtent l="0" t="0" r="0" b="0"/>
            <wp:docPr id="6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2039620" cy="267970"/>
                    </a:xfrm>
                    <a:prstGeom prst="rect">
                      <a:avLst/>
                    </a:prstGeom>
                    <a:noFill/>
                    <a:ln>
                      <a:noFill/>
                    </a:ln>
                  </pic:spPr>
                </pic:pic>
              </a:graphicData>
            </a:graphic>
          </wp:inline>
        </w:drawing>
      </w:r>
      <w:r>
        <w:t xml:space="preserve"> (9.14)</w:t>
      </w:r>
    </w:p>
    <w:p w:rsidR="00E35632" w:rsidRDefault="00E35632">
      <w:pPr>
        <w:pStyle w:val="ConsPlusNormal"/>
        <w:jc w:val="both"/>
      </w:pPr>
    </w:p>
    <w:p w:rsidR="00E35632" w:rsidRDefault="00E35632">
      <w:pPr>
        <w:pStyle w:val="ConsPlusNormal"/>
        <w:ind w:firstLine="540"/>
        <w:jc w:val="both"/>
      </w:pPr>
      <w:r>
        <w:t xml:space="preserve">где </w:t>
      </w:r>
      <w:r>
        <w:rPr>
          <w:i/>
        </w:rPr>
        <w:t>c</w:t>
      </w:r>
      <w:r>
        <w:rPr>
          <w:i/>
          <w:vertAlign w:val="subscript"/>
        </w:rPr>
        <w:t>u</w:t>
      </w:r>
      <w:r>
        <w:t xml:space="preserve"> - сопротивление грунта недренированному сдвигу.</w:t>
      </w:r>
    </w:p>
    <w:p w:rsidR="00E35632" w:rsidRDefault="00E35632">
      <w:pPr>
        <w:pStyle w:val="ConsPlusNormal"/>
        <w:spacing w:before="220"/>
        <w:ind w:firstLine="540"/>
        <w:jc w:val="both"/>
      </w:pPr>
      <w:r>
        <w:t>Нормальную составляющую величины пассивного давления грунта допускается вычислять по формуле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2039620" cy="267970"/>
            <wp:effectExtent l="0" t="0" r="0" b="0"/>
            <wp:docPr id="6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2039620" cy="267970"/>
                    </a:xfrm>
                    <a:prstGeom prst="rect">
                      <a:avLst/>
                    </a:prstGeom>
                    <a:noFill/>
                    <a:ln>
                      <a:noFill/>
                    </a:ln>
                  </pic:spPr>
                </pic:pic>
              </a:graphicData>
            </a:graphic>
          </wp:inline>
        </w:drawing>
      </w:r>
      <w:r>
        <w:t xml:space="preserve"> (9.15)</w:t>
      </w:r>
    </w:p>
    <w:p w:rsidR="00E35632" w:rsidRDefault="00E35632">
      <w:pPr>
        <w:pStyle w:val="ConsPlusNormal"/>
        <w:jc w:val="both"/>
      </w:pPr>
    </w:p>
    <w:p w:rsidR="00E35632" w:rsidRDefault="00E35632">
      <w:pPr>
        <w:pStyle w:val="ConsPlusNormal"/>
        <w:jc w:val="center"/>
      </w:pPr>
      <w:r>
        <w:rPr>
          <w:noProof/>
          <w:position w:val="-205"/>
        </w:rPr>
        <w:drawing>
          <wp:inline distT="0" distB="0" distL="0" distR="0">
            <wp:extent cx="4918710" cy="2745740"/>
            <wp:effectExtent l="0" t="0" r="0" b="0"/>
            <wp:docPr id="6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4918710" cy="274574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bookmarkStart w:id="251" w:name="P4698"/>
      <w:bookmarkEnd w:id="251"/>
      <w:r>
        <w:rPr>
          <w:b/>
          <w:i/>
        </w:rPr>
        <w:t>Рисунок 9.3</w:t>
      </w:r>
      <w:r>
        <w:t xml:space="preserve"> </w:t>
      </w:r>
      <w:r>
        <w:rPr>
          <w:b/>
        </w:rPr>
        <w:t>- Фильтрация в котлован при несовершенной ПФЗ</w:t>
      </w:r>
    </w:p>
    <w:p w:rsidR="00E35632" w:rsidRDefault="00E35632">
      <w:pPr>
        <w:pStyle w:val="ConsPlusNormal"/>
        <w:jc w:val="both"/>
      </w:pPr>
    </w:p>
    <w:p w:rsidR="00E35632" w:rsidRDefault="00E35632">
      <w:pPr>
        <w:pStyle w:val="ConsPlusNormal"/>
        <w:ind w:firstLine="540"/>
        <w:jc w:val="both"/>
      </w:pPr>
      <w:bookmarkStart w:id="252" w:name="P4700"/>
      <w:bookmarkEnd w:id="252"/>
      <w:r>
        <w:t>9.27 При проектировании подземных частей сооружений геотехнических категорий 2 и 3, перекрывающих полностью или частично естественные фильтрационные потоки в грунтовом или скальном массиве, а также изменяющих условия и пути фильтрации подземных вод, следует выполнять прогноз изменений гидрогеологического режима площадки строительства.</w:t>
      </w:r>
    </w:p>
    <w:p w:rsidR="00E35632" w:rsidRDefault="00E35632">
      <w:pPr>
        <w:pStyle w:val="ConsPlusNormal"/>
        <w:spacing w:before="220"/>
        <w:ind w:firstLine="540"/>
        <w:jc w:val="both"/>
      </w:pPr>
      <w:r>
        <w:t>Следует учитывать возможность возникновения барражного эффекта, который проявляется в подъеме уровня подземных вод на пути фильтрационного потока перед преградой. При проектировании сооружений должна быть выполнена количественная оценка барражного эффекта, и при необходимости разработаны защитные мероприятия для проектируемого сооружения и окружающей застройки.</w:t>
      </w:r>
    </w:p>
    <w:p w:rsidR="00E35632" w:rsidRDefault="00E35632">
      <w:pPr>
        <w:pStyle w:val="ConsPlusNormal"/>
        <w:spacing w:before="220"/>
        <w:ind w:firstLine="540"/>
        <w:jc w:val="both"/>
      </w:pPr>
      <w:r>
        <w:t xml:space="preserve">Прогноз изменений гидрогеологического режима следует выполнять путем математического моделирования фильтрационных процессов численными или аналитическими методами. В качестве исходной информации для разработки геофильтрационной модели следует использовать </w:t>
      </w:r>
      <w:r>
        <w:lastRenderedPageBreak/>
        <w:t>данные инженерно-геологических изысканий о положении уровня подземных вод на территории, прилегающей к площадке строительства, гидравлических напорах в горизонтах, фильтрационной проницаемости грунтов. Для выполнения указанных исследований необходимо привлекать специализированные организации.</w:t>
      </w:r>
    </w:p>
    <w:p w:rsidR="00E35632" w:rsidRDefault="00E35632">
      <w:pPr>
        <w:pStyle w:val="ConsPlusNormal"/>
        <w:spacing w:before="220"/>
        <w:ind w:firstLine="540"/>
        <w:jc w:val="both"/>
      </w:pPr>
      <w:r>
        <w:t>9.28 При проектировании фундаментов и подземных частей сооружений, расположенных ниже пьезометрического уровня подземных вод, необходимо рассчитывать их давление и предусматривать мероприятия, предупреждающие их протечки в котлован, вспучивание дна котлована, всплытие сооружения и т.п.</w:t>
      </w:r>
    </w:p>
    <w:p w:rsidR="00E35632" w:rsidRDefault="00E35632">
      <w:pPr>
        <w:pStyle w:val="ConsPlusNormal"/>
        <w:spacing w:before="220"/>
        <w:ind w:firstLine="540"/>
        <w:jc w:val="both"/>
      </w:pPr>
      <w:r>
        <w:t>При заложении фундаментов, а также подземных частей сооружений ниже пьезометрического уровня подземных вод следует учитывать возможные случаи заглубления:</w:t>
      </w:r>
    </w:p>
    <w:p w:rsidR="00E35632" w:rsidRDefault="00E35632">
      <w:pPr>
        <w:pStyle w:val="ConsPlusNormal"/>
        <w:spacing w:before="220"/>
        <w:ind w:firstLine="540"/>
        <w:jc w:val="both"/>
      </w:pPr>
      <w:r>
        <w:t>- в водоупорный грунт, подстилаемый водоносным слоем с напорными водами, когда возможен прорыв подземных вод в котлован, выпор грунтов основания, подъем полов и т.п.; в этом случае следует предусматривать мероприятия, снижающие напор (например, откачку воды из скважин), или увеличение пригрузки на залегающий в основании грунт;</w:t>
      </w:r>
    </w:p>
    <w:p w:rsidR="00E35632" w:rsidRDefault="00E35632">
      <w:pPr>
        <w:pStyle w:val="ConsPlusNormal"/>
        <w:spacing w:before="220"/>
        <w:ind w:firstLine="540"/>
        <w:jc w:val="both"/>
      </w:pPr>
      <w:r>
        <w:t>- грунт водоносного слоя, когда возможно гидравлическое разрушение, сопровождаемое суффозионным выносом частиц грунта, размывы, коррозия и другие повреждения фундаментов; в этом случае кроме снижения градиента напора может предусматриваться также закрепление грунтов.</w:t>
      </w:r>
    </w:p>
    <w:p w:rsidR="00E35632" w:rsidRDefault="00E35632">
      <w:pPr>
        <w:pStyle w:val="ConsPlusNormal"/>
        <w:spacing w:before="220"/>
        <w:ind w:firstLine="540"/>
        <w:jc w:val="both"/>
      </w:pPr>
      <w:r>
        <w:t>9.29 Для исключения возможности прорыва напорными водами вышележащего водоупорного глинистого слоя грунта, подстилаемого слоем грунта с напорными водами, следует выполнять условие</w:t>
      </w:r>
    </w:p>
    <w:p w:rsidR="00E35632" w:rsidRDefault="00E35632">
      <w:pPr>
        <w:pStyle w:val="ConsPlusNormal"/>
        <w:jc w:val="both"/>
      </w:pPr>
    </w:p>
    <w:p w:rsidR="00E35632" w:rsidRDefault="00E35632">
      <w:pPr>
        <w:pStyle w:val="ConsPlusNormal"/>
        <w:jc w:val="center"/>
      </w:pPr>
      <w:bookmarkStart w:id="253" w:name="P4709"/>
      <w:bookmarkEnd w:id="253"/>
      <w:r>
        <w:rPr>
          <w:noProof/>
          <w:position w:val="-10"/>
        </w:rPr>
        <w:drawing>
          <wp:inline distT="0" distB="0" distL="0" distR="0">
            <wp:extent cx="1047750" cy="267970"/>
            <wp:effectExtent l="0" t="0" r="0" b="0"/>
            <wp:docPr id="6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1047750" cy="267970"/>
                    </a:xfrm>
                    <a:prstGeom prst="rect">
                      <a:avLst/>
                    </a:prstGeom>
                    <a:noFill/>
                    <a:ln>
                      <a:noFill/>
                    </a:ln>
                  </pic:spPr>
                </pic:pic>
              </a:graphicData>
            </a:graphic>
          </wp:inline>
        </w:drawing>
      </w:r>
      <w:r>
        <w:t xml:space="preserve"> (9.16)</w:t>
      </w:r>
    </w:p>
    <w:p w:rsidR="00E35632" w:rsidRDefault="00E35632">
      <w:pPr>
        <w:pStyle w:val="ConsPlusNormal"/>
        <w:jc w:val="both"/>
      </w:pPr>
    </w:p>
    <w:p w:rsidR="00E35632" w:rsidRDefault="00E35632">
      <w:pPr>
        <w:pStyle w:val="ConsPlusNormal"/>
        <w:ind w:firstLine="540"/>
        <w:jc w:val="both"/>
      </w:pPr>
      <w:r>
        <w:t xml:space="preserve">где </w:t>
      </w:r>
      <w:r>
        <w:rPr>
          <w:noProof/>
          <w:position w:val="-10"/>
        </w:rPr>
        <w:drawing>
          <wp:inline distT="0" distB="0" distL="0" distR="0">
            <wp:extent cx="209550" cy="267970"/>
            <wp:effectExtent l="0" t="0" r="0" b="0"/>
            <wp:docPr id="6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209550" cy="267970"/>
                    </a:xfrm>
                    <a:prstGeom prst="rect">
                      <a:avLst/>
                    </a:prstGeom>
                    <a:noFill/>
                    <a:ln>
                      <a:noFill/>
                    </a:ln>
                  </pic:spPr>
                </pic:pic>
              </a:graphicData>
            </a:graphic>
          </wp:inline>
        </w:drawing>
      </w:r>
      <w:r>
        <w:t xml:space="preserve"> - коэффициент надежности по нагрузке, равный 1,2;</w:t>
      </w:r>
    </w:p>
    <w:p w:rsidR="00E35632" w:rsidRDefault="00E35632">
      <w:pPr>
        <w:pStyle w:val="ConsPlusNormal"/>
        <w:spacing w:before="220"/>
        <w:ind w:firstLine="540"/>
        <w:jc w:val="both"/>
      </w:pPr>
      <w:r>
        <w:rPr>
          <w:noProof/>
          <w:position w:val="-8"/>
        </w:rPr>
        <w:drawing>
          <wp:inline distT="0" distB="0" distL="0" distR="0">
            <wp:extent cx="209550" cy="251460"/>
            <wp:effectExtent l="0" t="0" r="0" b="0"/>
            <wp:docPr id="6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удельный вес воды, кН/м</w:t>
      </w:r>
      <w:r>
        <w:rPr>
          <w:vertAlign w:val="superscript"/>
        </w:rPr>
        <w:t>3</w:t>
      </w:r>
      <w:r>
        <w:t>;</w:t>
      </w:r>
    </w:p>
    <w:p w:rsidR="00E35632" w:rsidRDefault="00E35632">
      <w:pPr>
        <w:pStyle w:val="ConsPlusNormal"/>
        <w:spacing w:before="220"/>
        <w:ind w:firstLine="540"/>
        <w:jc w:val="both"/>
      </w:pPr>
      <w:r>
        <w:rPr>
          <w:i/>
        </w:rPr>
        <w:t>H</w:t>
      </w:r>
      <w:r>
        <w:rPr>
          <w:vertAlign w:val="subscript"/>
        </w:rPr>
        <w:t>0</w:t>
      </w:r>
      <w:r>
        <w:t xml:space="preserve"> - расчетная высота напора воды, отсчитываемая от подошвы проверяемого водоупорного слоя до максимального уровня подземных вод, м;</w:t>
      </w:r>
    </w:p>
    <w:p w:rsidR="00E35632" w:rsidRDefault="00E35632">
      <w:pPr>
        <w:pStyle w:val="ConsPlusNormal"/>
        <w:spacing w:before="220"/>
        <w:ind w:firstLine="540"/>
        <w:jc w:val="both"/>
      </w:pPr>
      <w:r>
        <w:rPr>
          <w:noProof/>
          <w:position w:val="-8"/>
        </w:rPr>
        <w:drawing>
          <wp:inline distT="0" distB="0" distL="0" distR="0">
            <wp:extent cx="167640" cy="251460"/>
            <wp:effectExtent l="0" t="0" r="0" b="0"/>
            <wp:docPr id="6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 средневзвешенное расчетное значение удельного веса грунта проверяемого и вышележащих слоев, кН/м</w:t>
      </w:r>
      <w:r>
        <w:rPr>
          <w:vertAlign w:val="superscript"/>
        </w:rPr>
        <w:t>3</w:t>
      </w:r>
      <w:r>
        <w:t>;</w:t>
      </w:r>
    </w:p>
    <w:p w:rsidR="00E35632" w:rsidRDefault="00E35632">
      <w:pPr>
        <w:pStyle w:val="ConsPlusNormal"/>
        <w:spacing w:before="220"/>
        <w:ind w:firstLine="540"/>
        <w:jc w:val="both"/>
      </w:pPr>
      <w:r>
        <w:rPr>
          <w:i/>
        </w:rPr>
        <w:t>h</w:t>
      </w:r>
      <w:r>
        <w:rPr>
          <w:vertAlign w:val="subscript"/>
        </w:rPr>
        <w:t>0</w:t>
      </w:r>
      <w:r>
        <w:t xml:space="preserve"> - расстояние от дна котлована до подошвы проверяемого слоя грунта, м.</w:t>
      </w:r>
    </w:p>
    <w:p w:rsidR="00E35632" w:rsidRDefault="00E35632">
      <w:pPr>
        <w:pStyle w:val="ConsPlusNormal"/>
        <w:spacing w:before="220"/>
        <w:ind w:firstLine="540"/>
        <w:jc w:val="both"/>
      </w:pPr>
      <w:r>
        <w:t xml:space="preserve">Если условие </w:t>
      </w:r>
      <w:hyperlink w:anchor="P4709">
        <w:r>
          <w:rPr>
            <w:color w:val="0000FF"/>
          </w:rPr>
          <w:t>формулы (9.16)</w:t>
        </w:r>
      </w:hyperlink>
      <w:r>
        <w:t xml:space="preserve"> не удовлетворяется, необходимо предусмотреть в проекте искусственное понижение напора водоносного слоя (принудительная откачка или устройство самоизливающихся скважин). Искусственное снижение напора подземных вод должно быть предусмотрено на срок, в течение которого сооружение приобретет достаточный вес и прочность, обеспечивающие восприятие сил, создаваемых напором подземных вод, но не ранее окончания работ по устройству нулевого цикла и выполнению обратной засыпки грунта в пазухи котлована.</w:t>
      </w:r>
    </w:p>
    <w:p w:rsidR="00E35632" w:rsidRDefault="00E35632">
      <w:pPr>
        <w:pStyle w:val="ConsPlusNormal"/>
        <w:spacing w:before="220"/>
        <w:ind w:firstLine="540"/>
        <w:jc w:val="both"/>
      </w:pPr>
      <w:r>
        <w:t xml:space="preserve">9.30 Для исключения возможности гидравлического разрушения водонасыщенного грунта, сопровождаемого суффозией, при восходящей фильтрации в котловане (см. </w:t>
      </w:r>
      <w:hyperlink w:anchor="P4698">
        <w:r>
          <w:rPr>
            <w:color w:val="0000FF"/>
          </w:rPr>
          <w:t>рисунок 9.3</w:t>
        </w:r>
      </w:hyperlink>
      <w:r>
        <w:t>) следует выполнять условие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544830" cy="267970"/>
            <wp:effectExtent l="0" t="0" r="0" b="0"/>
            <wp:docPr id="6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544830" cy="267970"/>
                    </a:xfrm>
                    <a:prstGeom prst="rect">
                      <a:avLst/>
                    </a:prstGeom>
                    <a:noFill/>
                    <a:ln>
                      <a:noFill/>
                    </a:ln>
                  </pic:spPr>
                </pic:pic>
              </a:graphicData>
            </a:graphic>
          </wp:inline>
        </w:drawing>
      </w:r>
      <w:r>
        <w:t xml:space="preserve"> (9.17)</w:t>
      </w:r>
    </w:p>
    <w:p w:rsidR="00E35632" w:rsidRDefault="00E35632">
      <w:pPr>
        <w:pStyle w:val="ConsPlusNormal"/>
        <w:jc w:val="both"/>
      </w:pPr>
    </w:p>
    <w:p w:rsidR="00E35632" w:rsidRDefault="00E35632">
      <w:pPr>
        <w:pStyle w:val="ConsPlusNormal"/>
        <w:ind w:firstLine="540"/>
        <w:jc w:val="both"/>
      </w:pPr>
      <w:r>
        <w:t xml:space="preserve">где </w:t>
      </w:r>
      <w:r>
        <w:rPr>
          <w:noProof/>
          <w:position w:val="-10"/>
        </w:rPr>
        <w:drawing>
          <wp:inline distT="0" distB="0" distL="0" distR="0">
            <wp:extent cx="209550" cy="267970"/>
            <wp:effectExtent l="0" t="0" r="0" b="0"/>
            <wp:docPr id="6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209550" cy="267970"/>
                    </a:xfrm>
                    <a:prstGeom prst="rect">
                      <a:avLst/>
                    </a:prstGeom>
                    <a:noFill/>
                    <a:ln>
                      <a:noFill/>
                    </a:ln>
                  </pic:spPr>
                </pic:pic>
              </a:graphicData>
            </a:graphic>
          </wp:inline>
        </w:drawing>
      </w:r>
      <w:r>
        <w:t xml:space="preserve"> - коэффициент надежности по нагрузке, равный 1,2;</w:t>
      </w:r>
    </w:p>
    <w:p w:rsidR="00E35632" w:rsidRDefault="00E35632">
      <w:pPr>
        <w:pStyle w:val="ConsPlusNormal"/>
        <w:spacing w:before="220"/>
        <w:ind w:firstLine="540"/>
        <w:jc w:val="both"/>
      </w:pPr>
      <w:r>
        <w:rPr>
          <w:i/>
        </w:rPr>
        <w:t>I</w:t>
      </w:r>
      <w:r>
        <w:t xml:space="preserve"> - градиент гидравлического напора в восходящем фильтрационном потоке на выходе в котлован в точке A, расположенной вблизи ПФЗ.</w:t>
      </w:r>
    </w:p>
    <w:p w:rsidR="00E35632" w:rsidRDefault="00E35632">
      <w:pPr>
        <w:pStyle w:val="ConsPlusNormal"/>
        <w:spacing w:before="220"/>
        <w:ind w:firstLine="540"/>
        <w:jc w:val="both"/>
      </w:pPr>
      <w:r>
        <w:t>9.31 При размещении подземной части сооружения ниже уровня подземных вод в водонасыщенных грунтах должна быть обеспечена устойчивость сооружения против всплытия.</w:t>
      </w:r>
    </w:p>
    <w:p w:rsidR="00E35632" w:rsidRDefault="00E35632">
      <w:pPr>
        <w:pStyle w:val="ConsPlusNormal"/>
        <w:spacing w:before="220"/>
        <w:ind w:firstLine="540"/>
        <w:jc w:val="both"/>
      </w:pPr>
      <w:r>
        <w:t>Устойчивость против всплытия обеспечена, если выполняется следующее условие</w:t>
      </w:r>
    </w:p>
    <w:p w:rsidR="00E35632" w:rsidRDefault="00E35632">
      <w:pPr>
        <w:pStyle w:val="ConsPlusNormal"/>
        <w:jc w:val="both"/>
      </w:pPr>
    </w:p>
    <w:p w:rsidR="00E35632" w:rsidRDefault="00E35632">
      <w:pPr>
        <w:pStyle w:val="ConsPlusNormal"/>
        <w:jc w:val="center"/>
      </w:pPr>
      <w:bookmarkStart w:id="254" w:name="P4726"/>
      <w:bookmarkEnd w:id="254"/>
      <w:r>
        <w:rPr>
          <w:noProof/>
          <w:position w:val="-10"/>
        </w:rPr>
        <w:drawing>
          <wp:inline distT="0" distB="0" distL="0" distR="0">
            <wp:extent cx="3031490" cy="267970"/>
            <wp:effectExtent l="0" t="0" r="0" b="0"/>
            <wp:docPr id="6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3031490" cy="267970"/>
                    </a:xfrm>
                    <a:prstGeom prst="rect">
                      <a:avLst/>
                    </a:prstGeom>
                    <a:noFill/>
                    <a:ln>
                      <a:noFill/>
                    </a:ln>
                  </pic:spPr>
                </pic:pic>
              </a:graphicData>
            </a:graphic>
          </wp:inline>
        </w:drawing>
      </w:r>
      <w:r>
        <w:t xml:space="preserve"> (9.18)</w:t>
      </w:r>
    </w:p>
    <w:p w:rsidR="00E35632" w:rsidRDefault="00E35632">
      <w:pPr>
        <w:pStyle w:val="ConsPlusNormal"/>
        <w:jc w:val="both"/>
      </w:pPr>
    </w:p>
    <w:p w:rsidR="00E35632" w:rsidRDefault="00E35632">
      <w:pPr>
        <w:pStyle w:val="ConsPlusNormal"/>
        <w:ind w:firstLine="540"/>
        <w:jc w:val="both"/>
      </w:pPr>
      <w:r>
        <w:t xml:space="preserve">где </w:t>
      </w:r>
      <w:r>
        <w:rPr>
          <w:noProof/>
          <w:position w:val="-8"/>
        </w:rPr>
        <w:drawing>
          <wp:inline distT="0" distB="0" distL="0" distR="0">
            <wp:extent cx="209550" cy="251460"/>
            <wp:effectExtent l="0" t="0" r="0" b="0"/>
            <wp:docPr id="6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удельный вес воды, кН/м</w:t>
      </w:r>
      <w:r>
        <w:rPr>
          <w:vertAlign w:val="superscript"/>
        </w:rPr>
        <w:t>3</w:t>
      </w:r>
      <w:r>
        <w:t>;</w:t>
      </w:r>
    </w:p>
    <w:p w:rsidR="00E35632" w:rsidRDefault="00E35632">
      <w:pPr>
        <w:pStyle w:val="ConsPlusNormal"/>
        <w:spacing w:before="220"/>
        <w:ind w:firstLine="540"/>
        <w:jc w:val="both"/>
      </w:pPr>
      <w:r>
        <w:rPr>
          <w:i/>
        </w:rPr>
        <w:t>H</w:t>
      </w:r>
      <w:r>
        <w:rPr>
          <w:vertAlign w:val="subscript"/>
        </w:rPr>
        <w:t>0</w:t>
      </w:r>
      <w:r>
        <w:t xml:space="preserve"> - расчетная высота напора воды, отсчитываемая от подошвы подземной части сооружения до максимального уровня подземных вод, м;</w:t>
      </w:r>
    </w:p>
    <w:p w:rsidR="00E35632" w:rsidRDefault="00E35632">
      <w:pPr>
        <w:pStyle w:val="ConsPlusNormal"/>
        <w:spacing w:before="220"/>
        <w:ind w:firstLine="540"/>
        <w:jc w:val="both"/>
      </w:pPr>
      <w:r>
        <w:rPr>
          <w:i/>
        </w:rPr>
        <w:t>A</w:t>
      </w:r>
      <w:r>
        <w:t xml:space="preserve"> - площадь подземной части сооружения, м</w:t>
      </w:r>
      <w:r>
        <w:rPr>
          <w:vertAlign w:val="superscript"/>
        </w:rPr>
        <w:t>2</w:t>
      </w:r>
      <w:r>
        <w:t>;</w:t>
      </w:r>
    </w:p>
    <w:p w:rsidR="00E35632" w:rsidRDefault="00E35632">
      <w:pPr>
        <w:pStyle w:val="ConsPlusNormal"/>
        <w:spacing w:before="220"/>
        <w:ind w:firstLine="540"/>
        <w:jc w:val="both"/>
      </w:pPr>
      <w:r>
        <w:rPr>
          <w:noProof/>
          <w:position w:val="-10"/>
        </w:rPr>
        <w:drawing>
          <wp:inline distT="0" distB="0" distL="0" distR="0">
            <wp:extent cx="513080" cy="267970"/>
            <wp:effectExtent l="0" t="0" r="0" b="0"/>
            <wp:docPr id="6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13080" cy="267970"/>
                    </a:xfrm>
                    <a:prstGeom prst="rect">
                      <a:avLst/>
                    </a:prstGeom>
                    <a:noFill/>
                    <a:ln>
                      <a:noFill/>
                    </a:ln>
                  </pic:spPr>
                </pic:pic>
              </a:graphicData>
            </a:graphic>
          </wp:inline>
        </w:drawing>
      </w:r>
      <w:r>
        <w:t xml:space="preserve"> - сумма нормативных значений постоянных вертикальных удерживающих нагрузок, включая собственный вес несущих конструкций сооружения, кН;</w:t>
      </w:r>
    </w:p>
    <w:p w:rsidR="00E35632" w:rsidRDefault="00E35632">
      <w:pPr>
        <w:pStyle w:val="ConsPlusNormal"/>
        <w:spacing w:before="220"/>
        <w:ind w:firstLine="540"/>
        <w:jc w:val="both"/>
      </w:pPr>
      <w:r>
        <w:rPr>
          <w:noProof/>
          <w:position w:val="-10"/>
        </w:rPr>
        <w:drawing>
          <wp:inline distT="0" distB="0" distL="0" distR="0">
            <wp:extent cx="483870" cy="267970"/>
            <wp:effectExtent l="0" t="0" r="0" b="0"/>
            <wp:docPr id="6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483870" cy="267970"/>
                    </a:xfrm>
                    <a:prstGeom prst="rect">
                      <a:avLst/>
                    </a:prstGeom>
                    <a:noFill/>
                    <a:ln>
                      <a:noFill/>
                    </a:ln>
                  </pic:spPr>
                </pic:pic>
              </a:graphicData>
            </a:graphic>
          </wp:inline>
        </w:drawing>
      </w:r>
      <w:r>
        <w:t xml:space="preserve"> - сумма нормативных значений временных длительных удерживающих вертикальных нагрузок, включая вес полов и перегородок сооружения, грунта обратной засыпки над обрезами фундаментов и подземной частью сооружения, кН;</w:t>
      </w:r>
    </w:p>
    <w:p w:rsidR="00E35632" w:rsidRDefault="00E35632">
      <w:pPr>
        <w:pStyle w:val="ConsPlusNormal"/>
        <w:spacing w:before="220"/>
        <w:ind w:firstLine="540"/>
        <w:jc w:val="both"/>
      </w:pPr>
      <w:r>
        <w:rPr>
          <w:noProof/>
          <w:position w:val="-8"/>
        </w:rPr>
        <w:drawing>
          <wp:inline distT="0" distB="0" distL="0" distR="0">
            <wp:extent cx="419100" cy="251460"/>
            <wp:effectExtent l="0" t="0" r="0" b="0"/>
            <wp:docPr id="6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419100" cy="251460"/>
                    </a:xfrm>
                    <a:prstGeom prst="rect">
                      <a:avLst/>
                    </a:prstGeom>
                    <a:noFill/>
                    <a:ln>
                      <a:noFill/>
                    </a:ln>
                  </pic:spPr>
                </pic:pic>
              </a:graphicData>
            </a:graphic>
          </wp:inline>
        </w:drawing>
      </w:r>
      <w:r>
        <w:t xml:space="preserve"> - сумма нормативных значений удерживающих вертикальных составляющих сил сопротивления всплытию в основании, включая силы трения, сопротивления свай выдергиванию, натяжения анкеров и др., кН;</w:t>
      </w:r>
    </w:p>
    <w:p w:rsidR="00E35632" w:rsidRDefault="00E35632">
      <w:pPr>
        <w:pStyle w:val="ConsPlusNormal"/>
        <w:spacing w:before="220"/>
        <w:ind w:firstLine="540"/>
        <w:jc w:val="both"/>
      </w:pPr>
      <w:r>
        <w:rPr>
          <w:noProof/>
          <w:position w:val="-10"/>
        </w:rPr>
        <w:drawing>
          <wp:inline distT="0" distB="0" distL="0" distR="0">
            <wp:extent cx="636270" cy="267970"/>
            <wp:effectExtent l="0" t="0" r="0" b="0"/>
            <wp:docPr id="6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636270" cy="267970"/>
                    </a:xfrm>
                    <a:prstGeom prst="rect">
                      <a:avLst/>
                    </a:prstGeom>
                    <a:noFill/>
                    <a:ln>
                      <a:noFill/>
                    </a:ln>
                  </pic:spPr>
                </pic:pic>
              </a:graphicData>
            </a:graphic>
          </wp:inline>
        </w:drawing>
      </w:r>
      <w:r>
        <w:t xml:space="preserve">, </w:t>
      </w:r>
      <w:r>
        <w:rPr>
          <w:noProof/>
          <w:position w:val="-10"/>
        </w:rPr>
        <w:drawing>
          <wp:inline distT="0" distB="0" distL="0" distR="0">
            <wp:extent cx="740410" cy="267970"/>
            <wp:effectExtent l="0" t="0" r="0" b="0"/>
            <wp:docPr id="6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740410" cy="267970"/>
                    </a:xfrm>
                    <a:prstGeom prst="rect">
                      <a:avLst/>
                    </a:prstGeom>
                    <a:noFill/>
                    <a:ln>
                      <a:noFill/>
                    </a:ln>
                  </pic:spPr>
                </pic:pic>
              </a:graphicData>
            </a:graphic>
          </wp:inline>
        </w:drawing>
      </w:r>
      <w:r>
        <w:t xml:space="preserve">, </w:t>
      </w:r>
      <w:r>
        <w:rPr>
          <w:noProof/>
          <w:position w:val="-10"/>
        </w:rPr>
        <w:drawing>
          <wp:inline distT="0" distB="0" distL="0" distR="0">
            <wp:extent cx="740410" cy="267970"/>
            <wp:effectExtent l="0" t="0" r="0" b="0"/>
            <wp:docPr id="6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740410" cy="267970"/>
                    </a:xfrm>
                    <a:prstGeom prst="rect">
                      <a:avLst/>
                    </a:prstGeom>
                    <a:noFill/>
                    <a:ln>
                      <a:noFill/>
                    </a:ln>
                  </pic:spPr>
                </pic:pic>
              </a:graphicData>
            </a:graphic>
          </wp:inline>
        </w:drawing>
      </w:r>
      <w:r>
        <w:t xml:space="preserve"> - коэффициенты надежности по нагрузке.</w:t>
      </w:r>
    </w:p>
    <w:p w:rsidR="00E35632" w:rsidRDefault="00E35632">
      <w:pPr>
        <w:pStyle w:val="ConsPlusNormal"/>
        <w:spacing w:before="220"/>
        <w:ind w:firstLine="540"/>
        <w:jc w:val="both"/>
      </w:pPr>
      <w:r>
        <w:t xml:space="preserve">Если </w:t>
      </w:r>
      <w:hyperlink w:anchor="P4726">
        <w:r>
          <w:rPr>
            <w:color w:val="0000FF"/>
          </w:rPr>
          <w:t>условие (9.18)</w:t>
        </w:r>
      </w:hyperlink>
      <w:r>
        <w:t xml:space="preserve"> не удовлетворяется, то чтобы не допустить разрушение от всплытия сооружения, необходимо применять следующие мероприятия:</w:t>
      </w:r>
    </w:p>
    <w:p w:rsidR="00E35632" w:rsidRDefault="00E35632">
      <w:pPr>
        <w:pStyle w:val="ConsPlusNormal"/>
        <w:spacing w:before="220"/>
        <w:ind w:firstLine="540"/>
        <w:jc w:val="both"/>
      </w:pPr>
      <w:r>
        <w:t>- увеличение собственного веса сооружения или его пригрузка;</w:t>
      </w:r>
    </w:p>
    <w:p w:rsidR="00E35632" w:rsidRDefault="00E35632">
      <w:pPr>
        <w:pStyle w:val="ConsPlusNormal"/>
        <w:spacing w:before="220"/>
        <w:ind w:firstLine="540"/>
        <w:jc w:val="both"/>
      </w:pPr>
      <w:r>
        <w:t>- уменьшение поровых давлений под сооружением с помощью устройства дренажа;</w:t>
      </w:r>
    </w:p>
    <w:p w:rsidR="00E35632" w:rsidRDefault="00E35632">
      <w:pPr>
        <w:pStyle w:val="ConsPlusNormal"/>
        <w:spacing w:before="220"/>
        <w:ind w:firstLine="540"/>
        <w:jc w:val="both"/>
      </w:pPr>
      <w:r>
        <w:t>- закрепление сооружения в нижележащих слоях грунта с помощью анкеров или свай.</w:t>
      </w:r>
    </w:p>
    <w:p w:rsidR="00E35632" w:rsidRDefault="00E35632">
      <w:pPr>
        <w:pStyle w:val="ConsPlusNormal"/>
        <w:spacing w:before="220"/>
        <w:ind w:firstLine="540"/>
        <w:jc w:val="both"/>
      </w:pPr>
      <w:r>
        <w:t>9.32 Инъекционные преднапряженные грунтовые анкеры могут применяться для крепления ограждений котлованов или защиты сооружений от всплытия и устраиваться в любых грунтах, за исключением слабых глинистых, просадочных, набухающих, органоминеральных и органических.</w:t>
      </w:r>
    </w:p>
    <w:p w:rsidR="00E35632" w:rsidRDefault="00E35632">
      <w:pPr>
        <w:pStyle w:val="ConsPlusNormal"/>
        <w:spacing w:before="220"/>
        <w:ind w:firstLine="540"/>
        <w:jc w:val="both"/>
      </w:pPr>
      <w:r>
        <w:t>Проектирование анкеров должно основываться на результатах статических расчетов системы "конструкция - грунтовый массив", в которых должна быть определена расчетная осевая нагрузка на анкер с учетом требуемого числа ярусов анкеров, их расположения, углов наклона анкеров к горизонту и углов отклонения анкеров в плане от нормали к конструкции.</w:t>
      </w:r>
    </w:p>
    <w:p w:rsidR="00E35632" w:rsidRDefault="00E35632">
      <w:pPr>
        <w:pStyle w:val="ConsPlusNormal"/>
        <w:spacing w:before="220"/>
        <w:ind w:firstLine="540"/>
        <w:jc w:val="both"/>
      </w:pPr>
      <w:r>
        <w:t>При проектировании анкеров определяют:</w:t>
      </w:r>
    </w:p>
    <w:p w:rsidR="00E35632" w:rsidRDefault="00E35632">
      <w:pPr>
        <w:pStyle w:val="ConsPlusNormal"/>
        <w:spacing w:before="220"/>
        <w:ind w:firstLine="540"/>
        <w:jc w:val="both"/>
      </w:pPr>
      <w:r>
        <w:t>- число анкеров в ярусе и их шаг;</w:t>
      </w:r>
    </w:p>
    <w:p w:rsidR="00E35632" w:rsidRDefault="00E35632">
      <w:pPr>
        <w:pStyle w:val="ConsPlusNormal"/>
        <w:spacing w:before="220"/>
        <w:ind w:firstLine="540"/>
        <w:jc w:val="both"/>
      </w:pPr>
      <w:r>
        <w:t>- свободную длину анкерных тяг, обеспечивающую размещение заделки анкеров за пределами границы призмы обрушения;</w:t>
      </w:r>
    </w:p>
    <w:p w:rsidR="00E35632" w:rsidRDefault="00E35632">
      <w:pPr>
        <w:pStyle w:val="ConsPlusNormal"/>
        <w:spacing w:before="220"/>
        <w:ind w:firstLine="540"/>
        <w:jc w:val="both"/>
      </w:pPr>
      <w:r>
        <w:t>- предварительную длину заделки анкеров, требуемую для восприятия проектных усилий;</w:t>
      </w:r>
    </w:p>
    <w:p w:rsidR="00E35632" w:rsidRDefault="00E35632">
      <w:pPr>
        <w:pStyle w:val="ConsPlusNormal"/>
        <w:spacing w:before="220"/>
        <w:ind w:firstLine="540"/>
        <w:jc w:val="both"/>
      </w:pPr>
      <w:r>
        <w:t>- места для устройства опытных анкеров; число пробных испытаний анкеров и порядок их выполнения.</w:t>
      </w:r>
    </w:p>
    <w:p w:rsidR="00E35632" w:rsidRDefault="00E35632">
      <w:pPr>
        <w:pStyle w:val="ConsPlusNormal"/>
        <w:spacing w:before="220"/>
        <w:ind w:firstLine="540"/>
        <w:jc w:val="both"/>
      </w:pPr>
      <w:r>
        <w:t>Несущая способность преднапряженных анкеров по грунту и материалу должна предварительно определяться расчетом и проверяться испытаниями.</w:t>
      </w:r>
    </w:p>
    <w:p w:rsidR="00E35632" w:rsidRDefault="00E35632">
      <w:pPr>
        <w:pStyle w:val="ConsPlusNormal"/>
        <w:spacing w:before="220"/>
        <w:ind w:firstLine="540"/>
        <w:jc w:val="both"/>
      </w:pPr>
      <w:r>
        <w:t>При проектировании анкеров следует оценить и учесть влияние их устройства и натяжения на осадки фундаментов зданий и сооружений, в том числе подземных инженерных коммуникаций, расположенных в зоне влияния строительства.</w:t>
      </w:r>
    </w:p>
    <w:p w:rsidR="00E35632" w:rsidRDefault="00E35632">
      <w:pPr>
        <w:pStyle w:val="ConsPlusNormal"/>
        <w:spacing w:before="220"/>
        <w:ind w:firstLine="540"/>
        <w:jc w:val="both"/>
      </w:pPr>
      <w:r>
        <w:t>Применение для изготовления анкерных тяг и каркасов арматурных изделий (либо других изделий металлопроката) бывших в употреблении (эксплуатации) не допускается.</w:t>
      </w:r>
    </w:p>
    <w:p w:rsidR="00E35632" w:rsidRDefault="00E35632">
      <w:pPr>
        <w:pStyle w:val="ConsPlusNormal"/>
        <w:spacing w:before="220"/>
        <w:ind w:firstLine="540"/>
        <w:jc w:val="both"/>
      </w:pPr>
      <w:r>
        <w:t xml:space="preserve">9.32а При проектировании постоянных грунтовых анкеров в сейсмических районах несущую способность анкера следует проверять с учетом сейсмических воздействий. Расчетная сейсмичность принимается с учетом ответственности сооружения и срока службы анкера. Несущая способность анкера в условиях расчетной сейсмичности определяется с учетом указаний </w:t>
      </w:r>
      <w:hyperlink r:id="rId919">
        <w:r>
          <w:rPr>
            <w:color w:val="0000FF"/>
          </w:rPr>
          <w:t>пункта 12.3</w:t>
        </w:r>
      </w:hyperlink>
      <w:r>
        <w:t xml:space="preserve"> СП 24.13330.2011.</w:t>
      </w:r>
    </w:p>
    <w:p w:rsidR="00E35632" w:rsidRDefault="00E35632">
      <w:pPr>
        <w:pStyle w:val="ConsPlusNormal"/>
        <w:jc w:val="both"/>
      </w:pPr>
      <w:r>
        <w:t xml:space="preserve">(п. 9.32а введен </w:t>
      </w:r>
      <w:hyperlink r:id="rId920">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bookmarkStart w:id="255" w:name="P4751"/>
      <w:bookmarkEnd w:id="255"/>
      <w:r>
        <w:t>9.33 При проектировании оснований, фундаментов и подземных частей вновь возводимых или реконструируемых сооружений, в том числе подземных сооружений, возводимых закрытым способом, располагаемых на застроенной территории, необходимо выполнять геотехнический прогноз (оценку) влияния строительства на изменение напряженно-деформированного состояния окружающего грунтового массива, в т.ч. оснований сооружений окружающей застройки. Геотехнический прогноз влияния должен учитывать также дополнительные технологические осадки фундаментов сооружений окружающей застройки от устройства "стены в грунте" траншейного типа, грунтовых инъекционных анкеров, буроинъекционных свай.</w:t>
      </w:r>
    </w:p>
    <w:p w:rsidR="00E35632" w:rsidRDefault="00E35632">
      <w:pPr>
        <w:pStyle w:val="ConsPlusNormal"/>
        <w:jc w:val="both"/>
      </w:pPr>
      <w:r>
        <w:t xml:space="preserve">(в ред. </w:t>
      </w:r>
      <w:hyperlink r:id="rId921">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1 Геотехнический прогноз влияния также необходимо выполнять при проектировании подземных инженерных и транспортных коммуникаций, которые размещаются на застроенных территориях.</w:t>
      </w:r>
    </w:p>
    <w:p w:rsidR="00E35632" w:rsidRDefault="00E35632">
      <w:pPr>
        <w:pStyle w:val="ConsPlusNormal"/>
        <w:spacing w:before="220"/>
        <w:ind w:firstLine="540"/>
        <w:jc w:val="both"/>
      </w:pPr>
      <w:r>
        <w:t xml:space="preserve">2 Требования </w:t>
      </w:r>
      <w:hyperlink w:anchor="P4751">
        <w:r>
          <w:rPr>
            <w:color w:val="0000FF"/>
          </w:rPr>
          <w:t>9.33</w:t>
        </w:r>
      </w:hyperlink>
      <w:r>
        <w:t xml:space="preserve"> - </w:t>
      </w:r>
      <w:hyperlink w:anchor="P4821">
        <w:r>
          <w:rPr>
            <w:color w:val="0000FF"/>
          </w:rPr>
          <w:t>9.39</w:t>
        </w:r>
      </w:hyperlink>
      <w:r>
        <w:t xml:space="preserve"> распространяются на проектирование подземных инженерных и транспортных коммуникаций так же как на строящиеся или реконструируемые сооружения.</w:t>
      </w:r>
    </w:p>
    <w:p w:rsidR="00E35632" w:rsidRDefault="00E35632">
      <w:pPr>
        <w:pStyle w:val="ConsPlusNormal"/>
        <w:jc w:val="both"/>
      </w:pPr>
    </w:p>
    <w:p w:rsidR="00E35632" w:rsidRDefault="00E35632">
      <w:pPr>
        <w:pStyle w:val="ConsPlusNormal"/>
        <w:ind w:firstLine="540"/>
        <w:jc w:val="both"/>
      </w:pPr>
      <w:r>
        <w:t xml:space="preserve">Геотехнический прогноз следует выполнять с учетом горизонтальных перемещений ограждающей конструкции котлована и разгрузки основания от выемки грунта в котловане, нагрузок от вновь возводимого сооружения или дополнительных нагрузок от реконструируемого сооружения, изменения уровня подземных вод, технологических и динамических воздействий строительных работ и других факторов с учетом последовательности устройства подземной части сооружения, используя аналитические и численные методы расчета. Для расчета дополнительных деформаций оснований и фундаментов сооружений окружающей застройки, вызванных вертикальными нагрузками от вновь возводимого сооружения, допускается использовать расчетную схему в виде линейно-деформируемого полупространства (см. </w:t>
      </w:r>
      <w:hyperlink w:anchor="P1365">
        <w:r>
          <w:rPr>
            <w:color w:val="0000FF"/>
          </w:rPr>
          <w:t>5.6.37</w:t>
        </w:r>
      </w:hyperlink>
      <w:r>
        <w:t>).</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1 Величину дополнительной технологической осадки в процессе устройства "стены в грунте" для окружающей застройки (при расстоянии от котлована до сооружений окружающей застройки менее 5 м) следует определять по расчету методом численного моделирования, учитывающим следующие параметры: расстояние между фундаментом здания и "стеной в грунте", длину захватки "стены в грунте", давление по подошве фундамента и плотность бентонитового раствора. Величину технологической осадки также допускается определять методом аналогий, на основании результатов геотехнического мониторинга, выполненного на аналогичных площадках со схожими грунтовыми условиями.</w:t>
      </w:r>
    </w:p>
    <w:p w:rsidR="00E35632" w:rsidRDefault="00E35632">
      <w:pPr>
        <w:pStyle w:val="ConsPlusNormal"/>
        <w:spacing w:before="220"/>
        <w:ind w:firstLine="540"/>
        <w:jc w:val="both"/>
      </w:pPr>
      <w:r>
        <w:t>2 Величину дополнительных технологических осадок от устройства грунтовых анкеров следует определять по расчету методом численного моделирования в плоской или трехмерной постановке, рассматривая скважины для устройства анкеров как выемки круглого сечения с заданным процентом перебора грунта. Величину перебора грунта допускается назначать методом аналогий, на основании результатов геотехнического мониторинга и обратных расчетов на аналогичных площадках со схожими грунтовыми условиями, либо по результатам выполнения работ на опытной площадке.</w:t>
      </w:r>
    </w:p>
    <w:p w:rsidR="00E35632" w:rsidRDefault="00E35632">
      <w:pPr>
        <w:pStyle w:val="ConsPlusNormal"/>
        <w:spacing w:before="220"/>
        <w:ind w:firstLine="540"/>
        <w:jc w:val="both"/>
      </w:pPr>
      <w:r>
        <w:t>3 Величину дополнительной технологической осадки окружающей застройки, вызванную другими технологическими процессами, следует определять на основании сопоставимого геотехнического опыта.</w:t>
      </w:r>
    </w:p>
    <w:p w:rsidR="00E35632" w:rsidRDefault="00E35632">
      <w:pPr>
        <w:pStyle w:val="ConsPlusNormal"/>
        <w:jc w:val="both"/>
      </w:pPr>
    </w:p>
    <w:p w:rsidR="00E35632" w:rsidRDefault="00E35632">
      <w:pPr>
        <w:pStyle w:val="ConsPlusNormal"/>
        <w:ind w:firstLine="540"/>
        <w:jc w:val="both"/>
      </w:pPr>
      <w:bookmarkStart w:id="256" w:name="P4763"/>
      <w:bookmarkEnd w:id="256"/>
      <w:r>
        <w:t>9.34 В результате геотехнического прогноза должны быть определены:</w:t>
      </w:r>
    </w:p>
    <w:p w:rsidR="00E35632" w:rsidRDefault="00E35632">
      <w:pPr>
        <w:pStyle w:val="ConsPlusNormal"/>
        <w:spacing w:before="220"/>
        <w:ind w:firstLine="540"/>
        <w:jc w:val="both"/>
      </w:pPr>
      <w:r>
        <w:t xml:space="preserve">- характерные размеры или радиус зоны влияния </w:t>
      </w:r>
      <w:r>
        <w:rPr>
          <w:i/>
        </w:rPr>
        <w:t>r</w:t>
      </w:r>
      <w:r>
        <w:rPr>
          <w:vertAlign w:val="subscript"/>
        </w:rPr>
        <w:t>зв</w:t>
      </w:r>
      <w:r>
        <w:t>, м;</w:t>
      </w:r>
    </w:p>
    <w:p w:rsidR="00E35632" w:rsidRDefault="00E35632">
      <w:pPr>
        <w:pStyle w:val="ConsPlusNormal"/>
        <w:spacing w:before="220"/>
        <w:ind w:firstLine="540"/>
        <w:jc w:val="both"/>
      </w:pPr>
      <w:r>
        <w:t>- величины дополнительных деформаций оснований и фундаментов сооружений окружающей застройки и подземных коммуникаций;</w:t>
      </w:r>
    </w:p>
    <w:p w:rsidR="00E35632" w:rsidRDefault="00E35632">
      <w:pPr>
        <w:pStyle w:val="ConsPlusNormal"/>
        <w:spacing w:before="220"/>
        <w:ind w:firstLine="540"/>
        <w:jc w:val="both"/>
      </w:pPr>
      <w:r>
        <w:t>- необходимость и состав защитных мероприятий для обеспечения сохранности окружающей застройки от влияния строительства.</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1 Для линейных сооружений следует определять характерный размер зоны влияния строительства, а для компактных - радиус.</w:t>
      </w:r>
    </w:p>
    <w:p w:rsidR="00E35632" w:rsidRDefault="00E35632">
      <w:pPr>
        <w:pStyle w:val="ConsPlusNormal"/>
        <w:spacing w:before="220"/>
        <w:ind w:firstLine="540"/>
        <w:jc w:val="both"/>
      </w:pPr>
      <w:r>
        <w:t xml:space="preserve">2 Радиус зоны влияния нового строительства или реконструкции допускается ограничивать расстоянием, при котором расчетное значение дополнительной осадки грунтового массива или основания существующего сооружения окружающей застройки не превышает 1 мм, за исключением расположения на границе зоны влияния сооружений окружающей застройки, категория технического состояния которых аварийная - IV </w:t>
      </w:r>
      <w:hyperlink w:anchor="P7024">
        <w:r>
          <w:rPr>
            <w:color w:val="0000FF"/>
          </w:rPr>
          <w:t>(приложение Д)</w:t>
        </w:r>
      </w:hyperlink>
      <w:r>
        <w:t>.</w:t>
      </w:r>
    </w:p>
    <w:p w:rsidR="00E35632" w:rsidRDefault="00E35632">
      <w:pPr>
        <w:pStyle w:val="ConsPlusNormal"/>
        <w:spacing w:before="220"/>
        <w:ind w:firstLine="540"/>
        <w:jc w:val="both"/>
      </w:pPr>
      <w:r>
        <w:t>3 В пределах зоны влияния следует выделять размеры зоны интенсивных деформаций в массиве грунта, в которой перемещения в массиве превышают 10 мм. Допустимо принимать плановые размеры зоны интенсивных деформаций, соответствующим размерам области, в которой осадки земной поверхности, вызванные строительством, превышают 10 мм.</w:t>
      </w:r>
    </w:p>
    <w:p w:rsidR="00E35632" w:rsidRDefault="00E35632">
      <w:pPr>
        <w:pStyle w:val="ConsPlusNormal"/>
        <w:spacing w:before="220"/>
        <w:ind w:firstLine="540"/>
        <w:jc w:val="both"/>
      </w:pPr>
      <w:r>
        <w:t xml:space="preserve">4 При определении размеров зоны влияния нового строительства и реконструкции на территориях, осложненных распространением специфических грунтов, необходимо учитывать местный опыт проектирования, условия строительства и особенности эксплуатации сооружений, а также требования </w:t>
      </w:r>
      <w:hyperlink w:anchor="P2321">
        <w:r>
          <w:rPr>
            <w:color w:val="0000FF"/>
          </w:rPr>
          <w:t>раздела 6</w:t>
        </w:r>
      </w:hyperlink>
      <w:r>
        <w:t>.</w:t>
      </w:r>
    </w:p>
    <w:p w:rsidR="00E35632" w:rsidRDefault="00E35632">
      <w:pPr>
        <w:pStyle w:val="ConsPlusNormal"/>
        <w:spacing w:before="220"/>
        <w:ind w:firstLine="540"/>
        <w:jc w:val="both"/>
      </w:pPr>
      <w:r>
        <w:t>5 Радиус или размер зоны влияния по результатам геотехнического прогноза может изменяться вдоль трассы ограждающей конструкции его котлована в зависимости от различных факторов, в т.ч. глубины котлована, инженерно-геологических условий и пр.</w:t>
      </w:r>
    </w:p>
    <w:p w:rsidR="00E35632" w:rsidRDefault="00E35632">
      <w:pPr>
        <w:pStyle w:val="ConsPlusNormal"/>
        <w:spacing w:before="220"/>
        <w:ind w:firstLine="540"/>
        <w:jc w:val="both"/>
      </w:pPr>
      <w:r>
        <w:t xml:space="preserve">6 Радиус или размер зоны влияния </w:t>
      </w:r>
      <w:r>
        <w:rPr>
          <w:i/>
        </w:rPr>
        <w:t>r</w:t>
      </w:r>
      <w:r>
        <w:rPr>
          <w:vertAlign w:val="subscript"/>
        </w:rPr>
        <w:t>зв</w:t>
      </w:r>
      <w:r>
        <w:t xml:space="preserve"> измеряется от границ проектируемого котлована.</w:t>
      </w:r>
    </w:p>
    <w:p w:rsidR="00E35632" w:rsidRDefault="00E35632">
      <w:pPr>
        <w:pStyle w:val="ConsPlusNormal"/>
        <w:jc w:val="both"/>
      </w:pPr>
    </w:p>
    <w:p w:rsidR="00E35632" w:rsidRDefault="00E35632">
      <w:pPr>
        <w:pStyle w:val="ConsPlusNormal"/>
        <w:ind w:firstLine="540"/>
        <w:jc w:val="both"/>
      </w:pPr>
      <w:bookmarkStart w:id="257" w:name="P4775"/>
      <w:bookmarkEnd w:id="257"/>
      <w:r>
        <w:t xml:space="preserve">9.35 Геотехнический прогноз необходимо выполнять для сооружений окружающей застройки, расположенных в пределах предварительно назначаемой зоны влияния строящегося или реконструируемого сооружения, которая определяется согласно требованиям </w:t>
      </w:r>
      <w:hyperlink w:anchor="P4786">
        <w:r>
          <w:rPr>
            <w:color w:val="0000FF"/>
          </w:rPr>
          <w:t>9.36</w:t>
        </w:r>
      </w:hyperlink>
      <w:r>
        <w:t xml:space="preserve"> или на основании предварительного моделирования влияния строительства подземного сооружения с учетом нагрузок, передаваемых на основание зданиями и сооружениями окружающей застройки. Жесткость конструкций окружающей застройки в предварительных расчетах допускается не учитывать.</w:t>
      </w:r>
    </w:p>
    <w:p w:rsidR="00E35632" w:rsidRDefault="00E35632">
      <w:pPr>
        <w:pStyle w:val="ConsPlusNormal"/>
        <w:spacing w:before="220"/>
        <w:ind w:firstLine="540"/>
        <w:jc w:val="both"/>
      </w:pPr>
      <w:r>
        <w:t xml:space="preserve">Перед выполнением геотехнического прогноза необходимо провести техническое обследование состояния конструкций сооружений окружающей застройки, расположенных в предварительно назначаемой зоне влияния нового строительства или реконструкции (см. </w:t>
      </w:r>
      <w:hyperlink w:anchor="P4786">
        <w:r>
          <w:rPr>
            <w:color w:val="0000FF"/>
          </w:rPr>
          <w:t>9.36</w:t>
        </w:r>
      </w:hyperlink>
      <w:r>
        <w:t xml:space="preserve">). По результатам технического обследования следует определить категорию технического состояния сооружений окружающей застройки согласно </w:t>
      </w:r>
      <w:hyperlink w:anchor="P7024">
        <w:r>
          <w:rPr>
            <w:color w:val="0000FF"/>
          </w:rPr>
          <w:t>приложению Д</w:t>
        </w:r>
      </w:hyperlink>
      <w:r>
        <w:t>.</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 xml:space="preserve">1 Если по результатам геотехнического прогноза (см. </w:t>
      </w:r>
      <w:hyperlink w:anchor="P4763">
        <w:r>
          <w:rPr>
            <w:color w:val="0000FF"/>
          </w:rPr>
          <w:t>9.34</w:t>
        </w:r>
      </w:hyperlink>
      <w:r>
        <w:t xml:space="preserve">) в зоне влияния нового строительства или реконструкции располагаются существующие сооружения окружающей застройки, не учтенные при предварительном назначении зоны влияния согласно требованиям </w:t>
      </w:r>
      <w:hyperlink w:anchor="P4775">
        <w:r>
          <w:rPr>
            <w:color w:val="0000FF"/>
          </w:rPr>
          <w:t>9.35</w:t>
        </w:r>
      </w:hyperlink>
      <w:r>
        <w:t xml:space="preserve">, </w:t>
      </w:r>
      <w:hyperlink w:anchor="P4786">
        <w:r>
          <w:rPr>
            <w:color w:val="0000FF"/>
          </w:rPr>
          <w:t>9.36</w:t>
        </w:r>
      </w:hyperlink>
      <w:r>
        <w:t xml:space="preserve">, то для этих сооружений необходимо также провести техническое обследование, установить категорию технического состояния </w:t>
      </w:r>
      <w:hyperlink w:anchor="P7024">
        <w:r>
          <w:rPr>
            <w:color w:val="0000FF"/>
          </w:rPr>
          <w:t>(приложение Д)</w:t>
        </w:r>
      </w:hyperlink>
      <w:r>
        <w:t xml:space="preserve"> и включить в перечень сооружений, для которых выполняется геотехнический прогноз.</w:t>
      </w:r>
    </w:p>
    <w:p w:rsidR="00E35632" w:rsidRDefault="00E35632">
      <w:pPr>
        <w:pStyle w:val="ConsPlusNormal"/>
        <w:spacing w:before="220"/>
        <w:ind w:firstLine="540"/>
        <w:jc w:val="both"/>
      </w:pPr>
      <w:r>
        <w:t xml:space="preserve">2 При обследовании зданий, находящихся в зоне интенсивных деформаций (см. </w:t>
      </w:r>
      <w:hyperlink w:anchor="P4763">
        <w:r>
          <w:rPr>
            <w:color w:val="0000FF"/>
          </w:rPr>
          <w:t>9.34</w:t>
        </w:r>
      </w:hyperlink>
      <w:r>
        <w:t>), следует предусмотреть вскрытие их фундаментов не менее чем в двух шурфах, установить конструктивную схему здания, а также выявить дефекты и повреждения конструкций и другие необходимые параметры здания, которые следует учитывать при проведении математического моделирования.</w:t>
      </w:r>
    </w:p>
    <w:p w:rsidR="00E35632" w:rsidRDefault="00E35632">
      <w:pPr>
        <w:pStyle w:val="ConsPlusNormal"/>
        <w:spacing w:before="220"/>
        <w:ind w:firstLine="540"/>
        <w:jc w:val="both"/>
      </w:pPr>
      <w:r>
        <w:t>3 Допускается не проводить геотехнический прогноз и не назначать зону влияния строительства от проектируемых подземных коммуникаций, прокладка которых предусматривается в котловане или траншее глубиной не более 3 м и на расстоянии более 2</w:t>
      </w:r>
      <w:r>
        <w:rPr>
          <w:i/>
        </w:rPr>
        <w:t>H</w:t>
      </w:r>
      <w:r>
        <w:rPr>
          <w:vertAlign w:val="subscript"/>
        </w:rPr>
        <w:t>к</w:t>
      </w:r>
      <w:r>
        <w:t xml:space="preserve"> от существующих зданий или сооружений при уровне подземных вод ниже 3 м от поверхности. При проектировании прокладки подземных инженерных коммуникаций с учетом данного условия, обследование зданий и сооружений допускается не проводить.</w:t>
      </w:r>
    </w:p>
    <w:p w:rsidR="00E35632" w:rsidRDefault="00E35632">
      <w:pPr>
        <w:pStyle w:val="ConsPlusNormal"/>
        <w:spacing w:before="220"/>
        <w:ind w:firstLine="540"/>
        <w:jc w:val="both"/>
      </w:pPr>
      <w:r>
        <w:t>4 При выполнении геотехнического прогноза следует учитывать температурные деформации распорных конструкций ограждения котлована, связанные с сезонным понижением температуры.</w:t>
      </w:r>
    </w:p>
    <w:p w:rsidR="00E35632" w:rsidRDefault="00E35632">
      <w:pPr>
        <w:pStyle w:val="ConsPlusNormal"/>
        <w:jc w:val="both"/>
      </w:pPr>
      <w:r>
        <w:t xml:space="preserve">(примечание 4 введено </w:t>
      </w:r>
      <w:hyperlink r:id="rId922">
        <w:r>
          <w:rPr>
            <w:color w:val="0000FF"/>
          </w:rPr>
          <w:t>Изменением N 1</w:t>
        </w:r>
      </w:hyperlink>
      <w:r>
        <w:t>, утв. Приказом Минстроя России от 20.11.2018 N 736/пр)</w:t>
      </w:r>
    </w:p>
    <w:p w:rsidR="00E35632" w:rsidRDefault="00E35632">
      <w:pPr>
        <w:pStyle w:val="ConsPlusNormal"/>
        <w:spacing w:before="220"/>
        <w:ind w:firstLine="540"/>
        <w:jc w:val="both"/>
      </w:pPr>
      <w:r>
        <w:t>5 При наличии исходных данных, предоставленных эксплуатирующими организациями, достаточных для выполнения расчетов инженерных коммуникаций по предельным состояниям в объеме, необходимом для подтверждения возможности дальнейшей эксплуатации инженерных коммуникаций, обследование инженерных коммуникаций окружающей застройки допускается не выполнять.</w:t>
      </w:r>
    </w:p>
    <w:p w:rsidR="00E35632" w:rsidRDefault="00E35632">
      <w:pPr>
        <w:pStyle w:val="ConsPlusNormal"/>
        <w:jc w:val="both"/>
      </w:pPr>
      <w:r>
        <w:t xml:space="preserve">(примечание 5 введено </w:t>
      </w:r>
      <w:hyperlink r:id="rId923">
        <w:r>
          <w:rPr>
            <w:color w:val="0000FF"/>
          </w:rPr>
          <w:t>Изменением N 2</w:t>
        </w:r>
      </w:hyperlink>
      <w:r>
        <w:t>, утв. Приказом Минстроя России от 24.01.2019 N 43/пр)</w:t>
      </w:r>
    </w:p>
    <w:p w:rsidR="00E35632" w:rsidRDefault="00E35632">
      <w:pPr>
        <w:pStyle w:val="ConsPlusNormal"/>
        <w:jc w:val="both"/>
      </w:pPr>
    </w:p>
    <w:p w:rsidR="00E35632" w:rsidRDefault="00E35632">
      <w:pPr>
        <w:pStyle w:val="ConsPlusNormal"/>
        <w:ind w:firstLine="540"/>
        <w:jc w:val="both"/>
      </w:pPr>
      <w:bookmarkStart w:id="258" w:name="P4786"/>
      <w:bookmarkEnd w:id="258"/>
      <w:r>
        <w:t xml:space="preserve">9.36 Для предварительного назначения зоны влияния вновь возводимого (реконструируемого) сооружения, расположенного на застроенной территории, ориентировочный радиус (характерный размер) зоны влияния </w:t>
      </w:r>
      <w:r>
        <w:rPr>
          <w:i/>
        </w:rPr>
        <w:t>r</w:t>
      </w:r>
      <w:r>
        <w:rPr>
          <w:vertAlign w:val="subscript"/>
        </w:rPr>
        <w:t>зв</w:t>
      </w:r>
      <w:r>
        <w:t xml:space="preserve">, м, допускается принимать в зависимости от глубины котлована </w:t>
      </w:r>
      <w:r>
        <w:rPr>
          <w:i/>
        </w:rPr>
        <w:t>H</w:t>
      </w:r>
      <w:r>
        <w:rPr>
          <w:vertAlign w:val="subscript"/>
        </w:rPr>
        <w:t>к</w:t>
      </w:r>
      <w:r>
        <w:t>, м, метода его крепления и конструкции ограждения котлована равным:</w:t>
      </w:r>
    </w:p>
    <w:p w:rsidR="00E35632" w:rsidRDefault="00E35632">
      <w:pPr>
        <w:pStyle w:val="ConsPlusNormal"/>
        <w:spacing w:before="220"/>
        <w:ind w:firstLine="540"/>
        <w:jc w:val="both"/>
      </w:pPr>
      <w:r>
        <w:t>5</w:t>
      </w:r>
      <w:r>
        <w:rPr>
          <w:i/>
        </w:rPr>
        <w:t>H</w:t>
      </w:r>
      <w:r>
        <w:rPr>
          <w:vertAlign w:val="subscript"/>
        </w:rPr>
        <w:t>к</w:t>
      </w:r>
      <w:r>
        <w:t xml:space="preserve"> - при использовании ограждения котлована с креплением анкерными конструкциями, но не более 2</w:t>
      </w:r>
      <w:r>
        <w:rPr>
          <w:i/>
        </w:rPr>
        <w:t>L</w:t>
      </w:r>
      <w:r>
        <w:t xml:space="preserve">, где </w:t>
      </w:r>
      <w:r>
        <w:rPr>
          <w:i/>
        </w:rPr>
        <w:t>L</w:t>
      </w:r>
      <w:r>
        <w:t xml:space="preserve"> - суммарная длина горизонтальной проекции тела анкера и его тяги, м;</w:t>
      </w:r>
    </w:p>
    <w:p w:rsidR="00E35632" w:rsidRDefault="00E35632">
      <w:pPr>
        <w:pStyle w:val="ConsPlusNormal"/>
        <w:spacing w:before="220"/>
        <w:ind w:firstLine="540"/>
        <w:jc w:val="both"/>
      </w:pPr>
      <w:r>
        <w:t>4</w:t>
      </w:r>
      <w:r>
        <w:rPr>
          <w:i/>
        </w:rPr>
        <w:t>H</w:t>
      </w:r>
      <w:r>
        <w:rPr>
          <w:vertAlign w:val="subscript"/>
        </w:rPr>
        <w:t>к</w:t>
      </w:r>
      <w:r>
        <w:t xml:space="preserve"> - при использовании ограждения из стальных элементов (труб, двутавров и т.п.) с консольным креплением либо креплением стальными распорками или подкосами, а также при устройстве котлована в естественных откосах (от нижней границы откоса);</w:t>
      </w:r>
    </w:p>
    <w:p w:rsidR="00E35632" w:rsidRDefault="00E35632">
      <w:pPr>
        <w:pStyle w:val="ConsPlusNormal"/>
        <w:spacing w:before="220"/>
        <w:ind w:firstLine="540"/>
        <w:jc w:val="both"/>
      </w:pPr>
      <w:r>
        <w:t>3</w:t>
      </w:r>
      <w:r>
        <w:rPr>
          <w:i/>
        </w:rPr>
        <w:t>H</w:t>
      </w:r>
      <w:r>
        <w:rPr>
          <w:vertAlign w:val="subscript"/>
        </w:rPr>
        <w:t>к</w:t>
      </w:r>
      <w:r>
        <w:t xml:space="preserve"> - при использовании монолитной или сборно-монолитной железобетонной конструкции ограждения котлована (по технологии "стена в грунте", буронабивных секущихся свай и т.п.) с консольным креплением либо креплением стальными распорками или подкосами, а также при использовании ограждения из стальных элементов (труб, двутавров и т.п.) и экскавации грунта в котловане под защитой монолитных железобетонных перекрытий;</w:t>
      </w:r>
    </w:p>
    <w:p w:rsidR="00E35632" w:rsidRDefault="00E35632">
      <w:pPr>
        <w:pStyle w:val="ConsPlusNormal"/>
        <w:spacing w:before="220"/>
        <w:ind w:firstLine="540"/>
        <w:jc w:val="both"/>
      </w:pPr>
      <w:r>
        <w:t>2</w:t>
      </w:r>
      <w:r>
        <w:rPr>
          <w:i/>
        </w:rPr>
        <w:t>H</w:t>
      </w:r>
      <w:r>
        <w:rPr>
          <w:vertAlign w:val="subscript"/>
        </w:rPr>
        <w:t>к</w:t>
      </w:r>
      <w:r>
        <w:t xml:space="preserve"> - при использовании монолитной или сборно-монолитной железобетонной конструкции ограждения котлована (по технологии "стена в грунте", буронабивных секущихся свай и т.п.) и экскавации грунта в котловане под защитой монолитных железобетонных перекрытий.</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1 Величина предварительно назначаемой зоны влияния может корректироваться на основании местного опыта проектирования с учетом специфических грунтовых условий и других факторов.</w:t>
      </w:r>
    </w:p>
    <w:p w:rsidR="00E35632" w:rsidRDefault="00E35632">
      <w:pPr>
        <w:pStyle w:val="ConsPlusNormal"/>
        <w:spacing w:before="220"/>
        <w:ind w:firstLine="540"/>
        <w:jc w:val="both"/>
      </w:pPr>
      <w:r>
        <w:t>2 В условиях реконструкции зона влияния предварительно назначается, как две глубины заложения фундаментов от существующего рельефа (или заглубления подвала в процессе реконструкции) без надстройки реконструируемого здания и как три глубины при его надстройке.</w:t>
      </w:r>
    </w:p>
    <w:p w:rsidR="00E35632" w:rsidRDefault="00E35632">
      <w:pPr>
        <w:pStyle w:val="ConsPlusNormal"/>
        <w:jc w:val="both"/>
      </w:pPr>
    </w:p>
    <w:p w:rsidR="00E35632" w:rsidRDefault="00E35632">
      <w:pPr>
        <w:pStyle w:val="ConsPlusNormal"/>
        <w:ind w:firstLine="540"/>
        <w:jc w:val="both"/>
      </w:pPr>
      <w:r>
        <w:t>9.37 Расчет оснований по деформациям для сооружений окружающей застройки, расположенных в зоне влияния нового строительства или реконструкции, проводят из условия</w:t>
      </w:r>
    </w:p>
    <w:p w:rsidR="00E35632" w:rsidRDefault="00E35632">
      <w:pPr>
        <w:pStyle w:val="ConsPlusNormal"/>
        <w:jc w:val="both"/>
      </w:pPr>
    </w:p>
    <w:p w:rsidR="00E35632" w:rsidRDefault="00E35632">
      <w:pPr>
        <w:pStyle w:val="ConsPlusNormal"/>
        <w:jc w:val="center"/>
      </w:pPr>
      <w:bookmarkStart w:id="259" w:name="P4797"/>
      <w:bookmarkEnd w:id="259"/>
      <w:r>
        <w:rPr>
          <w:i/>
        </w:rPr>
        <w:t>s</w:t>
      </w:r>
      <w:r>
        <w:rPr>
          <w:i/>
          <w:vertAlign w:val="subscript"/>
        </w:rPr>
        <w:t>ad</w:t>
      </w:r>
      <w:r>
        <w:t xml:space="preserve"> &lt;= </w:t>
      </w:r>
      <w:r>
        <w:rPr>
          <w:i/>
        </w:rPr>
        <w:t>s</w:t>
      </w:r>
      <w:r>
        <w:rPr>
          <w:i/>
          <w:vertAlign w:val="subscript"/>
        </w:rPr>
        <w:t>ad,u</w:t>
      </w:r>
      <w:r>
        <w:t>, (9.19)</w:t>
      </w:r>
    </w:p>
    <w:p w:rsidR="00E35632" w:rsidRDefault="00E35632">
      <w:pPr>
        <w:pStyle w:val="ConsPlusNormal"/>
        <w:jc w:val="both"/>
      </w:pPr>
    </w:p>
    <w:p w:rsidR="00E35632" w:rsidRDefault="00E35632">
      <w:pPr>
        <w:pStyle w:val="ConsPlusNormal"/>
        <w:ind w:firstLine="540"/>
        <w:jc w:val="both"/>
      </w:pPr>
      <w:r>
        <w:t xml:space="preserve">где </w:t>
      </w:r>
      <w:r>
        <w:rPr>
          <w:i/>
        </w:rPr>
        <w:t>s</w:t>
      </w:r>
      <w:r>
        <w:rPr>
          <w:i/>
          <w:vertAlign w:val="subscript"/>
        </w:rPr>
        <w:t>ad</w:t>
      </w:r>
      <w:r>
        <w:t xml:space="preserve"> - дополнительная осадка основания фундамента (совместная дополнительная деформация основания и сооружения), определяемая в соответствии с требованиями </w:t>
      </w:r>
      <w:hyperlink w:anchor="P4751">
        <w:r>
          <w:rPr>
            <w:color w:val="0000FF"/>
          </w:rPr>
          <w:t>9.33</w:t>
        </w:r>
      </w:hyperlink>
      <w:r>
        <w:t xml:space="preserve"> с учетом совокупности воздействий, связанных с новым строительством или реконструкцией;</w:t>
      </w:r>
    </w:p>
    <w:p w:rsidR="00E35632" w:rsidRDefault="00E35632">
      <w:pPr>
        <w:pStyle w:val="ConsPlusNormal"/>
        <w:spacing w:before="220"/>
        <w:ind w:firstLine="540"/>
        <w:jc w:val="both"/>
      </w:pPr>
      <w:r>
        <w:rPr>
          <w:i/>
        </w:rPr>
        <w:t>s</w:t>
      </w:r>
      <w:r>
        <w:rPr>
          <w:i/>
          <w:vertAlign w:val="subscript"/>
        </w:rPr>
        <w:t>ad,u</w:t>
      </w:r>
      <w:r>
        <w:t xml:space="preserve"> - предельное значение дополнительной осадки основания фундаментов (предельное значение совместной дополнительной деформации основания и сооружения), устанавливаемое в соответствии с требованиями </w:t>
      </w:r>
      <w:hyperlink w:anchor="P7449">
        <w:r>
          <w:rPr>
            <w:color w:val="0000FF"/>
          </w:rPr>
          <w:t>приложения К</w:t>
        </w:r>
      </w:hyperlink>
      <w:r>
        <w:t xml:space="preserve"> с учетом категории технического состояния сооружения окружающей застройки (см. </w:t>
      </w:r>
      <w:hyperlink w:anchor="P7024">
        <w:r>
          <w:rPr>
            <w:color w:val="0000FF"/>
          </w:rPr>
          <w:t>приложение Д</w:t>
        </w:r>
      </w:hyperlink>
      <w:r>
        <w:t>).</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 xml:space="preserve">1 Для определения совместной дополнительной деформации основания и сооружения окружающей застройки </w:t>
      </w:r>
      <w:r>
        <w:rPr>
          <w:i/>
        </w:rPr>
        <w:t>s</w:t>
      </w:r>
      <w:r>
        <w:rPr>
          <w:i/>
          <w:vertAlign w:val="subscript"/>
        </w:rPr>
        <w:t>ad</w:t>
      </w:r>
      <w:r>
        <w:t xml:space="preserve"> могут использоваться методы, указанные в </w:t>
      </w:r>
      <w:hyperlink w:anchor="P413">
        <w:r>
          <w:rPr>
            <w:color w:val="0000FF"/>
          </w:rPr>
          <w:t>5.1.10</w:t>
        </w:r>
      </w:hyperlink>
      <w:r>
        <w:t>, с учетом значений дополнительных деформаций основания, полученных по результатам геотехнического прогноза.</w:t>
      </w:r>
    </w:p>
    <w:p w:rsidR="00E35632" w:rsidRDefault="00E35632">
      <w:pPr>
        <w:pStyle w:val="ConsPlusNormal"/>
        <w:spacing w:before="220"/>
        <w:ind w:firstLine="540"/>
        <w:jc w:val="both"/>
      </w:pPr>
      <w:r>
        <w:t xml:space="preserve">2 При расчете оснований сооружений окружающей застройки по деформациям, </w:t>
      </w:r>
      <w:hyperlink w:anchor="P4797">
        <w:r>
          <w:rPr>
            <w:color w:val="0000FF"/>
          </w:rPr>
          <w:t>условие (9.19)</w:t>
        </w:r>
      </w:hyperlink>
      <w:r>
        <w:t xml:space="preserve"> следует выполнять в т.ч. для параметров, указанных в </w:t>
      </w:r>
      <w:hyperlink w:anchor="P814">
        <w:r>
          <w:rPr>
            <w:color w:val="0000FF"/>
          </w:rPr>
          <w:t>5.6.4</w:t>
        </w:r>
      </w:hyperlink>
      <w:r>
        <w:t>.</w:t>
      </w:r>
    </w:p>
    <w:p w:rsidR="00E35632" w:rsidRDefault="00E35632">
      <w:pPr>
        <w:pStyle w:val="ConsPlusNormal"/>
        <w:jc w:val="both"/>
      </w:pPr>
    </w:p>
    <w:p w:rsidR="00E35632" w:rsidRDefault="00E35632">
      <w:pPr>
        <w:pStyle w:val="ConsPlusNormal"/>
        <w:ind w:firstLine="540"/>
        <w:jc w:val="both"/>
      </w:pPr>
      <w:r>
        <w:t xml:space="preserve">9.38 При проектировании вновь возводимых или реконструируемых сооружений на застроенной территории необходимо предусмотреть мероприятия, обеспечивающие эксплуатационную надежность сооружений окружающей застройки на период строительства и дальнейшей эксплуатации. Если по результатам геотехнического прогноза условие </w:t>
      </w:r>
      <w:hyperlink w:anchor="P4797">
        <w:r>
          <w:rPr>
            <w:color w:val="0000FF"/>
          </w:rPr>
          <w:t>формулы (9.19)</w:t>
        </w:r>
      </w:hyperlink>
      <w:r>
        <w:t xml:space="preserve"> не выполняется, необходимо предусматривать следующие мероприятия:</w:t>
      </w:r>
    </w:p>
    <w:p w:rsidR="00E35632" w:rsidRDefault="00E35632">
      <w:pPr>
        <w:pStyle w:val="ConsPlusNormal"/>
        <w:spacing w:before="220"/>
        <w:ind w:firstLine="540"/>
        <w:jc w:val="both"/>
      </w:pPr>
      <w:r>
        <w:t>- изменение конструкции ограждения строительного котлована, методов ее крепления, глубины подземной части, ее планового расположения и др.;</w:t>
      </w:r>
    </w:p>
    <w:p w:rsidR="00E35632" w:rsidRDefault="00E35632">
      <w:pPr>
        <w:pStyle w:val="ConsPlusNormal"/>
        <w:spacing w:before="220"/>
        <w:ind w:firstLine="540"/>
        <w:jc w:val="both"/>
      </w:pPr>
      <w:r>
        <w:t>- снижающие деформации основания сооружений окружающей застройки (устройство разделительных стен, геотехнических и компенсационных экранов, закрепление грунтов основания, подъем и рихтовку фундаментов и др.);</w:t>
      </w:r>
    </w:p>
    <w:p w:rsidR="00E35632" w:rsidRDefault="00E35632">
      <w:pPr>
        <w:pStyle w:val="ConsPlusNormal"/>
        <w:jc w:val="both"/>
      </w:pPr>
      <w:r>
        <w:t xml:space="preserve">(в ред. </w:t>
      </w:r>
      <w:hyperlink r:id="rId924">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снижающие дополнительные осадки и (или) их неравномерность или повышающие пространственную жесткость сооружений окружающей застройки (усиление фундаментов, устройство монолитных и стальных поясов в подземной и надземной частях сооружений и др.);</w:t>
      </w:r>
    </w:p>
    <w:p w:rsidR="00E35632" w:rsidRDefault="00E35632">
      <w:pPr>
        <w:pStyle w:val="ConsPlusNormal"/>
        <w:spacing w:before="220"/>
        <w:ind w:firstLine="540"/>
        <w:jc w:val="both"/>
      </w:pPr>
      <w:r>
        <w:t>- комбинацию вышеперечисленных мероприятий.</w:t>
      </w:r>
    </w:p>
    <w:p w:rsidR="00E35632" w:rsidRDefault="00E35632">
      <w:pPr>
        <w:pStyle w:val="ConsPlusNormal"/>
        <w:spacing w:before="220"/>
        <w:ind w:firstLine="540"/>
        <w:jc w:val="both"/>
      </w:pPr>
      <w:r>
        <w:t>Примечание - Для обеспечения эксплуатационной надежности сооружений окружающей застройки приоритетным является изменение проектных характеристик вновь возводимого или реконструируемого сооружения.</w:t>
      </w:r>
    </w:p>
    <w:p w:rsidR="00E35632" w:rsidRDefault="00E35632">
      <w:pPr>
        <w:pStyle w:val="ConsPlusNormal"/>
        <w:jc w:val="both"/>
      </w:pPr>
    </w:p>
    <w:p w:rsidR="00E35632" w:rsidRDefault="00E35632">
      <w:pPr>
        <w:pStyle w:val="ConsPlusNormal"/>
        <w:ind w:firstLine="540"/>
        <w:jc w:val="both"/>
      </w:pPr>
      <w:r>
        <w:t>Состав назначаемых защитных мероприятий следует определять с учетом:</w:t>
      </w:r>
    </w:p>
    <w:p w:rsidR="00E35632" w:rsidRDefault="00E35632">
      <w:pPr>
        <w:pStyle w:val="ConsPlusNormal"/>
        <w:spacing w:before="220"/>
        <w:ind w:firstLine="540"/>
        <w:jc w:val="both"/>
      </w:pPr>
      <w:r>
        <w:t>- характерных особенностей сооружений окружающей застройки (уровень ответственности, значения прогнозируемых деформаций основания, расстояние до проектируемой подземной части, конструктивная схема, категория технического состояния и физико-механические свойства грунтов основания сооружений окружающей застройки и пр.);</w:t>
      </w:r>
    </w:p>
    <w:p w:rsidR="00E35632" w:rsidRDefault="00E35632">
      <w:pPr>
        <w:pStyle w:val="ConsPlusNormal"/>
        <w:spacing w:before="220"/>
        <w:ind w:firstLine="540"/>
        <w:jc w:val="both"/>
      </w:pPr>
      <w:r>
        <w:t>- особенностей проектируемого или реконструируемого сооружения (глубина котлована, тип ограждающей конструкции котлована и метод ее крепления, инженерно-геологические и гидрогеологические условия, включая прогноз их изменений, давление на основание и пр.).</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 xml:space="preserve">1 При распространении специфических грунтов или возможности развития опасных геологических процессов в основании площадки строительства и (или) сооружений окружающей застройки, необходимо дополнительно учитывать соответствующие требования </w:t>
      </w:r>
      <w:hyperlink w:anchor="P2321">
        <w:r>
          <w:rPr>
            <w:color w:val="0000FF"/>
          </w:rPr>
          <w:t>раздела 6</w:t>
        </w:r>
      </w:hyperlink>
      <w:r>
        <w:t>.</w:t>
      </w:r>
    </w:p>
    <w:p w:rsidR="00E35632" w:rsidRDefault="00E35632">
      <w:pPr>
        <w:pStyle w:val="ConsPlusNormal"/>
        <w:spacing w:before="220"/>
        <w:ind w:firstLine="540"/>
        <w:jc w:val="both"/>
      </w:pPr>
      <w:r>
        <w:t>2 Защитные мероприятия для сооружений окружающей застройки также допускается разрабатывать при отсутствии возможности учета расчетными методами динамических и других дополнительных воздействий, в т.ч. технологических особенностей строительства.</w:t>
      </w:r>
    </w:p>
    <w:p w:rsidR="00E35632" w:rsidRDefault="00E35632">
      <w:pPr>
        <w:pStyle w:val="ConsPlusNormal"/>
        <w:jc w:val="both"/>
      </w:pPr>
    </w:p>
    <w:p w:rsidR="00E35632" w:rsidRDefault="00E35632">
      <w:pPr>
        <w:pStyle w:val="ConsPlusNormal"/>
        <w:ind w:firstLine="540"/>
        <w:jc w:val="both"/>
      </w:pPr>
      <w:r>
        <w:t xml:space="preserve">После разработки проекта защитных мероприятий по обеспечению эксплуатационной пригодности сооружений окружающей застройки, расположенных в зоне влияния нового строительства или реконструкции, геотехнический прогноз необходимо повторить с учетом этих мероприятий для подтверждения выполнения </w:t>
      </w:r>
      <w:hyperlink w:anchor="P4797">
        <w:r>
          <w:rPr>
            <w:color w:val="0000FF"/>
          </w:rPr>
          <w:t>условия (9.19)</w:t>
        </w:r>
      </w:hyperlink>
      <w:r>
        <w:t>.</w:t>
      </w:r>
    </w:p>
    <w:p w:rsidR="00E35632" w:rsidRDefault="00E35632">
      <w:pPr>
        <w:pStyle w:val="ConsPlusNormal"/>
        <w:spacing w:before="220"/>
        <w:ind w:firstLine="540"/>
        <w:jc w:val="both"/>
      </w:pPr>
      <w:bookmarkStart w:id="260" w:name="P4821"/>
      <w:bookmarkEnd w:id="260"/>
      <w:r>
        <w:t xml:space="preserve">9.39 При проектировании подземных частей сооружений (нового строительства и реконструкции) необходимо предусматривать проведение геотехнического мониторинга в соответствии с требованиями </w:t>
      </w:r>
      <w:hyperlink w:anchor="P4957">
        <w:r>
          <w:rPr>
            <w:color w:val="0000FF"/>
          </w:rPr>
          <w:t>раздела 12</w:t>
        </w:r>
      </w:hyperlink>
      <w:r>
        <w:t>, в т.ч. для сооружений окружающей застройки.</w:t>
      </w:r>
    </w:p>
    <w:p w:rsidR="00E35632" w:rsidRDefault="00E35632">
      <w:pPr>
        <w:pStyle w:val="ConsPlusNormal"/>
        <w:jc w:val="both"/>
      </w:pPr>
    </w:p>
    <w:p w:rsidR="00E35632" w:rsidRDefault="00E35632">
      <w:pPr>
        <w:pStyle w:val="ConsPlusTitle"/>
        <w:ind w:firstLine="540"/>
        <w:jc w:val="both"/>
        <w:outlineLvl w:val="1"/>
      </w:pPr>
      <w:bookmarkStart w:id="261" w:name="P4823"/>
      <w:bookmarkEnd w:id="261"/>
      <w:r>
        <w:t>10 Особенности проектирования оснований высотных зданий</w:t>
      </w:r>
    </w:p>
    <w:p w:rsidR="00E35632" w:rsidRDefault="00E35632">
      <w:pPr>
        <w:pStyle w:val="ConsPlusNormal"/>
        <w:jc w:val="both"/>
      </w:pPr>
    </w:p>
    <w:p w:rsidR="00E35632" w:rsidRDefault="00E35632">
      <w:pPr>
        <w:pStyle w:val="ConsPlusNormal"/>
        <w:ind w:firstLine="540"/>
        <w:jc w:val="both"/>
      </w:pPr>
      <w:r>
        <w:t>10.1 Требования настоящего раздела распространяются на проектирование оснований зданий высотой более 75 м, в том числе высотные части зданий в составе разноэтажных комплексов.</w:t>
      </w:r>
    </w:p>
    <w:p w:rsidR="00E35632" w:rsidRDefault="00E35632">
      <w:pPr>
        <w:pStyle w:val="ConsPlusNormal"/>
        <w:spacing w:before="220"/>
        <w:ind w:firstLine="540"/>
        <w:jc w:val="both"/>
      </w:pPr>
      <w:r>
        <w:t xml:space="preserve">10.2 При проектировании оснований, фундаментов и конструкций подземной части высотного здания следует учитывать требования </w:t>
      </w:r>
      <w:hyperlink w:anchor="P4452">
        <w:r>
          <w:rPr>
            <w:color w:val="0000FF"/>
          </w:rPr>
          <w:t>раздела 9</w:t>
        </w:r>
      </w:hyperlink>
      <w:r>
        <w:t>.</w:t>
      </w:r>
    </w:p>
    <w:p w:rsidR="00E35632" w:rsidRDefault="00E35632">
      <w:pPr>
        <w:pStyle w:val="ConsPlusNormal"/>
        <w:spacing w:before="220"/>
        <w:ind w:firstLine="540"/>
        <w:jc w:val="both"/>
      </w:pPr>
      <w:r>
        <w:t>10.3 До начала строительства высотного здания должны быть выполнены следующие этапы: подготовительный, градостроительное обоснование и проектно-изыскательские работы.</w:t>
      </w:r>
    </w:p>
    <w:p w:rsidR="00E35632" w:rsidRDefault="00E35632">
      <w:pPr>
        <w:pStyle w:val="ConsPlusNormal"/>
        <w:spacing w:before="220"/>
        <w:ind w:firstLine="540"/>
        <w:jc w:val="both"/>
      </w:pPr>
      <w:r>
        <w:t>10.4 На подготовительном этапе строительства объекта следует осуществлять экспертную оценку геотехнической сложности площадки строительства и его потенциальную опасность для окружающей застройки.</w:t>
      </w:r>
    </w:p>
    <w:p w:rsidR="00E35632" w:rsidRDefault="00E35632">
      <w:pPr>
        <w:pStyle w:val="ConsPlusNormal"/>
        <w:spacing w:before="220"/>
        <w:ind w:firstLine="540"/>
        <w:jc w:val="both"/>
      </w:pPr>
      <w:r>
        <w:t xml:space="preserve">10.5 Градостроительное обоснование следует выполнять в соответствии с </w:t>
      </w:r>
      <w:hyperlink w:anchor="P8324">
        <w:r>
          <w:rPr>
            <w:color w:val="0000FF"/>
          </w:rPr>
          <w:t>[1]</w:t>
        </w:r>
      </w:hyperlink>
      <w:r>
        <w:t xml:space="preserve"> для утверждения объекта строительства, включая его месторасположение.</w:t>
      </w:r>
    </w:p>
    <w:p w:rsidR="00E35632" w:rsidRDefault="00E35632">
      <w:pPr>
        <w:pStyle w:val="ConsPlusNormal"/>
        <w:spacing w:before="220"/>
        <w:ind w:firstLine="540"/>
        <w:jc w:val="both"/>
      </w:pPr>
      <w:r>
        <w:t>10.6 Проектно-изыскательские работы для высотных зданий следует выполнять в следующей последовательности:</w:t>
      </w:r>
    </w:p>
    <w:p w:rsidR="00E35632" w:rsidRDefault="00E35632">
      <w:pPr>
        <w:pStyle w:val="ConsPlusNormal"/>
        <w:spacing w:before="220"/>
        <w:ind w:firstLine="540"/>
        <w:jc w:val="both"/>
      </w:pPr>
      <w:r>
        <w:t>- анализ архивных материалов инженерно-геологических изысканий, а в случае необходимости - выполнение разведочных скважин;</w:t>
      </w:r>
    </w:p>
    <w:p w:rsidR="00E35632" w:rsidRDefault="00E35632">
      <w:pPr>
        <w:pStyle w:val="ConsPlusNormal"/>
        <w:spacing w:before="220"/>
        <w:ind w:firstLine="540"/>
        <w:jc w:val="both"/>
      </w:pPr>
      <w:r>
        <w:t>- разработка концептуальных предложений;</w:t>
      </w:r>
    </w:p>
    <w:p w:rsidR="00E35632" w:rsidRDefault="00E35632">
      <w:pPr>
        <w:pStyle w:val="ConsPlusNormal"/>
        <w:spacing w:before="220"/>
        <w:ind w:firstLine="540"/>
        <w:jc w:val="both"/>
      </w:pPr>
      <w:r>
        <w:t>- разработка технических заданий и программ инженерно- геологических и инженерно-геотехнических изысканий;</w:t>
      </w:r>
    </w:p>
    <w:p w:rsidR="00E35632" w:rsidRDefault="00E35632">
      <w:pPr>
        <w:pStyle w:val="ConsPlusNormal"/>
        <w:spacing w:before="220"/>
        <w:ind w:firstLine="540"/>
        <w:jc w:val="both"/>
      </w:pPr>
      <w:r>
        <w:t>- проведение инженерно-геологических и инженерно-геотехнических изысканий;</w:t>
      </w:r>
    </w:p>
    <w:p w:rsidR="00E35632" w:rsidRDefault="00E35632">
      <w:pPr>
        <w:pStyle w:val="ConsPlusNormal"/>
        <w:spacing w:before="220"/>
        <w:ind w:firstLine="540"/>
        <w:jc w:val="both"/>
      </w:pPr>
      <w:r>
        <w:t>- выполнение геотехнического обоснования проектных решений;</w:t>
      </w:r>
    </w:p>
    <w:p w:rsidR="00E35632" w:rsidRDefault="00E35632">
      <w:pPr>
        <w:pStyle w:val="ConsPlusNormal"/>
        <w:spacing w:before="220"/>
        <w:ind w:firstLine="540"/>
        <w:jc w:val="both"/>
      </w:pPr>
      <w:r>
        <w:t>- выполнение расчетного обоснования проектных решений;</w:t>
      </w:r>
    </w:p>
    <w:p w:rsidR="00E35632" w:rsidRDefault="00E35632">
      <w:pPr>
        <w:pStyle w:val="ConsPlusNormal"/>
        <w:spacing w:before="220"/>
        <w:ind w:firstLine="540"/>
        <w:jc w:val="both"/>
      </w:pPr>
      <w:r>
        <w:t>- создание геомеханической модели и оценка влияния строительства на окружающую застройку и подземные коммуникации;</w:t>
      </w:r>
    </w:p>
    <w:p w:rsidR="00E35632" w:rsidRDefault="00E35632">
      <w:pPr>
        <w:pStyle w:val="ConsPlusNormal"/>
        <w:spacing w:before="220"/>
        <w:ind w:firstLine="540"/>
        <w:jc w:val="both"/>
      </w:pPr>
      <w:r>
        <w:t>- создание гидрогеологической модели и выполнение прогноза изменения гидрогеологической ситуации на площадке строительства;</w:t>
      </w:r>
    </w:p>
    <w:p w:rsidR="00E35632" w:rsidRDefault="00E35632">
      <w:pPr>
        <w:pStyle w:val="ConsPlusNormal"/>
        <w:spacing w:before="220"/>
        <w:ind w:firstLine="540"/>
        <w:jc w:val="both"/>
      </w:pPr>
      <w:r>
        <w:t>- разработка программы мониторинга;</w:t>
      </w:r>
    </w:p>
    <w:p w:rsidR="00E35632" w:rsidRDefault="00E35632">
      <w:pPr>
        <w:pStyle w:val="ConsPlusNormal"/>
        <w:spacing w:before="220"/>
        <w:ind w:firstLine="540"/>
        <w:jc w:val="both"/>
      </w:pPr>
      <w:r>
        <w:t>- разработка проекта фундаментов на стадии "Проектная документация";</w:t>
      </w:r>
    </w:p>
    <w:p w:rsidR="00E35632" w:rsidRDefault="00E35632">
      <w:pPr>
        <w:pStyle w:val="ConsPlusNormal"/>
        <w:spacing w:before="220"/>
        <w:ind w:firstLine="540"/>
        <w:jc w:val="both"/>
      </w:pPr>
      <w:r>
        <w:t>- разработка проекта фундаментов на стадии "Рабочая документация".</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1 В процессе геотехнического обоснования проектных решений должен быть сделан аргументированный выбор расчетной программы, модели и параметров грунта для выполнения геотехнических расчетов, выполнена их верификация в соответствии с требованиями настоящего свода правил, рассмотрены возможные варианты, и обосновано принятое проектное решение.</w:t>
      </w:r>
    </w:p>
    <w:p w:rsidR="00E35632" w:rsidRDefault="00E35632">
      <w:pPr>
        <w:pStyle w:val="ConsPlusNormal"/>
        <w:spacing w:before="220"/>
        <w:ind w:firstLine="540"/>
        <w:jc w:val="both"/>
      </w:pPr>
      <w:r>
        <w:t>2 В процессе расчетного обоснования выполняются совместные расчеты в объемной постановке системы "основание - фундамент - сооружение" в объеме, достаточном для разработки проектного решения по устройству фундамента.</w:t>
      </w:r>
    </w:p>
    <w:p w:rsidR="00E35632" w:rsidRDefault="00E35632">
      <w:pPr>
        <w:pStyle w:val="ConsPlusNormal"/>
        <w:jc w:val="both"/>
      </w:pPr>
    </w:p>
    <w:p w:rsidR="00E35632" w:rsidRDefault="00E35632">
      <w:pPr>
        <w:pStyle w:val="ConsPlusNormal"/>
        <w:ind w:firstLine="540"/>
        <w:jc w:val="both"/>
      </w:pPr>
      <w:r>
        <w:t>10.7 Начиная с разработки технических заданий и программ инженерно-геологических и инженерно-геотехнических изысканий, рекомендуется осуществлять геотехническую экспертизу разрабатываемой документации по объекту.</w:t>
      </w:r>
    </w:p>
    <w:p w:rsidR="00E35632" w:rsidRDefault="00E35632">
      <w:pPr>
        <w:pStyle w:val="ConsPlusNormal"/>
        <w:spacing w:before="220"/>
        <w:ind w:firstLine="540"/>
        <w:jc w:val="both"/>
      </w:pPr>
      <w:r>
        <w:t>10.8 Изыскания, проектирование и строительство высотных зданий следует выполнять при научно-техническом сопровождении (НТС) со стороны специализированных организаций.</w:t>
      </w:r>
    </w:p>
    <w:p w:rsidR="00E35632" w:rsidRDefault="00E35632">
      <w:pPr>
        <w:pStyle w:val="ConsPlusNormal"/>
        <w:spacing w:before="220"/>
        <w:ind w:firstLine="540"/>
        <w:jc w:val="both"/>
      </w:pPr>
      <w:r>
        <w:t xml:space="preserve">10.9 Инженерные изыскания следует проводить в соответствии с требованиями </w:t>
      </w:r>
      <w:hyperlink r:id="rId925">
        <w:r>
          <w:rPr>
            <w:color w:val="0000FF"/>
          </w:rPr>
          <w:t>СП 47.13330</w:t>
        </w:r>
      </w:hyperlink>
      <w:r>
        <w:t xml:space="preserve">, с учетом требований </w:t>
      </w:r>
      <w:hyperlink w:anchor="P252">
        <w:r>
          <w:rPr>
            <w:color w:val="0000FF"/>
          </w:rPr>
          <w:t>разделов 4</w:t>
        </w:r>
      </w:hyperlink>
      <w:r>
        <w:t xml:space="preserve">, </w:t>
      </w:r>
      <w:hyperlink w:anchor="P375">
        <w:r>
          <w:rPr>
            <w:color w:val="0000FF"/>
          </w:rPr>
          <w:t>5</w:t>
        </w:r>
      </w:hyperlink>
      <w:r>
        <w:t>, национальных стандартов и других нормативных документов в области инженерных изысканий и исследований свойств грунтов для строительства.</w:t>
      </w:r>
    </w:p>
    <w:p w:rsidR="00E35632" w:rsidRDefault="00E35632">
      <w:pPr>
        <w:pStyle w:val="ConsPlusNormal"/>
        <w:spacing w:before="220"/>
        <w:ind w:firstLine="540"/>
        <w:jc w:val="both"/>
      </w:pPr>
      <w:r>
        <w:t>10.10 Инженерные изыскания следует планировать с учетом требований строительства и эксплуатации предполагаемого сооружения. Объем геотехнических изысканий может пересматриваться по мере поступления новой информации в процессе проведения изысканий и проектирования.</w:t>
      </w:r>
    </w:p>
    <w:p w:rsidR="00E35632" w:rsidRDefault="00E35632">
      <w:pPr>
        <w:pStyle w:val="ConsPlusNormal"/>
        <w:spacing w:before="220"/>
        <w:ind w:firstLine="540"/>
        <w:jc w:val="both"/>
      </w:pPr>
      <w:r>
        <w:t>10.11 Инженерные изыскания подразделяются на предварительные и проектные.</w:t>
      </w:r>
    </w:p>
    <w:p w:rsidR="00E35632" w:rsidRDefault="00E35632">
      <w:pPr>
        <w:pStyle w:val="ConsPlusNormal"/>
        <w:spacing w:before="220"/>
        <w:ind w:firstLine="540"/>
        <w:jc w:val="both"/>
      </w:pPr>
      <w:r>
        <w:t>В процессе предварительных изысканий выполняется оценка общей пригодности площадки к строительству, и оцениваются изменения, которые могут быть вызваны производством предполагаемых строительных работ.</w:t>
      </w:r>
    </w:p>
    <w:p w:rsidR="00E35632" w:rsidRDefault="00E35632">
      <w:pPr>
        <w:pStyle w:val="ConsPlusNormal"/>
        <w:spacing w:before="220"/>
        <w:ind w:firstLine="540"/>
        <w:jc w:val="both"/>
      </w:pPr>
      <w:r>
        <w:t>Проектные изыскания должны включать в себя инженерно-геологические и инженерно-геотехнические изыскания.</w:t>
      </w:r>
    </w:p>
    <w:p w:rsidR="00E35632" w:rsidRDefault="00E35632">
      <w:pPr>
        <w:pStyle w:val="ConsPlusNormal"/>
        <w:spacing w:before="220"/>
        <w:ind w:firstLine="540"/>
        <w:jc w:val="both"/>
      </w:pPr>
      <w:r>
        <w:t>10.12 Для выполнения инженерно-геологических изысканий на территории строительства выполняется бурение скважин в две стадии: на предпроектной стадии (для разработки концептуальных предложений, технических заданий и программ инженерно-геологических и инженерно-геотехнических изысканий) и на стадии подготовки проектной документации.</w:t>
      </w:r>
    </w:p>
    <w:p w:rsidR="00E35632" w:rsidRDefault="00E35632">
      <w:pPr>
        <w:pStyle w:val="ConsPlusNormal"/>
        <w:spacing w:before="220"/>
        <w:ind w:firstLine="540"/>
        <w:jc w:val="both"/>
      </w:pPr>
      <w:r>
        <w:t>10.13 На предпроектной стадии инженерно-геологических изысканий расстояние между скважинами не должно превышать 50 м, а их количество должно быть не менее двух на противоположных сторонах площадки строительства.</w:t>
      </w:r>
    </w:p>
    <w:p w:rsidR="00E35632" w:rsidRDefault="00E35632">
      <w:pPr>
        <w:pStyle w:val="ConsPlusNormal"/>
        <w:spacing w:before="220"/>
        <w:ind w:firstLine="540"/>
        <w:jc w:val="both"/>
      </w:pPr>
      <w:r>
        <w:t>На предпроектной стадии глубину бурения скважин следует принимать равной 1,5 от максимального значения глубины сжимаемой толщи для всех возможных типов фундаментов.</w:t>
      </w:r>
    </w:p>
    <w:p w:rsidR="00E35632" w:rsidRDefault="00E35632">
      <w:pPr>
        <w:pStyle w:val="ConsPlusNormal"/>
        <w:spacing w:before="220"/>
        <w:ind w:firstLine="540"/>
        <w:jc w:val="both"/>
      </w:pPr>
      <w:r>
        <w:t>10.14 Объемы и состав инженерных изысканий на стадии подготовки проектной документации следует устанавливать как для объекта строительства геотехнической категории 3.</w:t>
      </w:r>
    </w:p>
    <w:p w:rsidR="00E35632" w:rsidRDefault="00E35632">
      <w:pPr>
        <w:pStyle w:val="ConsPlusNormal"/>
        <w:spacing w:before="220"/>
        <w:ind w:firstLine="540"/>
        <w:jc w:val="both"/>
      </w:pPr>
      <w:r>
        <w:t>Количество инженерно-геологических скважин должно быть не менее пяти: четыре по углам и одна в центре территории, размеры которой должны превышать плановые размеры основания надземной части высотного здания на половину ширины подошвы фундамента при расстоянии между скважинами не более 20 м. Размещение скважин в плане должно обеспечить оценку неоднородности напластования грунтов, а также учитывать конструктивные особенности здания и характер распределения нагрузки.</w:t>
      </w:r>
    </w:p>
    <w:p w:rsidR="00E35632" w:rsidRDefault="00E35632">
      <w:pPr>
        <w:pStyle w:val="ConsPlusNormal"/>
        <w:spacing w:before="220"/>
        <w:ind w:firstLine="540"/>
        <w:jc w:val="both"/>
      </w:pPr>
      <w:r>
        <w:t>Глубину бурения скважин на стадии разработки проектной документации, а также глубину зондирования и геофизических исследований следует определять с учетом предполагаемых габаритов здания и нагрузки на основание, а также выбранного на стадии концептуальных предложений типа и глубины заложения фундамента высотного здания.</w:t>
      </w:r>
    </w:p>
    <w:p w:rsidR="00E35632" w:rsidRDefault="00E35632">
      <w:pPr>
        <w:pStyle w:val="ConsPlusNormal"/>
        <w:spacing w:before="220"/>
        <w:ind w:firstLine="540"/>
        <w:jc w:val="both"/>
      </w:pPr>
      <w:r>
        <w:t xml:space="preserve">10.15 При применении плитного фундамента глубину разведочных и инженерно-геологических скважин следует определять с учетом глубины котлована </w:t>
      </w:r>
      <w:r>
        <w:rPr>
          <w:i/>
        </w:rPr>
        <w:t>d</w:t>
      </w:r>
      <w:r>
        <w:t xml:space="preserve"> и глубины сжимаемой толщи </w:t>
      </w:r>
      <w:r>
        <w:rPr>
          <w:i/>
        </w:rPr>
        <w:t>H</w:t>
      </w:r>
      <w:r>
        <w:rPr>
          <w:i/>
          <w:vertAlign w:val="subscript"/>
        </w:rPr>
        <w:t>c</w:t>
      </w:r>
      <w:r>
        <w:t xml:space="preserve"> и должна составлять не менее 1,5</w:t>
      </w:r>
      <w:r>
        <w:rPr>
          <w:i/>
        </w:rPr>
        <w:t>H</w:t>
      </w:r>
      <w:r>
        <w:rPr>
          <w:i/>
          <w:vertAlign w:val="subscript"/>
        </w:rPr>
        <w:t>c</w:t>
      </w:r>
      <w:r>
        <w:t xml:space="preserve"> + </w:t>
      </w:r>
      <w:r>
        <w:rPr>
          <w:i/>
        </w:rPr>
        <w:t>d</w:t>
      </w:r>
      <w:r>
        <w:t xml:space="preserve">. При среднем давлении под плитой </w:t>
      </w:r>
      <w:r>
        <w:rPr>
          <w:i/>
        </w:rPr>
        <w:t>p</w:t>
      </w:r>
      <w:r>
        <w:t xml:space="preserve"> от 400 до 600 кПа глубина бурения должна быть ниже глубины заложения ее подошвы на величину не менее:</w:t>
      </w:r>
    </w:p>
    <w:p w:rsidR="00E35632" w:rsidRDefault="00E35632">
      <w:pPr>
        <w:pStyle w:val="ConsPlusNormal"/>
        <w:spacing w:before="220"/>
        <w:ind w:firstLine="540"/>
        <w:jc w:val="both"/>
      </w:pPr>
      <w:r>
        <w:t xml:space="preserve">- при ширине плиты </w:t>
      </w:r>
      <w:r>
        <w:rPr>
          <w:i/>
        </w:rPr>
        <w:t>b</w:t>
      </w:r>
      <w:r>
        <w:t xml:space="preserve"> = 10 м - (1,3 - 1,6)</w:t>
      </w:r>
      <w:r>
        <w:rPr>
          <w:i/>
        </w:rPr>
        <w:t>b</w:t>
      </w:r>
      <w:r>
        <w:t xml:space="preserve"> - для квадратной плиты и (1,6 - 1,8)</w:t>
      </w:r>
      <w:r>
        <w:rPr>
          <w:i/>
        </w:rPr>
        <w:t>b</w:t>
      </w:r>
      <w:r>
        <w:t xml:space="preserve"> - для прямоугольной с соотношением сторон </w:t>
      </w:r>
      <w:r>
        <w:rPr>
          <w:noProof/>
          <w:position w:val="-6"/>
        </w:rPr>
        <w:drawing>
          <wp:inline distT="0" distB="0" distL="0" distR="0">
            <wp:extent cx="402590" cy="226060"/>
            <wp:effectExtent l="0" t="0" r="0" b="0"/>
            <wp:docPr id="6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402590" cy="22606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 ширине плиты </w:t>
      </w:r>
      <w:r>
        <w:rPr>
          <w:i/>
        </w:rPr>
        <w:t>b</w:t>
      </w:r>
      <w:r>
        <w:t xml:space="preserve"> = 20 м - (1,0 - 1,2)</w:t>
      </w:r>
      <w:r>
        <w:rPr>
          <w:i/>
        </w:rPr>
        <w:t>b</w:t>
      </w:r>
      <w:r>
        <w:t xml:space="preserve"> - для квадратной плиты и (1,2 - 1,4)</w:t>
      </w:r>
      <w:r>
        <w:rPr>
          <w:i/>
        </w:rPr>
        <w:t>b</w:t>
      </w:r>
      <w:r>
        <w:t xml:space="preserve"> - для прямоугольной с соотношением сторон </w:t>
      </w:r>
      <w:r>
        <w:rPr>
          <w:noProof/>
          <w:position w:val="-6"/>
        </w:rPr>
        <w:drawing>
          <wp:inline distT="0" distB="0" distL="0" distR="0">
            <wp:extent cx="402590" cy="226060"/>
            <wp:effectExtent l="0" t="0" r="0" b="0"/>
            <wp:docPr id="6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402590" cy="22606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 ширине плиты </w:t>
      </w:r>
      <w:r>
        <w:rPr>
          <w:i/>
        </w:rPr>
        <w:t>b</w:t>
      </w:r>
      <w:r>
        <w:t xml:space="preserve"> &gt;= 30 м - (0,9 - 1,05)</w:t>
      </w:r>
      <w:r>
        <w:rPr>
          <w:i/>
        </w:rPr>
        <w:t>b</w:t>
      </w:r>
      <w:r>
        <w:t xml:space="preserve"> - для квадратной плиты и (1,0 - 1,25)</w:t>
      </w:r>
      <w:r>
        <w:rPr>
          <w:i/>
        </w:rPr>
        <w:t>b</w:t>
      </w:r>
      <w:r>
        <w:t xml:space="preserve"> - для прямоугольной с соотношением сторон </w:t>
      </w:r>
      <w:r>
        <w:rPr>
          <w:noProof/>
          <w:position w:val="-6"/>
        </w:rPr>
        <w:drawing>
          <wp:inline distT="0" distB="0" distL="0" distR="0">
            <wp:extent cx="402590" cy="226060"/>
            <wp:effectExtent l="0" t="0" r="0" b="0"/>
            <wp:docPr id="6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402590" cy="226060"/>
                    </a:xfrm>
                    <a:prstGeom prst="rect">
                      <a:avLst/>
                    </a:prstGeom>
                    <a:noFill/>
                    <a:ln>
                      <a:noFill/>
                    </a:ln>
                  </pic:spPr>
                </pic:pic>
              </a:graphicData>
            </a:graphic>
          </wp:inline>
        </w:drawing>
      </w:r>
      <w:r>
        <w:t>.</w:t>
      </w:r>
    </w:p>
    <w:p w:rsidR="00E35632" w:rsidRDefault="00E35632">
      <w:pPr>
        <w:pStyle w:val="ConsPlusNormal"/>
        <w:spacing w:before="220"/>
        <w:ind w:firstLine="540"/>
        <w:jc w:val="both"/>
      </w:pPr>
      <w:r>
        <w:t xml:space="preserve">Меньшие значения глубины соответствуют меньшим значениям </w:t>
      </w:r>
      <w:r>
        <w:rPr>
          <w:i/>
        </w:rPr>
        <w:t>p</w:t>
      </w:r>
      <w:r>
        <w:t xml:space="preserve">. Для промежуточных значений </w:t>
      </w:r>
      <w:r>
        <w:rPr>
          <w:i/>
        </w:rPr>
        <w:t>b</w:t>
      </w:r>
      <w:r>
        <w:t xml:space="preserve">, </w:t>
      </w:r>
      <w:r>
        <w:rPr>
          <w:i/>
        </w:rPr>
        <w:t>p</w:t>
      </w:r>
      <w:r>
        <w:t xml:space="preserve"> и </w:t>
      </w:r>
      <w:r>
        <w:rPr>
          <w:noProof/>
          <w:position w:val="-4"/>
        </w:rPr>
        <w:drawing>
          <wp:inline distT="0" distB="0" distL="0" distR="0">
            <wp:extent cx="142240" cy="192405"/>
            <wp:effectExtent l="0" t="0" r="0" b="0"/>
            <wp:docPr id="6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142240" cy="192405"/>
                    </a:xfrm>
                    <a:prstGeom prst="rect">
                      <a:avLst/>
                    </a:prstGeom>
                    <a:noFill/>
                    <a:ln>
                      <a:noFill/>
                    </a:ln>
                  </pic:spPr>
                </pic:pic>
              </a:graphicData>
            </a:graphic>
          </wp:inline>
        </w:drawing>
      </w:r>
      <w:r>
        <w:t xml:space="preserve"> или для значений этих величин, выходящих за указанные пределы, глубина выработок назначается по интерполяции или экстраполяции, либо непосредственно определяется по величине </w:t>
      </w:r>
      <w:r>
        <w:rPr>
          <w:i/>
        </w:rPr>
        <w:t>H</w:t>
      </w:r>
      <w:r>
        <w:rPr>
          <w:i/>
          <w:vertAlign w:val="subscript"/>
        </w:rPr>
        <w:t>c</w:t>
      </w:r>
      <w:r>
        <w:t>.</w:t>
      </w:r>
    </w:p>
    <w:p w:rsidR="00E35632" w:rsidRDefault="00E35632">
      <w:pPr>
        <w:pStyle w:val="ConsPlusNormal"/>
        <w:spacing w:before="220"/>
        <w:ind w:firstLine="540"/>
        <w:jc w:val="both"/>
      </w:pPr>
      <w:r>
        <w:t xml:space="preserve">Для столбчатого или ленточного фундаментов глубина бурения должна составлять </w:t>
      </w:r>
      <w:r>
        <w:rPr>
          <w:i/>
        </w:rPr>
        <w:t>h</w:t>
      </w:r>
      <w:r>
        <w:t xml:space="preserve"> &gt;= </w:t>
      </w:r>
      <w:r>
        <w:rPr>
          <w:i/>
        </w:rPr>
        <w:t>d</w:t>
      </w:r>
      <w:r>
        <w:t xml:space="preserve"> + 1,5(</w:t>
      </w:r>
      <w:r>
        <w:rPr>
          <w:i/>
        </w:rPr>
        <w:t>b</w:t>
      </w:r>
      <w:r>
        <w:t xml:space="preserve"> + 2</w:t>
      </w:r>
      <w:r>
        <w:rPr>
          <w:i/>
        </w:rPr>
        <w:t>c</w:t>
      </w:r>
      <w:r>
        <w:t xml:space="preserve">), где </w:t>
      </w:r>
      <w:r>
        <w:rPr>
          <w:i/>
        </w:rPr>
        <w:t>c</w:t>
      </w:r>
      <w:r>
        <w:t xml:space="preserve"> - наибольшее расстояние в осях между колоннами или стенами.</w:t>
      </w:r>
    </w:p>
    <w:p w:rsidR="00E35632" w:rsidRDefault="00E35632">
      <w:pPr>
        <w:pStyle w:val="ConsPlusNormal"/>
        <w:spacing w:before="220"/>
        <w:ind w:firstLine="540"/>
        <w:jc w:val="both"/>
      </w:pPr>
      <w:r>
        <w:t xml:space="preserve">В зонах возможного проявления карстово-суффозионных процессов необходимо следовать требованиям </w:t>
      </w:r>
      <w:hyperlink w:anchor="P3956">
        <w:r>
          <w:rPr>
            <w:color w:val="0000FF"/>
          </w:rPr>
          <w:t>6.12</w:t>
        </w:r>
      </w:hyperlink>
      <w:r>
        <w:t>.</w:t>
      </w:r>
    </w:p>
    <w:p w:rsidR="00E35632" w:rsidRDefault="00E35632">
      <w:pPr>
        <w:pStyle w:val="ConsPlusNormal"/>
        <w:spacing w:before="220"/>
        <w:ind w:firstLine="540"/>
        <w:jc w:val="both"/>
      </w:pPr>
      <w:r>
        <w:t>10.16 В процессе инженерно-геологических изысканий следует выявлять геологические разломы, складчатые структуры, области разрушения или повышенной трещиноватости скальных грунтов, а также иные признаки древней и современной тектонической деятельности. Для этого следует применять геофизические методы исследований. Результаты инженерно-геологических изысканий должны содержать выводы о современной тектонической активности площадки.</w:t>
      </w:r>
    </w:p>
    <w:p w:rsidR="00E35632" w:rsidRDefault="00E35632">
      <w:pPr>
        <w:pStyle w:val="ConsPlusNormal"/>
        <w:spacing w:before="220"/>
        <w:ind w:firstLine="540"/>
        <w:jc w:val="both"/>
      </w:pPr>
      <w:r>
        <w:t>10.17 Размещение высотных зданий на площадках с выявленной современной тектонической активностью, с проявлениями опасных геологических процессов (оползни, сели, лавины, карст и др.), а также на подрабатываемых территориях допускается при проведении необходимого комплекса мероприятий и соответствующем расчетном обосновании, обеспечивающих механическую прочность и надежность на весь период строительства и эксплуатации сооружения.</w:t>
      </w:r>
    </w:p>
    <w:p w:rsidR="00E35632" w:rsidRDefault="00E35632">
      <w:pPr>
        <w:pStyle w:val="ConsPlusNormal"/>
        <w:spacing w:before="220"/>
        <w:ind w:firstLine="540"/>
        <w:jc w:val="both"/>
      </w:pPr>
      <w:r>
        <w:t>10.18 Определение деформационных характеристик грунтов основания следует осуществлять на основе комплекса лабораторных исследований, включающих одновременно компрессионные и стабилометрические испытания, а также полевых исследований, включающих испытания штампом или прессиометром. В случае испытания прочных грунтов и (или) на большой глубине модуль деформации следует принимать по прессиометрическим испытаниям с введением коэффициента перехода к штамповым испытаниям.</w:t>
      </w:r>
    </w:p>
    <w:p w:rsidR="00E35632" w:rsidRDefault="00E35632">
      <w:pPr>
        <w:pStyle w:val="ConsPlusNormal"/>
        <w:spacing w:before="220"/>
        <w:ind w:firstLine="540"/>
        <w:jc w:val="both"/>
      </w:pPr>
      <w:r>
        <w:t xml:space="preserve">10.19 При проведении инженерно-геологических изысканий дополнительно к требованиям </w:t>
      </w:r>
      <w:hyperlink w:anchor="P4481">
        <w:r>
          <w:rPr>
            <w:color w:val="0000FF"/>
          </w:rPr>
          <w:t>9.7</w:t>
        </w:r>
      </w:hyperlink>
      <w:r>
        <w:t xml:space="preserve"> для грунтов, залегающих ниже подошвы фундаментов, следует определять коэффициенты фильтрационной и вторичной консолидации, изменение модуля деформации и </w:t>
      </w:r>
      <w:r>
        <w:rPr>
          <w:i/>
        </w:rPr>
        <w:t>OCR</w:t>
      </w:r>
      <w:r>
        <w:t xml:space="preserve"> по глубине для каждого инженерно-геологического элемента при его мощности более 10 м, зависимость модуля деформации грунта от напряженного состояния, параметры механической и фильтрационной анизотропии и другие параметры, требуемые для расчета с использованием нелинейных моделей грунта.</w:t>
      </w:r>
    </w:p>
    <w:p w:rsidR="00E35632" w:rsidRDefault="00E35632">
      <w:pPr>
        <w:pStyle w:val="ConsPlusNormal"/>
        <w:spacing w:before="220"/>
        <w:ind w:firstLine="540"/>
        <w:jc w:val="both"/>
      </w:pPr>
      <w:r>
        <w:t>10.20 Грунты с модулем деформации 100 МПа и более, в том числе скальные, следует рассматривать как сжимаемые, ограничивать ими глубину сжимаемой толщи не допускается.</w:t>
      </w:r>
    </w:p>
    <w:p w:rsidR="00E35632" w:rsidRDefault="00E35632">
      <w:pPr>
        <w:pStyle w:val="ConsPlusNormal"/>
        <w:spacing w:before="220"/>
        <w:ind w:firstLine="540"/>
        <w:jc w:val="both"/>
      </w:pPr>
      <w:r>
        <w:t>Примечание - Модуль деформации скальных грунтов определяется согласно ГОСТ 28985.</w:t>
      </w:r>
    </w:p>
    <w:p w:rsidR="00E35632" w:rsidRDefault="00E35632">
      <w:pPr>
        <w:pStyle w:val="ConsPlusNormal"/>
        <w:jc w:val="both"/>
      </w:pPr>
      <w:r>
        <w:t xml:space="preserve">(примечание введено </w:t>
      </w:r>
      <w:hyperlink r:id="rId928">
        <w:r>
          <w:rPr>
            <w:color w:val="0000FF"/>
          </w:rPr>
          <w:t>Изменением N 4</w:t>
        </w:r>
      </w:hyperlink>
      <w:r>
        <w:t>, утв. Приказом Минстроя России от 27.12.2021 N 1022/пр)</w:t>
      </w:r>
    </w:p>
    <w:p w:rsidR="00E35632" w:rsidRDefault="00E35632">
      <w:pPr>
        <w:pStyle w:val="ConsPlusNormal"/>
        <w:ind w:firstLine="540"/>
        <w:jc w:val="both"/>
      </w:pPr>
    </w:p>
    <w:p w:rsidR="00E35632" w:rsidRDefault="00E35632">
      <w:pPr>
        <w:pStyle w:val="ConsPlusNormal"/>
        <w:ind w:firstLine="540"/>
        <w:jc w:val="both"/>
      </w:pPr>
      <w:r>
        <w:t>10.21 Определение механических характеристик грунта следует выполнять как в вертикальном, так и горизонтальном направлениях с целью определения параметров анизотропии.</w:t>
      </w:r>
    </w:p>
    <w:p w:rsidR="00E35632" w:rsidRDefault="00E35632">
      <w:pPr>
        <w:pStyle w:val="ConsPlusNormal"/>
        <w:spacing w:before="220"/>
        <w:ind w:firstLine="540"/>
        <w:jc w:val="both"/>
      </w:pPr>
      <w:r>
        <w:t>10.22 Расчетные модели, используемые для проектирования оснований и фундаментов, должны быть верифицированы, в том числе с использованием результатов модельных или натурных исследований.</w:t>
      </w:r>
    </w:p>
    <w:p w:rsidR="00E35632" w:rsidRDefault="00E35632">
      <w:pPr>
        <w:pStyle w:val="ConsPlusNormal"/>
        <w:spacing w:before="220"/>
        <w:ind w:firstLine="540"/>
        <w:jc w:val="both"/>
      </w:pPr>
      <w:r>
        <w:t>Для зданий высотой более 100 м следует выполнять параллельный расчет независимой организацией с применением сертифицированных программных комплексов, реализующих метод конечных элементов. Данный расчет выполняется при помощи программных комплексов, разработанных независимо от программных комплексов, используемых для основного расчета.</w:t>
      </w:r>
    </w:p>
    <w:p w:rsidR="00E35632" w:rsidRDefault="00E35632">
      <w:pPr>
        <w:pStyle w:val="ConsPlusNormal"/>
        <w:spacing w:before="220"/>
        <w:ind w:firstLine="540"/>
        <w:jc w:val="both"/>
      </w:pPr>
      <w:r>
        <w:t xml:space="preserve">10.23 Предельные значения характеристик совместной деформации основания, фундаментов и конструкций здания следует устанавливать исходя из технологических, конструктивных, физиологических и эстетико-психологических требований в соответствии с </w:t>
      </w:r>
      <w:hyperlink r:id="rId929">
        <w:r>
          <w:rPr>
            <w:color w:val="0000FF"/>
          </w:rPr>
          <w:t>СП 20.13330</w:t>
        </w:r>
      </w:hyperlink>
      <w:r>
        <w:t>.</w:t>
      </w:r>
    </w:p>
    <w:p w:rsidR="00E35632" w:rsidRDefault="00E35632">
      <w:pPr>
        <w:pStyle w:val="ConsPlusNormal"/>
        <w:spacing w:before="220"/>
        <w:ind w:firstLine="540"/>
        <w:jc w:val="both"/>
      </w:pPr>
      <w:r>
        <w:t xml:space="preserve">10.24 Проверку соблюдения условия </w:t>
      </w:r>
      <w:hyperlink w:anchor="P825">
        <w:r>
          <w:rPr>
            <w:color w:val="0000FF"/>
          </w:rPr>
          <w:t>формулы (5.6)</w:t>
        </w:r>
      </w:hyperlink>
      <w:r>
        <w:t xml:space="preserve"> следует проводить в составе совместных расчетов системы "основание - фундамент - здание" по второй группе предельных состояний.</w:t>
      </w:r>
    </w:p>
    <w:p w:rsidR="00E35632" w:rsidRDefault="00E35632">
      <w:pPr>
        <w:pStyle w:val="ConsPlusNormal"/>
        <w:spacing w:before="220"/>
        <w:ind w:firstLine="540"/>
        <w:jc w:val="both"/>
      </w:pPr>
      <w:r>
        <w:t>10.25 При проектировании оснований и фундаментов высотных частей зданий в составе разноэтажных комплексов следует выполнять расчет взаимного влияния строительства отдельных частей комплекса с учетом последовательности их возведения.</w:t>
      </w:r>
    </w:p>
    <w:p w:rsidR="00E35632" w:rsidRDefault="00E35632">
      <w:pPr>
        <w:pStyle w:val="ConsPlusNormal"/>
        <w:spacing w:before="220"/>
        <w:ind w:firstLine="540"/>
        <w:jc w:val="both"/>
      </w:pPr>
      <w:r>
        <w:t>10.26 При расчете крена здания и неравномерности деформации фундамента необходимо учитывать:</w:t>
      </w:r>
    </w:p>
    <w:p w:rsidR="00E35632" w:rsidRDefault="00E35632">
      <w:pPr>
        <w:pStyle w:val="ConsPlusNormal"/>
        <w:spacing w:before="220"/>
        <w:ind w:firstLine="540"/>
        <w:jc w:val="both"/>
      </w:pPr>
      <w:r>
        <w:t>- подъем дна котлована;</w:t>
      </w:r>
    </w:p>
    <w:p w:rsidR="00E35632" w:rsidRDefault="00E35632">
      <w:pPr>
        <w:pStyle w:val="ConsPlusNormal"/>
        <w:spacing w:before="220"/>
        <w:ind w:firstLine="540"/>
        <w:jc w:val="both"/>
      </w:pPr>
      <w:r>
        <w:t>- влияние ограждающей конструкции котлована;</w:t>
      </w:r>
    </w:p>
    <w:p w:rsidR="00E35632" w:rsidRDefault="00E35632">
      <w:pPr>
        <w:pStyle w:val="ConsPlusNormal"/>
        <w:spacing w:before="220"/>
        <w:ind w:firstLine="540"/>
        <w:jc w:val="both"/>
      </w:pPr>
      <w:r>
        <w:t>- взаимовлияние между фундаментами высотного здания и окружающей застройки, в том числе при строительстве разноэтажных комплексов;</w:t>
      </w:r>
    </w:p>
    <w:p w:rsidR="00E35632" w:rsidRDefault="00E35632">
      <w:pPr>
        <w:pStyle w:val="ConsPlusNormal"/>
        <w:spacing w:before="220"/>
        <w:ind w:firstLine="540"/>
        <w:jc w:val="both"/>
      </w:pPr>
      <w:r>
        <w:t>- случайную и систематическую изменчивость свойств грунта основания в пространстве;</w:t>
      </w:r>
    </w:p>
    <w:p w:rsidR="00E35632" w:rsidRDefault="00E35632">
      <w:pPr>
        <w:pStyle w:val="ConsPlusNormal"/>
        <w:spacing w:before="220"/>
        <w:ind w:firstLine="540"/>
        <w:jc w:val="both"/>
      </w:pPr>
      <w:r>
        <w:t>- величину конечной осадки и развитие ее во времени;</w:t>
      </w:r>
    </w:p>
    <w:p w:rsidR="00E35632" w:rsidRDefault="00E35632">
      <w:pPr>
        <w:pStyle w:val="ConsPlusNormal"/>
        <w:spacing w:before="220"/>
        <w:ind w:firstLine="540"/>
        <w:jc w:val="both"/>
      </w:pPr>
      <w:r>
        <w:t>- распределение нагрузок;</w:t>
      </w:r>
    </w:p>
    <w:p w:rsidR="00E35632" w:rsidRDefault="00E35632">
      <w:pPr>
        <w:pStyle w:val="ConsPlusNormal"/>
        <w:spacing w:before="220"/>
        <w:ind w:firstLine="540"/>
        <w:jc w:val="both"/>
      </w:pPr>
      <w:r>
        <w:t>- изменение жесткости сооружения и отдельных его частей в процессе строительства;</w:t>
      </w:r>
    </w:p>
    <w:p w:rsidR="00E35632" w:rsidRDefault="00E35632">
      <w:pPr>
        <w:pStyle w:val="ConsPlusNormal"/>
        <w:spacing w:before="220"/>
        <w:ind w:firstLine="540"/>
        <w:jc w:val="both"/>
      </w:pPr>
      <w:r>
        <w:t>- метод строительства, включая последовательность нагружения.</w:t>
      </w:r>
    </w:p>
    <w:p w:rsidR="00E35632" w:rsidRDefault="00E35632">
      <w:pPr>
        <w:pStyle w:val="ConsPlusNormal"/>
        <w:spacing w:before="220"/>
        <w:ind w:firstLine="540"/>
        <w:jc w:val="both"/>
      </w:pPr>
      <w:r>
        <w:t>10.27 Случайную и систематическую изменчивость свойств грунта основания следует учитывать путем снижения значения средней допускаемой осадки при увеличении высоты здания и введением повышенного коэффициента надежности по грунту для модуля деформации грунта.</w:t>
      </w:r>
    </w:p>
    <w:p w:rsidR="00E35632" w:rsidRDefault="00E35632">
      <w:pPr>
        <w:pStyle w:val="ConsPlusNormal"/>
        <w:spacing w:before="220"/>
        <w:ind w:firstLine="540"/>
        <w:jc w:val="both"/>
      </w:pPr>
      <w:r>
        <w:t>10.28 Для предварительных расчетов предельные значения средних осадок фундаментов высотных зданий рекомендуется принимать при высоте до 200 м - не более 20 см, 300 м и более - 10 см, для промежуточных значений - по интерполяции. Окончательные значения предельных осадок и их неравномерность должны приниматься на основании совместного расчета системы "основание - фундамент - сооружение".</w:t>
      </w:r>
    </w:p>
    <w:p w:rsidR="00E35632" w:rsidRDefault="00E35632">
      <w:pPr>
        <w:pStyle w:val="ConsPlusNormal"/>
        <w:spacing w:before="220"/>
        <w:ind w:firstLine="540"/>
        <w:jc w:val="both"/>
      </w:pPr>
      <w:r>
        <w:t xml:space="preserve">10.29 При проектировании оснований зданий высотой 100 м расчетные значения модуля деформации </w:t>
      </w:r>
      <w:r>
        <w:rPr>
          <w:i/>
        </w:rPr>
        <w:t>E</w:t>
      </w:r>
      <w:r>
        <w:t xml:space="preserve"> должны приниматься при коэффициенте надежности по грунту </w:t>
      </w:r>
      <w:r>
        <w:rPr>
          <w:noProof/>
          <w:position w:val="-10"/>
        </w:rPr>
        <w:drawing>
          <wp:inline distT="0" distB="0" distL="0" distR="0">
            <wp:extent cx="544830" cy="267970"/>
            <wp:effectExtent l="0" t="0" r="0" b="0"/>
            <wp:docPr id="6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544830" cy="267970"/>
                    </a:xfrm>
                    <a:prstGeom prst="rect">
                      <a:avLst/>
                    </a:prstGeom>
                    <a:noFill/>
                    <a:ln>
                      <a:noFill/>
                    </a:ln>
                  </pic:spPr>
                </pic:pic>
              </a:graphicData>
            </a:graphic>
          </wp:inline>
        </w:drawing>
      </w:r>
      <w:r>
        <w:t xml:space="preserve">, при высоте здания 500 м и более следует принимать </w:t>
      </w:r>
      <w:r>
        <w:rPr>
          <w:noProof/>
          <w:position w:val="-10"/>
        </w:rPr>
        <w:drawing>
          <wp:inline distT="0" distB="0" distL="0" distR="0">
            <wp:extent cx="572770" cy="267970"/>
            <wp:effectExtent l="0" t="0" r="0" b="0"/>
            <wp:docPr id="6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572770" cy="267970"/>
                    </a:xfrm>
                    <a:prstGeom prst="rect">
                      <a:avLst/>
                    </a:prstGeom>
                    <a:noFill/>
                    <a:ln>
                      <a:noFill/>
                    </a:ln>
                  </pic:spPr>
                </pic:pic>
              </a:graphicData>
            </a:graphic>
          </wp:inline>
        </w:drawing>
      </w:r>
      <w:r>
        <w:t xml:space="preserve">. Для промежуточных значений высоты здания </w:t>
      </w:r>
      <w:r>
        <w:rPr>
          <w:noProof/>
          <w:position w:val="-10"/>
        </w:rPr>
        <w:drawing>
          <wp:inline distT="0" distB="0" distL="0" distR="0">
            <wp:extent cx="182880" cy="267970"/>
            <wp:effectExtent l="0" t="0" r="0" b="0"/>
            <wp:docPr id="6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82880" cy="267970"/>
                    </a:xfrm>
                    <a:prstGeom prst="rect">
                      <a:avLst/>
                    </a:prstGeom>
                    <a:noFill/>
                    <a:ln>
                      <a:noFill/>
                    </a:ln>
                  </pic:spPr>
                </pic:pic>
              </a:graphicData>
            </a:graphic>
          </wp:inline>
        </w:drawing>
      </w:r>
      <w:r>
        <w:t xml:space="preserve"> следует определять по интерполяции.</w:t>
      </w:r>
    </w:p>
    <w:p w:rsidR="00E35632" w:rsidRDefault="00E35632">
      <w:pPr>
        <w:pStyle w:val="ConsPlusNormal"/>
        <w:spacing w:before="220"/>
        <w:ind w:firstLine="540"/>
        <w:jc w:val="both"/>
      </w:pPr>
      <w:r>
        <w:t xml:space="preserve">10.30 Расчет на стадии разработки концептуальных решений допускается выполнять с использованием упрощенных расчетных схем сооружения с эквивалентной жесткостью этажа, определенной в соответствии с </w:t>
      </w:r>
      <w:hyperlink w:anchor="P7847">
        <w:r>
          <w:rPr>
            <w:color w:val="0000FF"/>
          </w:rPr>
          <w:t>приложением М</w:t>
        </w:r>
      </w:hyperlink>
      <w:r>
        <w:t xml:space="preserve"> по упрощенной схеме с применением аналитических зависимостей. На стадии расчетного обоснования проектных решений расчет должен выполняться в объемной постановке с учетом всего каркаса здания, этапности возведения.</w:t>
      </w:r>
    </w:p>
    <w:p w:rsidR="00E35632" w:rsidRDefault="00E35632">
      <w:pPr>
        <w:pStyle w:val="ConsPlusNormal"/>
        <w:jc w:val="both"/>
      </w:pPr>
      <w:r>
        <w:t xml:space="preserve">(п. 10.30 в ред. </w:t>
      </w:r>
      <w:hyperlink r:id="rId933">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t xml:space="preserve">10.31 Глубину сжимаемой толщи следует определять в результате расчетов согласно </w:t>
      </w:r>
      <w:hyperlink w:anchor="P375">
        <w:r>
          <w:rPr>
            <w:color w:val="0000FF"/>
          </w:rPr>
          <w:t>разделу 5</w:t>
        </w:r>
      </w:hyperlink>
      <w:r>
        <w:t>. В случае применения нелинейных моделей грунта, учитывающих зависимость модуля деформации от напряженного состояния грунта, зона деформации массива грунта вычисляется в процессе проведения расчетов.</w:t>
      </w:r>
    </w:p>
    <w:p w:rsidR="00E35632" w:rsidRDefault="00E35632">
      <w:pPr>
        <w:pStyle w:val="ConsPlusNormal"/>
        <w:jc w:val="both"/>
      </w:pPr>
    </w:p>
    <w:p w:rsidR="00E35632" w:rsidRDefault="00E35632">
      <w:pPr>
        <w:pStyle w:val="ConsPlusTitle"/>
        <w:ind w:firstLine="540"/>
        <w:jc w:val="both"/>
        <w:outlineLvl w:val="1"/>
      </w:pPr>
      <w:bookmarkStart w:id="262" w:name="P4896"/>
      <w:bookmarkEnd w:id="262"/>
      <w:r>
        <w:t>11 Проектирование водопонижения</w:t>
      </w:r>
    </w:p>
    <w:p w:rsidR="00E35632" w:rsidRDefault="00E35632">
      <w:pPr>
        <w:pStyle w:val="ConsPlusNormal"/>
        <w:jc w:val="both"/>
      </w:pPr>
    </w:p>
    <w:p w:rsidR="00E35632" w:rsidRDefault="00E35632">
      <w:pPr>
        <w:pStyle w:val="ConsPlusNormal"/>
        <w:ind w:firstLine="540"/>
        <w:jc w:val="both"/>
      </w:pPr>
      <w:r>
        <w:t>11.1 Для защиты подземных сооружений, котлованов и траншей от подземных вод в периоды строительства и (или) эксплуатации применяют искусственное понижение уровня подземных вод путем устройства водоотлива, водопонизительных скважин, иглофильтров, электроосмоса и дренажа.</w:t>
      </w:r>
    </w:p>
    <w:p w:rsidR="00E35632" w:rsidRDefault="00E35632">
      <w:pPr>
        <w:pStyle w:val="ConsPlusNormal"/>
        <w:spacing w:before="220"/>
        <w:ind w:firstLine="540"/>
        <w:jc w:val="both"/>
      </w:pPr>
      <w:r>
        <w:t>11.2 Выбор способов водопонижения должен учитывать конструктивные особенности и размеры сооружения, в т.ч. его подземной части, инженерно-геологические и гидрогеологические условия, размеры осушаемой площади, особенности производства общестроительных работ в защищаемом котловане, возможные изменения физико-механических свойств грунтов основания будущего сооружения, прогноз влияния водопонижения на окружающую застройку и экологическую обстановку, сроки работ и другие факторы.</w:t>
      </w:r>
    </w:p>
    <w:p w:rsidR="00E35632" w:rsidRDefault="00E35632">
      <w:pPr>
        <w:pStyle w:val="ConsPlusNormal"/>
        <w:spacing w:before="220"/>
        <w:ind w:firstLine="540"/>
        <w:jc w:val="both"/>
      </w:pPr>
      <w:r>
        <w:t>При проектировании водопонижения необходимо также учитывать возможное изменение режима подземных вод, условия поверхностного стока в строительный и эксплуатационный периоды, расположение мест сброса подземных вод и их химический состав.</w:t>
      </w:r>
    </w:p>
    <w:p w:rsidR="00E35632" w:rsidRDefault="00E35632">
      <w:pPr>
        <w:pStyle w:val="ConsPlusNormal"/>
        <w:spacing w:before="220"/>
        <w:ind w:firstLine="540"/>
        <w:jc w:val="both"/>
      </w:pPr>
      <w:r>
        <w:t>11.3 При устройстве водопонижения должны быть предусмотрены мероприятия, препятствующие ухудшению строительных свойств грунтов в основании сооружения, нарушению устойчивости откосов котлована, появлению и развитию опасных геологических и инженерно-геологических процессов, возникновению недопустимых деформаций окружающей застройки, ухудшению экологической обстановки на территории, входящей в зону влияния водопонизительных работ.</w:t>
      </w:r>
    </w:p>
    <w:p w:rsidR="00E35632" w:rsidRDefault="00E35632">
      <w:pPr>
        <w:pStyle w:val="ConsPlusNormal"/>
        <w:spacing w:before="220"/>
        <w:ind w:firstLine="540"/>
        <w:jc w:val="both"/>
      </w:pPr>
      <w:r>
        <w:t xml:space="preserve">11.4 При прогнозировании понижения уровня подземных вод необходимо определить зону его влияния и учитывать возможность возникновения дополнительных осадок территории в зоне развития депрессионной воронки и как следствие деформаций окружающей застройки. Следует учитывать, что радиус зоны влияния на окружающую застройку от воздействия строительного водопонижения может превышать ориентировочные величины, указанные в </w:t>
      </w:r>
      <w:hyperlink w:anchor="P4786">
        <w:r>
          <w:rPr>
            <w:color w:val="0000FF"/>
          </w:rPr>
          <w:t>9.36</w:t>
        </w:r>
      </w:hyperlink>
      <w:r>
        <w:t>.</w:t>
      </w:r>
    </w:p>
    <w:p w:rsidR="00E35632" w:rsidRDefault="00E35632">
      <w:pPr>
        <w:pStyle w:val="ConsPlusNormal"/>
        <w:spacing w:before="220"/>
        <w:ind w:firstLine="540"/>
        <w:jc w:val="both"/>
      </w:pPr>
      <w:r>
        <w:t>С учетом результатов прогноза влияния водопонижения на деформации основания окружающей застройки следует устанавливать режим водопонижения, сроки строительства и этапность освоения площади застройки, а также определить необходимость проведения защитных мероприятий, направленных на снижение влияния строительного водопонижения на окружающую застройку и экологическую среду, включающих как локальную защиту сооружений, так и защиту всей территории (устройство противофильтрационных завес и экранов, замораживание грунта или его инъекционное закрепление и т.д.).</w:t>
      </w:r>
    </w:p>
    <w:p w:rsidR="00E35632" w:rsidRDefault="00E35632">
      <w:pPr>
        <w:pStyle w:val="ConsPlusNormal"/>
        <w:spacing w:before="220"/>
        <w:ind w:firstLine="540"/>
        <w:jc w:val="both"/>
      </w:pPr>
      <w:r>
        <w:t xml:space="preserve">11.5 При проектировании дренажа, водопонизительных скважин и иглофильтров, а также при расчетах водопонижения, определении необходимости опытного (пробного) водопонижения, проведении наблюдений за изменением уровня подземных вод, выборе устройств и оборудования для водопонижения и разработке мероприятий по охране окружающей среды следует, кроме требований настоящего раздела, учитывать требования </w:t>
      </w:r>
      <w:hyperlink r:id="rId934">
        <w:r>
          <w:rPr>
            <w:color w:val="0000FF"/>
          </w:rPr>
          <w:t>СП 103.13330</w:t>
        </w:r>
      </w:hyperlink>
      <w:r>
        <w:t>.</w:t>
      </w:r>
    </w:p>
    <w:p w:rsidR="00E35632" w:rsidRDefault="00E35632">
      <w:pPr>
        <w:pStyle w:val="ConsPlusNormal"/>
        <w:spacing w:before="220"/>
        <w:ind w:firstLine="540"/>
        <w:jc w:val="both"/>
      </w:pPr>
      <w:r>
        <w:t>11.6 Требуемое понижение уровня подземных вод следует определять:</w:t>
      </w:r>
    </w:p>
    <w:p w:rsidR="00E35632" w:rsidRDefault="00E35632">
      <w:pPr>
        <w:pStyle w:val="ConsPlusNormal"/>
        <w:spacing w:before="220"/>
        <w:ind w:firstLine="540"/>
        <w:jc w:val="both"/>
      </w:pPr>
      <w:r>
        <w:t xml:space="preserve">- в водоносных слоях, содержащих безнапорные воды - с учетом допустимого повышения уровня воды за время аварийного отключения водопонизительной системы </w:t>
      </w:r>
      <w:hyperlink r:id="rId935">
        <w:r>
          <w:rPr>
            <w:color w:val="0000FF"/>
          </w:rPr>
          <w:t>(СП 103.13330)</w:t>
        </w:r>
      </w:hyperlink>
      <w:r>
        <w:t>;</w:t>
      </w:r>
    </w:p>
    <w:p w:rsidR="00E35632" w:rsidRDefault="00E35632">
      <w:pPr>
        <w:pStyle w:val="ConsPlusNormal"/>
        <w:spacing w:before="220"/>
        <w:ind w:firstLine="540"/>
        <w:jc w:val="both"/>
      </w:pPr>
      <w:r>
        <w:t>- напорных водоносных слоях, залегающих ниже дна котлована или пола заглубленного сооружения - из условия возможности прорывов воды и необходимости обеспечения устойчивости грунтов в основании сооружения.</w:t>
      </w:r>
    </w:p>
    <w:p w:rsidR="00E35632" w:rsidRDefault="00E35632">
      <w:pPr>
        <w:pStyle w:val="ConsPlusNormal"/>
        <w:spacing w:before="220"/>
        <w:ind w:firstLine="540"/>
        <w:jc w:val="both"/>
      </w:pPr>
      <w:r>
        <w:t>При пересечении сооружением (котлованом) водоупорных слоев следует исходить из практически достижимого понижения уровня подземных вод, предусматривая при необходимости дополнительные мероприятия для защиты сооружения (котлована) от подземных вод.</w:t>
      </w:r>
    </w:p>
    <w:p w:rsidR="00E35632" w:rsidRDefault="00E35632">
      <w:pPr>
        <w:pStyle w:val="ConsPlusNormal"/>
        <w:spacing w:before="220"/>
        <w:ind w:firstLine="540"/>
        <w:jc w:val="both"/>
      </w:pPr>
      <w:r>
        <w:t>11.7 При проектировании систем строительного водопонижения рекомендуется применять те из них, которые могут быть использованы для работы в эксплуатационный период.</w:t>
      </w:r>
    </w:p>
    <w:p w:rsidR="00E35632" w:rsidRDefault="00E35632">
      <w:pPr>
        <w:pStyle w:val="ConsPlusNormal"/>
        <w:spacing w:before="220"/>
        <w:ind w:firstLine="540"/>
        <w:jc w:val="both"/>
      </w:pPr>
      <w:r>
        <w:t>11.8 При организации поверхностного водоотлива для осушения котлованов и траншей в проекте должны быть предусмотрены канавки и лотки для сбора поступающих в выработки подземных и поверхностных вод и отвода их к водоприемным зумпфам с последующей откачкой на поверхность. Канавки и зумпфы следует располагать за пределами фундаментов сооружения. При необходимости их устройства в пределах контура фундаментов они должны быть укреплены и защищены от размыва.</w:t>
      </w:r>
    </w:p>
    <w:p w:rsidR="00E35632" w:rsidRDefault="00E35632">
      <w:pPr>
        <w:pStyle w:val="ConsPlusNormal"/>
        <w:spacing w:before="220"/>
        <w:ind w:firstLine="540"/>
        <w:jc w:val="both"/>
      </w:pPr>
      <w:r>
        <w:t>В насосных станциях для водоотлива следует предусматривать резерв насосов в размере 100% (по производительности) при одном работающем насосе и 50% - при двух и более.</w:t>
      </w:r>
    </w:p>
    <w:p w:rsidR="00E35632" w:rsidRDefault="00E35632">
      <w:pPr>
        <w:pStyle w:val="ConsPlusNormal"/>
        <w:spacing w:before="220"/>
        <w:ind w:firstLine="540"/>
        <w:jc w:val="both"/>
      </w:pPr>
      <w:r>
        <w:t>11.9 Водопонизительные скважины (открытые и вакуумные, оборудованные насосами, самоизливающиеся и водопоглощающие) следует предусматривать при глубоком понижении уровня подземных вод или для снятия напора подземных вод в грунтах с коэффициентом фильтрации более 2 м/сут. В случае развития вакуума в полости фильтровой колонны водопонизительной скважины возможно ее применение в грунтах с коэффициентом фильтрации менее 2 м/сут.</w:t>
      </w:r>
    </w:p>
    <w:p w:rsidR="00E35632" w:rsidRDefault="00E35632">
      <w:pPr>
        <w:pStyle w:val="ConsPlusNormal"/>
        <w:spacing w:before="220"/>
        <w:ind w:firstLine="540"/>
        <w:jc w:val="both"/>
      </w:pPr>
      <w:r>
        <w:t>Способ водопонижения с помощью водопонизительных скважин применяют как для строительного, так и для эксплуатационного периодов.</w:t>
      </w:r>
    </w:p>
    <w:p w:rsidR="00E35632" w:rsidRDefault="00E35632">
      <w:pPr>
        <w:pStyle w:val="ConsPlusNormal"/>
        <w:spacing w:before="220"/>
        <w:ind w:firstLine="540"/>
        <w:jc w:val="both"/>
      </w:pPr>
      <w:r>
        <w:t>11.10 Иглофильтровый способ водопонижения следует применять в грунтах с коэффициентом фильтрации от 1 до 50 м/сут, а с использованием вакуума - грунтах с коэффициентом фильтрации от 0,2 до 2 м/сут.</w:t>
      </w:r>
    </w:p>
    <w:p w:rsidR="00E35632" w:rsidRDefault="00E35632">
      <w:pPr>
        <w:pStyle w:val="ConsPlusNormal"/>
        <w:spacing w:before="220"/>
        <w:ind w:firstLine="540"/>
        <w:jc w:val="both"/>
      </w:pPr>
      <w:r>
        <w:t>11.11 Электроосушение (электроосмос) следует применять в слабопроницаемых грунтах с коэффициентом фильтрации менее 0,2 м/сут.</w:t>
      </w:r>
    </w:p>
    <w:p w:rsidR="00E35632" w:rsidRDefault="00E35632">
      <w:pPr>
        <w:pStyle w:val="ConsPlusNormal"/>
        <w:spacing w:before="220"/>
        <w:ind w:firstLine="540"/>
        <w:jc w:val="both"/>
      </w:pPr>
      <w:r>
        <w:t>11.12 Расчеты водопонизительных систем следует проводить для условий установившегося режима фильтрации во всех случаях, а для неустановившегося режима - в период формирования депрессионной воронки - от начала откачки до установившегося режима фильтрационного потока.</w:t>
      </w:r>
    </w:p>
    <w:p w:rsidR="00E35632" w:rsidRDefault="00E35632">
      <w:pPr>
        <w:pStyle w:val="ConsPlusNormal"/>
        <w:spacing w:before="220"/>
        <w:ind w:firstLine="540"/>
        <w:jc w:val="both"/>
      </w:pPr>
      <w:r>
        <w:t>Для условий неоднородного фильтрационного потока и при сложном очертании контуров питания и водоприемного фронта расчет водопонизительных систем следует проводить с использованием математического моделирования или других специальных методов.</w:t>
      </w:r>
    </w:p>
    <w:p w:rsidR="00E35632" w:rsidRDefault="00E35632">
      <w:pPr>
        <w:pStyle w:val="ConsPlusNormal"/>
        <w:spacing w:before="220"/>
        <w:ind w:firstLine="540"/>
        <w:jc w:val="both"/>
      </w:pPr>
      <w:r>
        <w:t>11.13 При понижении уровня подземных вод более чем на 2 м, особенно в слабых глинистых грунтах, торфах и илах, необходимо проводить расчет ожидаемых осадок земной поверхности в зоне развития депрессионной воронки.</w:t>
      </w:r>
    </w:p>
    <w:p w:rsidR="00E35632" w:rsidRDefault="00E35632">
      <w:pPr>
        <w:pStyle w:val="ConsPlusNormal"/>
        <w:spacing w:before="220"/>
        <w:ind w:firstLine="540"/>
        <w:jc w:val="both"/>
      </w:pPr>
      <w:r>
        <w:t>При устройстве заглубленных в водоносный слой протяженных подземных сооружений возможен барражный эффект, т.е. подъем уровня подземных вод с верховой стороны сооружения и снижение его с низовой стороны. В этом случае необходимо предусмотреть мероприятия по устранению неблагоприятных последствий барражного эффекта (дренаж, противофильтрационные завесы и др.).</w:t>
      </w:r>
    </w:p>
    <w:p w:rsidR="00E35632" w:rsidRDefault="00E35632">
      <w:pPr>
        <w:pStyle w:val="ConsPlusNormal"/>
        <w:spacing w:before="220"/>
        <w:ind w:firstLine="540"/>
        <w:jc w:val="both"/>
      </w:pPr>
      <w:r>
        <w:t>11.14 Отвод подземных вод от водопонизительных систем при невозможности использования откачиваемой воды должен быть организован самотеком в существующие водостоки или специально отведенные места сброса.</w:t>
      </w:r>
    </w:p>
    <w:p w:rsidR="00E35632" w:rsidRDefault="00E35632">
      <w:pPr>
        <w:pStyle w:val="ConsPlusNormal"/>
        <w:spacing w:before="220"/>
        <w:ind w:firstLine="540"/>
        <w:jc w:val="both"/>
      </w:pPr>
      <w:r>
        <w:t xml:space="preserve">Допустимые скорости течения воды в водоотводящих устройствах следует принимать в зависимости от материала их конструкции и продолжительности работы с учетом требований </w:t>
      </w:r>
      <w:hyperlink r:id="rId936">
        <w:r>
          <w:rPr>
            <w:color w:val="0000FF"/>
          </w:rPr>
          <w:t>СП 100.13330</w:t>
        </w:r>
      </w:hyperlink>
      <w:r>
        <w:t>.</w:t>
      </w:r>
    </w:p>
    <w:p w:rsidR="00E35632" w:rsidRDefault="00E35632">
      <w:pPr>
        <w:pStyle w:val="ConsPlusNormal"/>
        <w:spacing w:before="220"/>
        <w:ind w:firstLine="540"/>
        <w:jc w:val="both"/>
      </w:pPr>
      <w:r>
        <w:t xml:space="preserve">11.15 В случае отсутствия возможности отвода воды самотеком необходимо предусматривать специальные насосные станции с резервуарами, при проектировании которых следует руководствоваться требованиями </w:t>
      </w:r>
      <w:hyperlink r:id="rId937">
        <w:r>
          <w:rPr>
            <w:color w:val="0000FF"/>
          </w:rPr>
          <w:t>СП 32.13330</w:t>
        </w:r>
      </w:hyperlink>
      <w:r>
        <w:t xml:space="preserve">, </w:t>
      </w:r>
      <w:hyperlink r:id="rId938">
        <w:r>
          <w:rPr>
            <w:color w:val="0000FF"/>
          </w:rPr>
          <w:t>СП 399.1325800</w:t>
        </w:r>
      </w:hyperlink>
      <w:r>
        <w:t xml:space="preserve">, а при использовании откачиваемой воды для водоснабжения - </w:t>
      </w:r>
      <w:hyperlink r:id="rId939">
        <w:r>
          <w:rPr>
            <w:color w:val="0000FF"/>
          </w:rPr>
          <w:t>СП 31.13330</w:t>
        </w:r>
      </w:hyperlink>
      <w:r>
        <w:t>.</w:t>
      </w:r>
    </w:p>
    <w:p w:rsidR="00E35632" w:rsidRDefault="00E35632">
      <w:pPr>
        <w:pStyle w:val="ConsPlusNormal"/>
        <w:jc w:val="both"/>
      </w:pPr>
      <w:r>
        <w:t xml:space="preserve">(п. 11.15 в ред. </w:t>
      </w:r>
      <w:hyperlink r:id="rId940">
        <w:r>
          <w:rPr>
            <w:color w:val="0000FF"/>
          </w:rPr>
          <w:t>Изменения N 4</w:t>
        </w:r>
      </w:hyperlink>
      <w:r>
        <w:t>, утв. Приказом Минстроя России от 27.12.2021 N 1022/пр)</w:t>
      </w:r>
    </w:p>
    <w:p w:rsidR="00E35632" w:rsidRDefault="00E35632">
      <w:pPr>
        <w:pStyle w:val="ConsPlusNormal"/>
        <w:jc w:val="both"/>
      </w:pPr>
    </w:p>
    <w:p w:rsidR="00E35632" w:rsidRDefault="00E35632">
      <w:pPr>
        <w:pStyle w:val="ConsPlusNormal"/>
        <w:ind w:firstLine="540"/>
        <w:jc w:val="both"/>
      </w:pPr>
      <w:r>
        <w:rPr>
          <w:b/>
        </w:rPr>
        <w:t>Дренажи</w:t>
      </w:r>
    </w:p>
    <w:p w:rsidR="00E35632" w:rsidRDefault="00E35632">
      <w:pPr>
        <w:pStyle w:val="ConsPlusNormal"/>
        <w:jc w:val="both"/>
      </w:pPr>
    </w:p>
    <w:p w:rsidR="00E35632" w:rsidRDefault="00E35632">
      <w:pPr>
        <w:pStyle w:val="ConsPlusNormal"/>
        <w:ind w:firstLine="540"/>
        <w:jc w:val="both"/>
      </w:pPr>
      <w:r>
        <w:t xml:space="preserve">11.16 Дренажи подразделяют на общие (головной, береговой, отсечной и систематический) и локальные (кольцевой, пристенный и пластовый). При проектировании дренажей следует также учитывать положения </w:t>
      </w:r>
      <w:hyperlink r:id="rId941">
        <w:r>
          <w:rPr>
            <w:color w:val="0000FF"/>
          </w:rPr>
          <w:t>СП 103.13330</w:t>
        </w:r>
      </w:hyperlink>
      <w:r>
        <w:t xml:space="preserve"> и </w:t>
      </w:r>
      <w:hyperlink r:id="rId942">
        <w:r>
          <w:rPr>
            <w:color w:val="0000FF"/>
          </w:rPr>
          <w:t>СП 116.13330</w:t>
        </w:r>
      </w:hyperlink>
      <w:r>
        <w:t>.</w:t>
      </w:r>
    </w:p>
    <w:p w:rsidR="00E35632" w:rsidRDefault="00E35632">
      <w:pPr>
        <w:pStyle w:val="ConsPlusNormal"/>
        <w:spacing w:before="220"/>
        <w:ind w:firstLine="540"/>
        <w:jc w:val="both"/>
      </w:pPr>
      <w:r>
        <w:t>11.17 Дренирование грунтового массива следует предусматривать в следующих случаях:</w:t>
      </w:r>
    </w:p>
    <w:p w:rsidR="00E35632" w:rsidRDefault="00E35632">
      <w:pPr>
        <w:pStyle w:val="ConsPlusNormal"/>
        <w:spacing w:before="220"/>
        <w:ind w:firstLine="540"/>
        <w:jc w:val="both"/>
      </w:pPr>
      <w:r>
        <w:t>- расчетный уровень подземных вод расположен на отметках выше пола подземного сооружения;</w:t>
      </w:r>
    </w:p>
    <w:p w:rsidR="00E35632" w:rsidRDefault="00E35632">
      <w:pPr>
        <w:pStyle w:val="ConsPlusNormal"/>
        <w:spacing w:before="220"/>
        <w:ind w:firstLine="540"/>
        <w:jc w:val="both"/>
      </w:pPr>
      <w:r>
        <w:t>- пол подземного сооружения расположен выше расчетного уровня подземных вод менее чем на 0,5 м;</w:t>
      </w:r>
    </w:p>
    <w:p w:rsidR="00E35632" w:rsidRDefault="00E35632">
      <w:pPr>
        <w:pStyle w:val="ConsPlusNormal"/>
        <w:spacing w:before="220"/>
        <w:ind w:firstLine="540"/>
        <w:jc w:val="both"/>
      </w:pPr>
      <w:r>
        <w:t>- по техническим условиям в помещениях подземной части должен обеспечиваться заданный термовлажностный режим;</w:t>
      </w:r>
    </w:p>
    <w:p w:rsidR="00E35632" w:rsidRDefault="00E35632">
      <w:pPr>
        <w:pStyle w:val="ConsPlusNormal"/>
        <w:spacing w:before="220"/>
        <w:ind w:firstLine="540"/>
        <w:jc w:val="both"/>
      </w:pPr>
      <w:r>
        <w:t>- при опасности всплытия сооружения, когда взвешивающая сила превышает массу сооружения.</w:t>
      </w:r>
    </w:p>
    <w:p w:rsidR="00E35632" w:rsidRDefault="00E35632">
      <w:pPr>
        <w:pStyle w:val="ConsPlusNormal"/>
        <w:spacing w:before="220"/>
        <w:ind w:firstLine="540"/>
        <w:jc w:val="both"/>
      </w:pPr>
      <w:r>
        <w:t xml:space="preserve">При выборе системы дренирования территории необходимо учитывать причины ее подтопления </w:t>
      </w:r>
      <w:hyperlink w:anchor="P622">
        <w:r>
          <w:rPr>
            <w:color w:val="0000FF"/>
          </w:rPr>
          <w:t>(5.4)</w:t>
        </w:r>
      </w:hyperlink>
      <w:r>
        <w:t>.</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1 Устройство дренажа не должно приводить к осадкам окружающей застройки и объекта реконструкции или нового строительства, превышающим предельно допустимые.</w:t>
      </w:r>
    </w:p>
    <w:p w:rsidR="00E35632" w:rsidRDefault="00E35632">
      <w:pPr>
        <w:pStyle w:val="ConsPlusNormal"/>
        <w:spacing w:before="220"/>
        <w:ind w:firstLine="540"/>
        <w:jc w:val="both"/>
      </w:pPr>
      <w:r>
        <w:t>2 При устройстве подземной части сооружения под защитой ограждения котлована, обладающего высокими противофильтрационными характеристиками ("стена в грунте", буросекущие сваи и т.п.), необходимость устройства дренажа следует определять проектной организацией.</w:t>
      </w:r>
    </w:p>
    <w:p w:rsidR="00E35632" w:rsidRDefault="00E35632">
      <w:pPr>
        <w:pStyle w:val="ConsPlusNormal"/>
        <w:spacing w:before="220"/>
        <w:ind w:firstLine="540"/>
        <w:jc w:val="both"/>
      </w:pPr>
      <w:r>
        <w:t>3 При наличии гидроизоляции подземной части и обеспечении устойчивости проектируемого объекта против всплытия необходимость устройства дренажа должна определяться проектировщиком.</w:t>
      </w:r>
    </w:p>
    <w:p w:rsidR="00E35632" w:rsidRDefault="00E35632">
      <w:pPr>
        <w:pStyle w:val="ConsPlusNormal"/>
        <w:jc w:val="both"/>
      </w:pPr>
      <w:r>
        <w:t xml:space="preserve">(в ред. </w:t>
      </w:r>
      <w:hyperlink r:id="rId943">
        <w:r>
          <w:rPr>
            <w:color w:val="0000FF"/>
          </w:rPr>
          <w:t>Изменения N 3</w:t>
        </w:r>
      </w:hyperlink>
      <w:r>
        <w:t>, утв. Приказом Минстроя России от 22.11.2019 N 722/пр)</w:t>
      </w:r>
    </w:p>
    <w:p w:rsidR="00E35632" w:rsidRDefault="00E35632">
      <w:pPr>
        <w:pStyle w:val="ConsPlusNormal"/>
        <w:jc w:val="both"/>
      </w:pPr>
    </w:p>
    <w:p w:rsidR="00E35632" w:rsidRDefault="00E35632">
      <w:pPr>
        <w:pStyle w:val="ConsPlusNormal"/>
        <w:ind w:firstLine="540"/>
        <w:jc w:val="both"/>
      </w:pPr>
      <w:r>
        <w:t>11.18 При проектировании дренажей следует учитывать, что отметка пониженного уровня подземных вод должна быть не менее чем на 0,5 м ниже полов подвалов, технических подполий, коммуникационных каналов и других подземных сооружений.</w:t>
      </w:r>
    </w:p>
    <w:p w:rsidR="00E35632" w:rsidRDefault="00E35632">
      <w:pPr>
        <w:pStyle w:val="ConsPlusNormal"/>
        <w:spacing w:before="220"/>
        <w:ind w:firstLine="540"/>
        <w:jc w:val="both"/>
      </w:pPr>
      <w:r>
        <w:t>11.19 Прокладку дренажа в открытых траншеях допускается устраивать на свободных от застройки территориях. Закрытый беструбчатый дренаж (траншеи, заполненные фильтрующим материалом) может предусматриваться для кратковременной эксплуатации (на оползневых склонах в период осуществления мероприятий по стабилизации их устойчивости, в котлованах на период строительства сооружений и т.п.).</w:t>
      </w:r>
    </w:p>
    <w:p w:rsidR="00E35632" w:rsidRDefault="00E35632">
      <w:pPr>
        <w:pStyle w:val="ConsPlusNormal"/>
        <w:spacing w:before="220"/>
        <w:ind w:firstLine="540"/>
        <w:jc w:val="both"/>
      </w:pPr>
      <w:r>
        <w:t>11.20 Трубчатый дренаж следует предусматривать в грунтах с коэффициентом фильтрации 2 м/сут и более. Допускается его применение при коэффициенте фильтрации менее 2 м/сут при строительном водопонижении и в сопутствующих дренажах тоннелей, каналов и других устройств для прокладки коммуникаций, если опытным путем доказана его эффективность.</w:t>
      </w:r>
    </w:p>
    <w:p w:rsidR="00E35632" w:rsidRDefault="00E35632">
      <w:pPr>
        <w:pStyle w:val="ConsPlusNormal"/>
        <w:spacing w:before="220"/>
        <w:ind w:firstLine="540"/>
        <w:jc w:val="both"/>
      </w:pPr>
      <w:r>
        <w:t>11.21 Устройство дренажей в виде подземных галерей (проходных и полупроходных) допускается:</w:t>
      </w:r>
    </w:p>
    <w:p w:rsidR="00E35632" w:rsidRDefault="00E35632">
      <w:pPr>
        <w:pStyle w:val="ConsPlusNormal"/>
        <w:spacing w:before="220"/>
        <w:ind w:firstLine="540"/>
        <w:jc w:val="both"/>
      </w:pPr>
      <w:r>
        <w:t>- при возможности выполнения дренажа только подземным способом;</w:t>
      </w:r>
    </w:p>
    <w:p w:rsidR="00E35632" w:rsidRDefault="00E35632">
      <w:pPr>
        <w:pStyle w:val="ConsPlusNormal"/>
        <w:spacing w:before="220"/>
        <w:ind w:firstLine="540"/>
        <w:jc w:val="both"/>
      </w:pPr>
      <w:r>
        <w:t>- его использовании в период эксплуатации сооружения (особенно в случаях, когда переустройство или ремонт дренажа невозможны или затруднительны);</w:t>
      </w:r>
    </w:p>
    <w:p w:rsidR="00E35632" w:rsidRDefault="00E35632">
      <w:pPr>
        <w:pStyle w:val="ConsPlusNormal"/>
        <w:spacing w:before="220"/>
        <w:ind w:firstLine="540"/>
        <w:jc w:val="both"/>
      </w:pPr>
      <w:r>
        <w:t>- в инженерно-геологических условиях, где их применение экономически эффективно.</w:t>
      </w:r>
    </w:p>
    <w:p w:rsidR="00E35632" w:rsidRDefault="00E35632">
      <w:pPr>
        <w:pStyle w:val="ConsPlusNormal"/>
        <w:spacing w:before="220"/>
        <w:ind w:firstLine="540"/>
        <w:jc w:val="both"/>
      </w:pPr>
      <w:r>
        <w:t xml:space="preserve">11.22 Расчет дренажей должен включать фильтрационные расчеты (приток и положение пониженного уровня подземных вод), гидравлические расчеты (пропуск каптированных подземных вод через сооружения дренажа) и подбор песчано-гравийных обсыпок согласно </w:t>
      </w:r>
      <w:hyperlink r:id="rId944">
        <w:r>
          <w:rPr>
            <w:color w:val="0000FF"/>
          </w:rPr>
          <w:t>СП 103.13330</w:t>
        </w:r>
      </w:hyperlink>
      <w:r>
        <w:t>.</w:t>
      </w:r>
    </w:p>
    <w:p w:rsidR="00E35632" w:rsidRDefault="00E35632">
      <w:pPr>
        <w:pStyle w:val="ConsPlusNormal"/>
        <w:spacing w:before="220"/>
        <w:ind w:firstLine="540"/>
        <w:jc w:val="both"/>
      </w:pPr>
      <w:r>
        <w:t>11.23 При назначении конструктивных параметров дренажей следует обеспечить их водозахватную и водопропускную способности, достаточную прочность при восприятии внешних статических и динамических нагрузок и устойчивость материала дренажа к воздействию агрессивных подземных вод.</w:t>
      </w:r>
    </w:p>
    <w:p w:rsidR="00E35632" w:rsidRDefault="00E35632">
      <w:pPr>
        <w:pStyle w:val="ConsPlusNormal"/>
        <w:spacing w:before="220"/>
        <w:ind w:firstLine="540"/>
        <w:jc w:val="both"/>
      </w:pPr>
      <w:r>
        <w:t>11.24 Продольные уклоны дренажей должны обеспечивать скорость воды в трубах, при которой не происходит их заиливание. Для дренажных труб диаметром до 150 мм минимальный уклон следует принимать равным 0,005, для труб диаметром более 200 мм - 0,003.</w:t>
      </w:r>
    </w:p>
    <w:p w:rsidR="00E35632" w:rsidRDefault="00E35632">
      <w:pPr>
        <w:pStyle w:val="ConsPlusNormal"/>
        <w:spacing w:before="220"/>
        <w:ind w:firstLine="540"/>
        <w:jc w:val="both"/>
      </w:pPr>
      <w:r>
        <w:t>11.25 Трубчатый дренаж следует проектировать из хризотилцементных (в большинстве случаев), керамических, бетонных, железобетонных, чугунных и пластмассовых труб. В агрессивных водах следует применять пластмассовые, керамические и чугунные трубы.</w:t>
      </w:r>
    </w:p>
    <w:p w:rsidR="00E35632" w:rsidRDefault="00E35632">
      <w:pPr>
        <w:pStyle w:val="ConsPlusNormal"/>
        <w:spacing w:before="220"/>
        <w:ind w:firstLine="540"/>
        <w:jc w:val="both"/>
      </w:pPr>
      <w:r>
        <w:t>11.26 Работы по устройству дренажей должны выполняться в осушенных грунтах. Дренажные трубы следует закладывать ниже расчетной глубины промерзания грунта.</w:t>
      </w:r>
    </w:p>
    <w:p w:rsidR="00E35632" w:rsidRDefault="00E35632">
      <w:pPr>
        <w:pStyle w:val="ConsPlusNormal"/>
        <w:spacing w:before="220"/>
        <w:ind w:firstLine="540"/>
        <w:jc w:val="both"/>
      </w:pPr>
      <w:r>
        <w:t>11.27 Для обеспечения водозахватной способности трубчатых дренажей и дренажных галерей следует предусматривать их обсыпку из дренирующих материалов (щебня, гравия, песка или их смесей). Для дренажных галерей может быть применена также специальная обделка из пористого бетона с устройством водоприемных окон. Подбор состава обсыпок, числа их слоев (один или два) и их толщины проводят в зависимости от типа фильтра и состава дренируемых грунтов.</w:t>
      </w:r>
    </w:p>
    <w:p w:rsidR="00E35632" w:rsidRDefault="00E35632">
      <w:pPr>
        <w:pStyle w:val="ConsPlusNormal"/>
        <w:spacing w:before="220"/>
        <w:ind w:firstLine="540"/>
        <w:jc w:val="both"/>
      </w:pPr>
      <w:r>
        <w:t>11.28 Пластовый дренаж следует предусматривать двухслойным в глинистых грунтах или пылеватых песках и однослойным - в скальных или полускальных грунтах. Минимальная толщина нижнего песчаного слоя должна составлять 100 мм, а верхнего гравийного (щебеночного) - 150 мм.</w:t>
      </w:r>
    </w:p>
    <w:p w:rsidR="00E35632" w:rsidRDefault="00E35632">
      <w:pPr>
        <w:pStyle w:val="ConsPlusNormal"/>
        <w:spacing w:before="220"/>
        <w:ind w:firstLine="540"/>
        <w:jc w:val="both"/>
      </w:pPr>
      <w:r>
        <w:t>Поверхность дна котлована, спланированного под укладу песчано-гравийного материала пластового дренажа, должна иметь уклон 0,005 - 0,010 в сторону горизонтальных трубчатых дрен, расположенных по периметру сооружения.</w:t>
      </w:r>
    </w:p>
    <w:p w:rsidR="00E35632" w:rsidRDefault="00E35632">
      <w:pPr>
        <w:pStyle w:val="ConsPlusNormal"/>
        <w:spacing w:before="220"/>
        <w:ind w:firstLine="540"/>
        <w:jc w:val="both"/>
      </w:pPr>
      <w:r>
        <w:t>11.29 Конструктивной частью пластового дренажа является пристенный дренаж, устраиваемый по внешней боковой поверхности подземной части защищаемого сооружения в слабопроницаемых и слоистых грунтах при отсутствии постоянного горизонта подземных вод в уровне подземной части сооружения. Пристенный дренаж выполняется толщиной не менее 0,3 м из песка с коэффициентом фильтрации не менее 5 м/сут или устраивается из дренажных рулонных искусственных материалов. Воды, каптированные пристенным дренажом, отводятся в пластовый дренаж.</w:t>
      </w:r>
    </w:p>
    <w:p w:rsidR="00E35632" w:rsidRDefault="00E35632">
      <w:pPr>
        <w:pStyle w:val="ConsPlusNormal"/>
        <w:jc w:val="both"/>
      </w:pPr>
    </w:p>
    <w:p w:rsidR="00E35632" w:rsidRDefault="00E35632">
      <w:pPr>
        <w:pStyle w:val="ConsPlusTitle"/>
        <w:ind w:firstLine="540"/>
        <w:jc w:val="both"/>
        <w:outlineLvl w:val="1"/>
      </w:pPr>
      <w:bookmarkStart w:id="263" w:name="P4957"/>
      <w:bookmarkEnd w:id="263"/>
      <w:r>
        <w:t>12 Геотехнический мониторинг</w:t>
      </w:r>
    </w:p>
    <w:p w:rsidR="00E35632" w:rsidRDefault="00E35632">
      <w:pPr>
        <w:pStyle w:val="ConsPlusNormal"/>
        <w:jc w:val="both"/>
      </w:pPr>
    </w:p>
    <w:p w:rsidR="00E35632" w:rsidRDefault="00E35632">
      <w:pPr>
        <w:pStyle w:val="ConsPlusNormal"/>
        <w:ind w:firstLine="540"/>
        <w:jc w:val="both"/>
      </w:pPr>
      <w:r>
        <w:t>12.1 Геотехнический мониторинг - комплекс работ, основанный на натурных наблюдениях за поведением конструкций вновь возводимого или реконструируемого сооружения, его основания, в т.ч. грунтового массива, окружающего (вмещающего) сооружение, и конструкций сооружений окружающей застройки. Геотехнический мониторинг осуществляется в период строительства (в т.ч. в период сноса до начала строительства) и на начальном этане эксплуатации вновь возводимых или реконструируемых объектов.</w:t>
      </w:r>
    </w:p>
    <w:p w:rsidR="00E35632" w:rsidRDefault="00E35632">
      <w:pPr>
        <w:pStyle w:val="ConsPlusNormal"/>
        <w:spacing w:before="220"/>
        <w:ind w:firstLine="540"/>
        <w:jc w:val="both"/>
      </w:pPr>
      <w:r>
        <w:t xml:space="preserve">Цель геотехнического мониторинга - обеспечение безопасности строительства и эксплуатационной надежности вновь возводимых (реконструируемых) объектов и сооружений окружающей застройки и сохранности экологической обстановки </w:t>
      </w:r>
      <w:hyperlink w:anchor="P5080">
        <w:r>
          <w:rPr>
            <w:color w:val="0000FF"/>
          </w:rPr>
          <w:t>(раздел 13)</w:t>
        </w:r>
      </w:hyperlink>
      <w:r>
        <w:t>.</w:t>
      </w:r>
    </w:p>
    <w:p w:rsidR="00E35632" w:rsidRDefault="00E35632">
      <w:pPr>
        <w:pStyle w:val="ConsPlusNormal"/>
        <w:spacing w:before="220"/>
        <w:ind w:firstLine="540"/>
        <w:jc w:val="both"/>
      </w:pPr>
      <w:r>
        <w:t>12.2 При проведении геотехнического мониторинга решаются следующие задачи:</w:t>
      </w:r>
    </w:p>
    <w:p w:rsidR="00E35632" w:rsidRDefault="00E35632">
      <w:pPr>
        <w:pStyle w:val="ConsPlusNormal"/>
        <w:spacing w:before="220"/>
        <w:ind w:firstLine="540"/>
        <w:jc w:val="both"/>
      </w:pPr>
      <w:r>
        <w:t>- систематическая фиксация изменений контролируемых параметров конструкций сооружений и геологической среды;</w:t>
      </w:r>
    </w:p>
    <w:p w:rsidR="00E35632" w:rsidRDefault="00E35632">
      <w:pPr>
        <w:pStyle w:val="ConsPlusNormal"/>
        <w:spacing w:before="220"/>
        <w:ind w:firstLine="540"/>
        <w:jc w:val="both"/>
      </w:pPr>
      <w:r>
        <w:t xml:space="preserve">- своевременное выявление отклонений контролируемых параметров (в т.ч. их изменений, нарушающих ожидаемые тенденции) конструкций строящегося (реконструируемого) объекта и его основания от заданных проектных значений, параметров грунтового массива и окружающей застройки - от значений, полученных в результате геотехнического прогноза в соответствии с требованиями </w:t>
      </w:r>
      <w:hyperlink w:anchor="P4452">
        <w:r>
          <w:rPr>
            <w:color w:val="0000FF"/>
          </w:rPr>
          <w:t>раздела 9</w:t>
        </w:r>
      </w:hyperlink>
      <w:r>
        <w:t>;</w:t>
      </w:r>
    </w:p>
    <w:p w:rsidR="00E35632" w:rsidRDefault="00E35632">
      <w:pPr>
        <w:pStyle w:val="ConsPlusNormal"/>
        <w:spacing w:before="220"/>
        <w:ind w:firstLine="540"/>
        <w:jc w:val="both"/>
      </w:pPr>
      <w:r>
        <w:t>- анализ степени опасности выявленных отклонений контролируемых параметров и установление причин их возникновения;</w:t>
      </w:r>
    </w:p>
    <w:p w:rsidR="00E35632" w:rsidRDefault="00E35632">
      <w:pPr>
        <w:pStyle w:val="ConsPlusNormal"/>
        <w:spacing w:before="220"/>
        <w:ind w:firstLine="540"/>
        <w:jc w:val="both"/>
      </w:pPr>
      <w:r>
        <w:t>- разработка мероприятий, предупреждающих и устраняющих выявленные негативные процессы или причины, которыми они обусловлены.</w:t>
      </w:r>
    </w:p>
    <w:p w:rsidR="00E35632" w:rsidRDefault="00E35632">
      <w:pPr>
        <w:pStyle w:val="ConsPlusNormal"/>
        <w:spacing w:before="220"/>
        <w:ind w:firstLine="540"/>
        <w:jc w:val="both"/>
      </w:pPr>
      <w:bookmarkStart w:id="264" w:name="P4966"/>
      <w:bookmarkEnd w:id="264"/>
      <w:r>
        <w:t>12.3 При выполнении геотехнического мониторинга применяются следующие методы:</w:t>
      </w:r>
    </w:p>
    <w:p w:rsidR="00E35632" w:rsidRDefault="00E35632">
      <w:pPr>
        <w:pStyle w:val="ConsPlusNormal"/>
        <w:spacing w:before="220"/>
        <w:ind w:firstLine="540"/>
        <w:jc w:val="both"/>
      </w:pPr>
      <w:r>
        <w:t>- визуально-инструментальные (наблюдения за уровнем подземных вод, состоянием конструкций, в т.ч. поврежденных, с фиксацией дефектов маяками или аналогичными устройствами, фотофиксация и др.);</w:t>
      </w:r>
    </w:p>
    <w:p w:rsidR="00E35632" w:rsidRDefault="00E35632">
      <w:pPr>
        <w:pStyle w:val="ConsPlusNormal"/>
        <w:spacing w:before="220"/>
        <w:ind w:firstLine="540"/>
        <w:jc w:val="both"/>
      </w:pPr>
      <w:r>
        <w:t>- геодезические (фиксация перемещений марок и др.) с применением нивелиров, теодолитов, тахеометров, сканеров (в т.ч. оптических, электронных, лазерных и др.) и навигационных спутниковых систем;</w:t>
      </w:r>
    </w:p>
    <w:p w:rsidR="00E35632" w:rsidRDefault="00E35632">
      <w:pPr>
        <w:pStyle w:val="ConsPlusNormal"/>
        <w:spacing w:before="220"/>
        <w:ind w:firstLine="540"/>
        <w:jc w:val="both"/>
      </w:pPr>
      <w:r>
        <w:t>- параметрические (фиксация напряжений в основании под подошвой фундамента, под пятой сваи, в несущих конструкциях и др.) с применением комплекса датчиков напряжений и деформации (в том числе струнных, тензометрических, оптиковолоконных, инклинометрических и др.);</w:t>
      </w:r>
    </w:p>
    <w:p w:rsidR="00E35632" w:rsidRDefault="00E35632">
      <w:pPr>
        <w:pStyle w:val="ConsPlusNormal"/>
        <w:spacing w:before="220"/>
        <w:ind w:firstLine="540"/>
        <w:jc w:val="both"/>
      </w:pPr>
      <w:r>
        <w:t>- виброметрические (измерение кинематических параметров колебаний: виброперемещений, виброскоростей, виброускорений);</w:t>
      </w:r>
    </w:p>
    <w:p w:rsidR="00E35632" w:rsidRDefault="00E35632">
      <w:pPr>
        <w:pStyle w:val="ConsPlusNormal"/>
        <w:spacing w:before="220"/>
        <w:ind w:firstLine="540"/>
        <w:jc w:val="both"/>
      </w:pPr>
      <w:r>
        <w:t>- геофизические (электромагнитные, сейсмические и др.).</w:t>
      </w:r>
    </w:p>
    <w:p w:rsidR="00E35632" w:rsidRDefault="00E35632">
      <w:pPr>
        <w:pStyle w:val="ConsPlusNormal"/>
        <w:spacing w:before="220"/>
        <w:ind w:firstLine="540"/>
        <w:jc w:val="both"/>
      </w:pPr>
      <w:r>
        <w:t>Примечание - Допускается для фиксации изменений контролируемых параметров использовать другие методы, в т.ч. косвенные, которые должны обеспечивать достоверность результатов наблюдений и их согласованность с результатами, полученными по указанным методам.</w:t>
      </w:r>
    </w:p>
    <w:p w:rsidR="00E35632" w:rsidRDefault="00E35632">
      <w:pPr>
        <w:pStyle w:val="ConsPlusNormal"/>
        <w:jc w:val="both"/>
      </w:pPr>
    </w:p>
    <w:p w:rsidR="00E35632" w:rsidRDefault="00E35632">
      <w:pPr>
        <w:pStyle w:val="ConsPlusNormal"/>
        <w:ind w:firstLine="540"/>
        <w:jc w:val="both"/>
      </w:pPr>
      <w:bookmarkStart w:id="265" w:name="P4974"/>
      <w:bookmarkEnd w:id="265"/>
      <w:r>
        <w:t>12.4 Для объектов нового строительства и реконструкции геотехнических категорий 2 и 3 необходимо проводить геотехнический мониторинг:</w:t>
      </w:r>
    </w:p>
    <w:p w:rsidR="00E35632" w:rsidRDefault="00E35632">
      <w:pPr>
        <w:pStyle w:val="ConsPlusNormal"/>
        <w:spacing w:before="220"/>
        <w:ind w:firstLine="540"/>
        <w:jc w:val="both"/>
      </w:pPr>
      <w:r>
        <w:t>- оснований, фундаментов и конструкций сооружений;</w:t>
      </w:r>
    </w:p>
    <w:p w:rsidR="00E35632" w:rsidRDefault="00E35632">
      <w:pPr>
        <w:pStyle w:val="ConsPlusNormal"/>
        <w:spacing w:before="220"/>
        <w:ind w:firstLine="540"/>
        <w:jc w:val="both"/>
      </w:pPr>
      <w:r>
        <w:t>- ограждающих конструкций котлованов;</w:t>
      </w:r>
    </w:p>
    <w:p w:rsidR="00E35632" w:rsidRDefault="00E35632">
      <w:pPr>
        <w:pStyle w:val="ConsPlusNormal"/>
        <w:spacing w:before="220"/>
        <w:ind w:firstLine="540"/>
        <w:jc w:val="both"/>
      </w:pPr>
      <w:r>
        <w:t>- массива грунта, окружающего подземную часть сооружения, расположенного на застроенной территории.</w:t>
      </w:r>
    </w:p>
    <w:p w:rsidR="00E35632" w:rsidRDefault="00E35632">
      <w:pPr>
        <w:pStyle w:val="ConsPlusNormal"/>
        <w:spacing w:before="220"/>
        <w:ind w:firstLine="540"/>
        <w:jc w:val="both"/>
      </w:pPr>
      <w:r>
        <w:t>Примечание - Геотехнический мониторинг для сооружений геотехнической категории 1 допускается проводить по специальному заданию.</w:t>
      </w:r>
    </w:p>
    <w:p w:rsidR="00E35632" w:rsidRDefault="00E35632">
      <w:pPr>
        <w:pStyle w:val="ConsPlusNormal"/>
        <w:jc w:val="both"/>
      </w:pPr>
    </w:p>
    <w:p w:rsidR="00E35632" w:rsidRDefault="00E35632">
      <w:pPr>
        <w:pStyle w:val="ConsPlusNormal"/>
        <w:ind w:firstLine="540"/>
        <w:jc w:val="both"/>
      </w:pPr>
      <w:bookmarkStart w:id="266" w:name="P4980"/>
      <w:bookmarkEnd w:id="266"/>
      <w:r>
        <w:t xml:space="preserve">12.5 Геотехнический мониторинг сооружений окружающей застройки, в т.ч. подземных инженерных коммуникаций, необходимо проводить при их расположении в зоне влияния нового строительства или реконструкции (в т.ч. прокладки подземных инженерных коммуникаций), размеры которой определяются по результатам геотехнического прогноза (см. </w:t>
      </w:r>
      <w:hyperlink w:anchor="P4751">
        <w:r>
          <w:rPr>
            <w:color w:val="0000FF"/>
          </w:rPr>
          <w:t>9.33</w:t>
        </w:r>
      </w:hyperlink>
      <w:r>
        <w:t xml:space="preserve">, </w:t>
      </w:r>
      <w:hyperlink w:anchor="P4763">
        <w:r>
          <w:rPr>
            <w:color w:val="0000FF"/>
          </w:rPr>
          <w:t>9.34</w:t>
        </w:r>
      </w:hyperlink>
      <w:r>
        <w:t xml:space="preserve">). Для предварительного назначения зоны влияния и геотехнического мониторинга сооружений окружающей застройки допускается использовать требования </w:t>
      </w:r>
      <w:hyperlink w:anchor="P4786">
        <w:r>
          <w:rPr>
            <w:color w:val="0000FF"/>
          </w:rPr>
          <w:t>9.36</w:t>
        </w:r>
      </w:hyperlink>
      <w:r>
        <w:t>.</w:t>
      </w:r>
    </w:p>
    <w:p w:rsidR="00E35632" w:rsidRDefault="00E35632">
      <w:pPr>
        <w:pStyle w:val="ConsPlusNormal"/>
        <w:spacing w:before="220"/>
        <w:ind w:firstLine="540"/>
        <w:jc w:val="both"/>
      </w:pPr>
      <w:r>
        <w:t>Примечание - Геотехнический мониторинг неводонесущих инженерных коммуникаций допускается выполнять по требованиям эксплуатирующей организации или в соответствии со специальным заданием.</w:t>
      </w:r>
    </w:p>
    <w:p w:rsidR="00E35632" w:rsidRDefault="00E35632">
      <w:pPr>
        <w:pStyle w:val="ConsPlusNormal"/>
        <w:jc w:val="both"/>
      </w:pPr>
    </w:p>
    <w:p w:rsidR="00E35632" w:rsidRDefault="00E35632">
      <w:pPr>
        <w:pStyle w:val="ConsPlusNormal"/>
        <w:ind w:firstLine="540"/>
        <w:jc w:val="both"/>
      </w:pPr>
      <w:bookmarkStart w:id="267" w:name="P4983"/>
      <w:bookmarkEnd w:id="267"/>
      <w:r>
        <w:t xml:space="preserve">12.6 Геотехнический мониторинг осуществляется в соответствии с программой, которая разрабатывается в процессе проектирования и является разделом утверждаемой части проектной документации. Программа геотехнического мониторинга должна учитывать рекомендации, полученные в ходе работ по научно-техническому сопровождению строительства (см. </w:t>
      </w:r>
      <w:hyperlink w:anchor="P334">
        <w:r>
          <w:rPr>
            <w:color w:val="0000FF"/>
          </w:rPr>
          <w:t>4.17</w:t>
        </w:r>
      </w:hyperlink>
      <w:r>
        <w:t>).</w:t>
      </w:r>
    </w:p>
    <w:p w:rsidR="00E35632" w:rsidRDefault="00E35632">
      <w:pPr>
        <w:pStyle w:val="ConsPlusNormal"/>
        <w:spacing w:before="220"/>
        <w:ind w:firstLine="540"/>
        <w:jc w:val="both"/>
      </w:pPr>
      <w:r>
        <w:t>При разработке программы геотехнического мониторинга должны быть определены состав, объемы, периодичность, сроки и методы работ, которые назначаются применительно к рассматриваемому объекту строительства (реконструкции) с учетом его специфики, включающей результаты инженерных изысканий на площадке строительства, особенностей проектируемого или реконструируемого сооружения и сооружений окружающей застройки и т.п.</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 xml:space="preserve">1 Состав работ по геотехническому мониторингу определяется в соответствии с требованиями </w:t>
      </w:r>
      <w:hyperlink w:anchor="P4974">
        <w:r>
          <w:rPr>
            <w:color w:val="0000FF"/>
          </w:rPr>
          <w:t>12.4</w:t>
        </w:r>
      </w:hyperlink>
      <w:r>
        <w:t xml:space="preserve">, </w:t>
      </w:r>
      <w:hyperlink w:anchor="P4980">
        <w:r>
          <w:rPr>
            <w:color w:val="0000FF"/>
          </w:rPr>
          <w:t>12.5</w:t>
        </w:r>
      </w:hyperlink>
      <w:r>
        <w:t xml:space="preserve">. Объемы, периодичность, сроки и методы геотехнического мониторинга, в т.ч. для окружающей застройки, должны приниматься по </w:t>
      </w:r>
      <w:hyperlink w:anchor="P5014">
        <w:r>
          <w:rPr>
            <w:color w:val="0000FF"/>
          </w:rPr>
          <w:t>таблице 12.1</w:t>
        </w:r>
      </w:hyperlink>
      <w:r>
        <w:t>.</w:t>
      </w:r>
    </w:p>
    <w:p w:rsidR="00E35632" w:rsidRDefault="00E35632">
      <w:pPr>
        <w:pStyle w:val="ConsPlusNormal"/>
        <w:spacing w:before="220"/>
        <w:ind w:firstLine="540"/>
        <w:jc w:val="both"/>
      </w:pPr>
      <w:r>
        <w:t xml:space="preserve">2 При проектировании оснований сооружений геотехнических категорий 2 и 3, возводимых на органоминеральных и органических грунтах необходимо учитывать требования </w:t>
      </w:r>
      <w:hyperlink w:anchor="P3005">
        <w:r>
          <w:rPr>
            <w:color w:val="0000FF"/>
          </w:rPr>
          <w:t>6.4.33</w:t>
        </w:r>
      </w:hyperlink>
      <w:r>
        <w:t>.</w:t>
      </w:r>
    </w:p>
    <w:p w:rsidR="00E35632" w:rsidRDefault="00E35632">
      <w:pPr>
        <w:pStyle w:val="ConsPlusNormal"/>
        <w:jc w:val="both"/>
      </w:pPr>
    </w:p>
    <w:p w:rsidR="00E35632" w:rsidRDefault="00E35632">
      <w:pPr>
        <w:pStyle w:val="ConsPlusNormal"/>
        <w:ind w:firstLine="540"/>
        <w:jc w:val="both"/>
      </w:pPr>
      <w:r>
        <w:t xml:space="preserve">12.7 В программе геотехнического мониторинга следует учитывать факторы, которые будут оказывать влияние на вновь возводимое (реконструируемое) сооружение, его основание, окружающий грунтовый массив и сооружения окружающей застройки в процессе строительства и эксплуатации, в т.ч. расположение площадки строительства на территории с распространением специфических грунтов и возможностью проявления опасных геологических процессов (карст, суффозия, оползневые процессы, оседание поверхности и др.), указанных в </w:t>
      </w:r>
      <w:hyperlink w:anchor="P2321">
        <w:r>
          <w:rPr>
            <w:color w:val="0000FF"/>
          </w:rPr>
          <w:t>разделе 6</w:t>
        </w:r>
      </w:hyperlink>
      <w:r>
        <w:t>, а также динамические воздействия от строительных работ и внешних источников.</w:t>
      </w:r>
    </w:p>
    <w:p w:rsidR="00E35632" w:rsidRDefault="00E35632">
      <w:pPr>
        <w:pStyle w:val="ConsPlusNormal"/>
        <w:spacing w:before="220"/>
        <w:ind w:firstLine="540"/>
        <w:jc w:val="both"/>
      </w:pPr>
      <w:r>
        <w:t>12.8 Программа работ по геотехническому мониторингу должна отвечать следующим требованиям:</w:t>
      </w:r>
    </w:p>
    <w:p w:rsidR="00E35632" w:rsidRDefault="00E35632">
      <w:pPr>
        <w:pStyle w:val="ConsPlusNormal"/>
        <w:spacing w:before="220"/>
        <w:ind w:firstLine="540"/>
        <w:jc w:val="both"/>
      </w:pPr>
      <w:r>
        <w:t>- фиксация контролируемых параметров должна выполняться как для наиболее опасных, так и характерных участков конструкций вновь возводимых (реконструируемых) сооружений, их оснований и окружающей застройки;</w:t>
      </w:r>
    </w:p>
    <w:p w:rsidR="00E35632" w:rsidRDefault="00E35632">
      <w:pPr>
        <w:pStyle w:val="ConsPlusNormal"/>
        <w:spacing w:before="220"/>
        <w:ind w:firstLine="540"/>
        <w:jc w:val="both"/>
      </w:pPr>
      <w:r>
        <w:t>- выбранные методы и точность измерений должны обеспечивать достоверность получаемых результатов и быть согласованы с точностью заданных проектных значений и результатами геотехнического прогноза;</w:t>
      </w:r>
    </w:p>
    <w:p w:rsidR="00E35632" w:rsidRDefault="00E35632">
      <w:pPr>
        <w:pStyle w:val="ConsPlusNormal"/>
        <w:spacing w:before="220"/>
        <w:ind w:firstLine="540"/>
        <w:jc w:val="both"/>
      </w:pPr>
      <w:r>
        <w:t>- все проводимые наблюдения и измерения должны быть увязаны между собой во времени и привязаны к этапам выполнения строительных работ;</w:t>
      </w:r>
    </w:p>
    <w:p w:rsidR="00E35632" w:rsidRDefault="00E35632">
      <w:pPr>
        <w:pStyle w:val="ConsPlusNormal"/>
        <w:spacing w:before="220"/>
        <w:ind w:firstLine="540"/>
        <w:jc w:val="both"/>
      </w:pPr>
      <w:r>
        <w:t>- периодичность наблюдений следует определять интенсивностью (скоростью) и длительностью протекания процессов деформирования конструкций сооружений и их оснований.</w:t>
      </w:r>
    </w:p>
    <w:p w:rsidR="00E35632" w:rsidRDefault="00E35632">
      <w:pPr>
        <w:pStyle w:val="ConsPlusNormal"/>
        <w:spacing w:before="220"/>
        <w:ind w:firstLine="540"/>
        <w:jc w:val="both"/>
      </w:pPr>
      <w:r>
        <w:t>Примечание - Указанные требования должны также удовлетворяться в процессе проведения геотехнического мониторинга.</w:t>
      </w:r>
    </w:p>
    <w:p w:rsidR="00E35632" w:rsidRDefault="00E35632">
      <w:pPr>
        <w:pStyle w:val="ConsPlusNormal"/>
        <w:jc w:val="both"/>
      </w:pPr>
    </w:p>
    <w:p w:rsidR="00E35632" w:rsidRDefault="00E35632">
      <w:pPr>
        <w:pStyle w:val="ConsPlusNormal"/>
        <w:ind w:firstLine="540"/>
        <w:jc w:val="both"/>
      </w:pPr>
      <w:bookmarkStart w:id="268" w:name="P4997"/>
      <w:bookmarkEnd w:id="268"/>
      <w:r>
        <w:t>12.9 В программе геотехнического мониторинга необходимо указывать:</w:t>
      </w:r>
    </w:p>
    <w:p w:rsidR="00E35632" w:rsidRDefault="00E35632">
      <w:pPr>
        <w:pStyle w:val="ConsPlusNormal"/>
        <w:spacing w:before="220"/>
        <w:ind w:firstLine="540"/>
        <w:jc w:val="both"/>
      </w:pPr>
      <w:r>
        <w:t>- особенности вновь возводимого или реконструируемого объекта (уровень ответственности, конструктивная схема, проектные решения по устройству основания, фундаментов и подземной части сооружения, особенности возведения, эксплуатации и др.);</w:t>
      </w:r>
    </w:p>
    <w:p w:rsidR="00E35632" w:rsidRDefault="00E35632">
      <w:pPr>
        <w:pStyle w:val="ConsPlusNormal"/>
        <w:spacing w:before="220"/>
        <w:ind w:firstLine="540"/>
        <w:jc w:val="both"/>
      </w:pPr>
      <w:r>
        <w:t>- проектные (расчетные) параметры, характеризующие взаимодействие сооружения или его конструкций с основанием, в т.ч. временные, с учетом последовательности возведения (давление на основание, деформации основания фундаментов, напряжения в сваях и конструкциях подземной части сооружения, горизонтальные перемещения ограждающей конструкции котлована и усилия в конструкциях, обеспечивающих его устойчивость и др.);</w:t>
      </w:r>
    </w:p>
    <w:p w:rsidR="00E35632" w:rsidRDefault="00E35632">
      <w:pPr>
        <w:pStyle w:val="ConsPlusNormal"/>
        <w:spacing w:before="220"/>
        <w:ind w:firstLine="540"/>
        <w:jc w:val="both"/>
      </w:pPr>
      <w:r>
        <w:t>- инженерно-геологические и гидрогеологические условия, включая характеристики грунтов основания, прогнозируемые изменения уровня подземных вод, прогнозируемые величины перемещений грунтового массива, окружающего сооружение и др.;</w:t>
      </w:r>
    </w:p>
    <w:p w:rsidR="00E35632" w:rsidRDefault="00E35632">
      <w:pPr>
        <w:pStyle w:val="ConsPlusNormal"/>
        <w:spacing w:before="220"/>
        <w:ind w:firstLine="540"/>
        <w:jc w:val="both"/>
      </w:pPr>
      <w:r>
        <w:t>- сведения о сооружениях окружающей застройки (уровень ответственности сооружений, прогнозируемые и предельные значения дополнительных деформаций оснований и фундаментов, предполагаемые защитные мероприятия и др.);</w:t>
      </w:r>
    </w:p>
    <w:p w:rsidR="00E35632" w:rsidRDefault="00E35632">
      <w:pPr>
        <w:pStyle w:val="ConsPlusNormal"/>
        <w:spacing w:before="220"/>
        <w:ind w:firstLine="540"/>
        <w:jc w:val="both"/>
      </w:pPr>
      <w:r>
        <w:t>- контролируемые параметры (в т.ч. предполагаемое количество и участки фиксации их изменений) конструкций строящегося (реконструируемого) объекта, его основания, в т.ч. окружающего грунтового массива и уровня подземных вод, и окружающей застройки и этапы их первоначальной фиксации;</w:t>
      </w:r>
    </w:p>
    <w:p w:rsidR="00E35632" w:rsidRDefault="00E35632">
      <w:pPr>
        <w:pStyle w:val="ConsPlusNormal"/>
        <w:spacing w:before="220"/>
        <w:ind w:firstLine="540"/>
        <w:jc w:val="both"/>
      </w:pPr>
      <w:r>
        <w:t xml:space="preserve">- методы фиксации изменений контролируемых параметров и требования к точности измерений (в т.ч. класс точности геодезических измерений по </w:t>
      </w:r>
      <w:hyperlink r:id="rId945">
        <w:r>
          <w:rPr>
            <w:color w:val="0000FF"/>
          </w:rPr>
          <w:t>ГОСТ 24846</w:t>
        </w:r>
      </w:hyperlink>
      <w:r>
        <w:t xml:space="preserve"> и др.);</w:t>
      </w:r>
    </w:p>
    <w:p w:rsidR="00E35632" w:rsidRDefault="00E35632">
      <w:pPr>
        <w:pStyle w:val="ConsPlusNormal"/>
        <w:spacing w:before="220"/>
        <w:ind w:firstLine="540"/>
        <w:jc w:val="both"/>
      </w:pPr>
      <w:r>
        <w:t>- этапы, периодичность и сроки проведения наблюдений за контролируемыми параметрами с учетом последовательности возведения (реконструкции) сооружения;</w:t>
      </w:r>
    </w:p>
    <w:p w:rsidR="00E35632" w:rsidRDefault="00E35632">
      <w:pPr>
        <w:pStyle w:val="ConsPlusNormal"/>
        <w:spacing w:before="220"/>
        <w:ind w:firstLine="540"/>
        <w:jc w:val="both"/>
      </w:pPr>
      <w:r>
        <w:t>- требования к структуре, составу и периодичности подготовки отчетной документации.</w:t>
      </w:r>
    </w:p>
    <w:p w:rsidR="00E35632" w:rsidRDefault="00E35632">
      <w:pPr>
        <w:pStyle w:val="ConsPlusNormal"/>
        <w:spacing w:before="220"/>
        <w:ind w:firstLine="540"/>
        <w:jc w:val="both"/>
      </w:pPr>
      <w:bookmarkStart w:id="269" w:name="P5006"/>
      <w:bookmarkEnd w:id="269"/>
      <w:r>
        <w:t>12.10 На основе программы при геотехническом мониторинге сооружений геотехнической категории 3 или по специальному заданию в других случаях разрабатывается проект мониторинга (наблюдательной станции).</w:t>
      </w:r>
    </w:p>
    <w:p w:rsidR="00E35632" w:rsidRDefault="00E35632">
      <w:pPr>
        <w:pStyle w:val="ConsPlusNormal"/>
        <w:spacing w:before="220"/>
        <w:ind w:firstLine="540"/>
        <w:jc w:val="both"/>
      </w:pPr>
      <w:r>
        <w:t xml:space="preserve">В проекте геотехнического мониторинга, помимо сведений, содержащихся в программе мониторинга (см. </w:t>
      </w:r>
      <w:hyperlink w:anchor="P4997">
        <w:r>
          <w:rPr>
            <w:color w:val="0000FF"/>
          </w:rPr>
          <w:t>12.9</w:t>
        </w:r>
      </w:hyperlink>
      <w:r>
        <w:t>), должны быть представлены:</w:t>
      </w:r>
    </w:p>
    <w:p w:rsidR="00E35632" w:rsidRDefault="00E35632">
      <w:pPr>
        <w:pStyle w:val="ConsPlusNormal"/>
        <w:spacing w:before="220"/>
        <w:ind w:firstLine="540"/>
        <w:jc w:val="both"/>
      </w:pPr>
      <w:r>
        <w:t>- схемы установки наблюдательных марок, скважин, маяков, датчиков и др.;</w:t>
      </w:r>
    </w:p>
    <w:p w:rsidR="00E35632" w:rsidRDefault="00E35632">
      <w:pPr>
        <w:pStyle w:val="ConsPlusNormal"/>
        <w:spacing w:before="220"/>
        <w:ind w:firstLine="540"/>
        <w:jc w:val="both"/>
      </w:pPr>
      <w:r>
        <w:t>- конструкции и характеристика оборудования для проведения наблюдений;</w:t>
      </w:r>
    </w:p>
    <w:p w:rsidR="00E35632" w:rsidRDefault="00E35632">
      <w:pPr>
        <w:pStyle w:val="ConsPlusNormal"/>
        <w:spacing w:before="220"/>
        <w:ind w:firstLine="540"/>
        <w:jc w:val="both"/>
      </w:pPr>
      <w:r>
        <w:t>- методика измерений, оценка точности измерений и др.;</w:t>
      </w:r>
    </w:p>
    <w:p w:rsidR="00E35632" w:rsidRDefault="00E35632">
      <w:pPr>
        <w:pStyle w:val="ConsPlusNormal"/>
        <w:spacing w:before="220"/>
        <w:ind w:firstLine="540"/>
        <w:jc w:val="both"/>
      </w:pPr>
      <w:r>
        <w:t>- требования к визуально-инструментальному обследованию сооружений окружающей застройки.</w:t>
      </w:r>
    </w:p>
    <w:p w:rsidR="00E35632" w:rsidRDefault="00E35632">
      <w:pPr>
        <w:pStyle w:val="ConsPlusNormal"/>
        <w:spacing w:before="220"/>
        <w:ind w:firstLine="540"/>
        <w:jc w:val="both"/>
      </w:pPr>
      <w:r>
        <w:t xml:space="preserve">12.11 Объем, сроки, периодичность и методы работ при выполнении геотехнического мониторинга вновь возводимых (реконструируемых) сооружений повышенного и нормального уровня ответственности (см. </w:t>
      </w:r>
      <w:hyperlink w:anchor="P4974">
        <w:r>
          <w:rPr>
            <w:color w:val="0000FF"/>
          </w:rPr>
          <w:t>12.4</w:t>
        </w:r>
      </w:hyperlink>
      <w:r>
        <w:t xml:space="preserve">) и сооружений окружающей застройки (см. </w:t>
      </w:r>
      <w:hyperlink w:anchor="P4980">
        <w:r>
          <w:rPr>
            <w:color w:val="0000FF"/>
          </w:rPr>
          <w:t>12.5</w:t>
        </w:r>
      </w:hyperlink>
      <w:r>
        <w:t>) назначаются в соответствии с требованиями таблицы 12.1.</w:t>
      </w:r>
    </w:p>
    <w:p w:rsidR="00E35632" w:rsidRDefault="00E35632">
      <w:pPr>
        <w:pStyle w:val="ConsPlusNormal"/>
        <w:jc w:val="both"/>
      </w:pPr>
    </w:p>
    <w:p w:rsidR="00E35632" w:rsidRDefault="00E35632">
      <w:pPr>
        <w:pStyle w:val="ConsPlusNormal"/>
        <w:jc w:val="right"/>
      </w:pPr>
      <w:bookmarkStart w:id="270" w:name="P5014"/>
      <w:bookmarkEnd w:id="270"/>
      <w:r>
        <w:t>Таблица 12.1</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098"/>
        <w:gridCol w:w="1978"/>
        <w:gridCol w:w="1742"/>
        <w:gridCol w:w="1587"/>
        <w:gridCol w:w="1680"/>
      </w:tblGrid>
      <w:tr w:rsidR="00E35632">
        <w:tc>
          <w:tcPr>
            <w:tcW w:w="2098" w:type="dxa"/>
            <w:vMerge w:val="restart"/>
            <w:vAlign w:val="center"/>
          </w:tcPr>
          <w:p w:rsidR="00E35632" w:rsidRDefault="00E35632">
            <w:pPr>
              <w:pStyle w:val="ConsPlusNormal"/>
              <w:jc w:val="center"/>
            </w:pPr>
            <w:r>
              <w:t>Объемы, сроки, периодичность и методы</w:t>
            </w:r>
          </w:p>
        </w:tc>
        <w:tc>
          <w:tcPr>
            <w:tcW w:w="6987" w:type="dxa"/>
            <w:gridSpan w:val="4"/>
            <w:vAlign w:val="center"/>
          </w:tcPr>
          <w:p w:rsidR="00E35632" w:rsidRDefault="00E35632">
            <w:pPr>
              <w:pStyle w:val="ConsPlusNormal"/>
              <w:jc w:val="center"/>
            </w:pPr>
            <w:r>
              <w:t>Геотехнический мониторинг</w:t>
            </w:r>
          </w:p>
        </w:tc>
      </w:tr>
      <w:tr w:rsidR="00E35632">
        <w:tc>
          <w:tcPr>
            <w:tcW w:w="0" w:type="auto"/>
            <w:vMerge/>
          </w:tcPr>
          <w:p w:rsidR="00E35632" w:rsidRDefault="00E35632">
            <w:pPr>
              <w:pStyle w:val="ConsPlusNormal"/>
            </w:pPr>
          </w:p>
        </w:tc>
        <w:tc>
          <w:tcPr>
            <w:tcW w:w="5307" w:type="dxa"/>
            <w:gridSpan w:val="3"/>
            <w:vAlign w:val="center"/>
          </w:tcPr>
          <w:p w:rsidR="00E35632" w:rsidRDefault="00E35632">
            <w:pPr>
              <w:pStyle w:val="ConsPlusNormal"/>
              <w:jc w:val="center"/>
            </w:pPr>
            <w:r>
              <w:t>вновь возводимых (реконструируемых) сооружений</w:t>
            </w:r>
          </w:p>
        </w:tc>
        <w:tc>
          <w:tcPr>
            <w:tcW w:w="1680" w:type="dxa"/>
            <w:vMerge w:val="restart"/>
            <w:vAlign w:val="center"/>
          </w:tcPr>
          <w:p w:rsidR="00E35632" w:rsidRDefault="00E35632">
            <w:pPr>
              <w:pStyle w:val="ConsPlusNormal"/>
              <w:jc w:val="center"/>
            </w:pPr>
            <w:r>
              <w:t>сооружений окружающей застройки</w:t>
            </w:r>
          </w:p>
        </w:tc>
      </w:tr>
      <w:tr w:rsidR="00E35632">
        <w:tc>
          <w:tcPr>
            <w:tcW w:w="0" w:type="auto"/>
            <w:vMerge/>
          </w:tcPr>
          <w:p w:rsidR="00E35632" w:rsidRDefault="00E35632">
            <w:pPr>
              <w:pStyle w:val="ConsPlusNormal"/>
            </w:pPr>
          </w:p>
        </w:tc>
        <w:tc>
          <w:tcPr>
            <w:tcW w:w="1978" w:type="dxa"/>
            <w:vAlign w:val="center"/>
          </w:tcPr>
          <w:p w:rsidR="00E35632" w:rsidRDefault="00E35632">
            <w:pPr>
              <w:pStyle w:val="ConsPlusNormal"/>
              <w:jc w:val="center"/>
            </w:pPr>
            <w:r>
              <w:t>оснований, фундаментов, конструкций</w:t>
            </w:r>
          </w:p>
        </w:tc>
        <w:tc>
          <w:tcPr>
            <w:tcW w:w="1742" w:type="dxa"/>
            <w:vAlign w:val="center"/>
          </w:tcPr>
          <w:p w:rsidR="00E35632" w:rsidRDefault="00E35632">
            <w:pPr>
              <w:pStyle w:val="ConsPlusNormal"/>
              <w:jc w:val="center"/>
            </w:pPr>
            <w:r>
              <w:t>ограждающих конструкций котлована</w:t>
            </w:r>
          </w:p>
        </w:tc>
        <w:tc>
          <w:tcPr>
            <w:tcW w:w="1587" w:type="dxa"/>
            <w:vAlign w:val="center"/>
          </w:tcPr>
          <w:p w:rsidR="00E35632" w:rsidRDefault="00E35632">
            <w:pPr>
              <w:pStyle w:val="ConsPlusNormal"/>
              <w:jc w:val="center"/>
            </w:pPr>
            <w:r>
              <w:t>массива грунта, окружающего сооружение</w:t>
            </w:r>
          </w:p>
        </w:tc>
        <w:tc>
          <w:tcPr>
            <w:tcW w:w="0" w:type="auto"/>
            <w:vMerge/>
          </w:tcPr>
          <w:p w:rsidR="00E35632" w:rsidRDefault="00E35632">
            <w:pPr>
              <w:pStyle w:val="ConsPlusNormal"/>
            </w:pPr>
          </w:p>
        </w:tc>
      </w:tr>
      <w:tr w:rsidR="00E35632">
        <w:tc>
          <w:tcPr>
            <w:tcW w:w="2098" w:type="dxa"/>
          </w:tcPr>
          <w:p w:rsidR="00E35632" w:rsidRDefault="00E35632">
            <w:pPr>
              <w:pStyle w:val="ConsPlusNormal"/>
            </w:pPr>
            <w:r>
              <w:t>1 Контролируемые параметры</w:t>
            </w:r>
          </w:p>
        </w:tc>
        <w:tc>
          <w:tcPr>
            <w:tcW w:w="1978" w:type="dxa"/>
          </w:tcPr>
          <w:p w:rsidR="00E35632" w:rsidRDefault="00E35632">
            <w:pPr>
              <w:pStyle w:val="ConsPlusNormal"/>
            </w:pPr>
            <w:hyperlink w:anchor="P7546">
              <w:r>
                <w:rPr>
                  <w:color w:val="0000FF"/>
                </w:rPr>
                <w:t>Таблица Л.1</w:t>
              </w:r>
            </w:hyperlink>
            <w:r>
              <w:t xml:space="preserve"> и </w:t>
            </w:r>
            <w:hyperlink w:anchor="P7593">
              <w:r>
                <w:rPr>
                  <w:color w:val="0000FF"/>
                </w:rPr>
                <w:t>Л.2</w:t>
              </w:r>
            </w:hyperlink>
            <w:r>
              <w:t xml:space="preserve"> приложения Л</w:t>
            </w:r>
          </w:p>
        </w:tc>
        <w:tc>
          <w:tcPr>
            <w:tcW w:w="1742" w:type="dxa"/>
          </w:tcPr>
          <w:p w:rsidR="00E35632" w:rsidRDefault="00E35632">
            <w:pPr>
              <w:pStyle w:val="ConsPlusNormal"/>
            </w:pPr>
            <w:hyperlink w:anchor="P7635">
              <w:r>
                <w:rPr>
                  <w:color w:val="0000FF"/>
                </w:rPr>
                <w:t>Таблица Л.3</w:t>
              </w:r>
            </w:hyperlink>
            <w:r>
              <w:t xml:space="preserve"> приложения Л</w:t>
            </w:r>
          </w:p>
        </w:tc>
        <w:tc>
          <w:tcPr>
            <w:tcW w:w="1587" w:type="dxa"/>
          </w:tcPr>
          <w:p w:rsidR="00E35632" w:rsidRDefault="00E35632">
            <w:pPr>
              <w:pStyle w:val="ConsPlusNormal"/>
            </w:pPr>
            <w:hyperlink w:anchor="P7698">
              <w:r>
                <w:rPr>
                  <w:color w:val="0000FF"/>
                </w:rPr>
                <w:t>Таблица Л.4</w:t>
              </w:r>
            </w:hyperlink>
            <w:r>
              <w:t xml:space="preserve"> приложения Л</w:t>
            </w:r>
          </w:p>
        </w:tc>
        <w:tc>
          <w:tcPr>
            <w:tcW w:w="1680" w:type="dxa"/>
          </w:tcPr>
          <w:p w:rsidR="00E35632" w:rsidRDefault="00E35632">
            <w:pPr>
              <w:pStyle w:val="ConsPlusNormal"/>
            </w:pPr>
            <w:hyperlink w:anchor="P7755">
              <w:r>
                <w:rPr>
                  <w:color w:val="0000FF"/>
                </w:rPr>
                <w:t>Таблицы Л.5</w:t>
              </w:r>
            </w:hyperlink>
            <w:r>
              <w:t xml:space="preserve"> и </w:t>
            </w:r>
            <w:hyperlink w:anchor="P7798">
              <w:r>
                <w:rPr>
                  <w:color w:val="0000FF"/>
                </w:rPr>
                <w:t>Л.6</w:t>
              </w:r>
            </w:hyperlink>
            <w:r>
              <w:t xml:space="preserve"> приложения Л</w:t>
            </w:r>
          </w:p>
        </w:tc>
      </w:tr>
      <w:tr w:rsidR="00E35632">
        <w:tc>
          <w:tcPr>
            <w:tcW w:w="2098" w:type="dxa"/>
          </w:tcPr>
          <w:p w:rsidR="00E35632" w:rsidRDefault="00E35632">
            <w:pPr>
              <w:pStyle w:val="ConsPlusNormal"/>
            </w:pPr>
            <w:r>
              <w:t>2 Сроки выполнения работ</w:t>
            </w:r>
          </w:p>
        </w:tc>
        <w:tc>
          <w:tcPr>
            <w:tcW w:w="1978" w:type="dxa"/>
          </w:tcPr>
          <w:p w:rsidR="00E35632" w:rsidRDefault="00E35632">
            <w:pPr>
              <w:pStyle w:val="ConsPlusNormal"/>
            </w:pPr>
            <w:r>
              <w:t>С начала строительства и не менее одного года после его завершения</w:t>
            </w:r>
          </w:p>
        </w:tc>
        <w:tc>
          <w:tcPr>
            <w:tcW w:w="1742" w:type="dxa"/>
          </w:tcPr>
          <w:p w:rsidR="00E35632" w:rsidRDefault="00E35632">
            <w:pPr>
              <w:pStyle w:val="ConsPlusNormal"/>
            </w:pPr>
            <w:r>
              <w:t>С начала экскавации грунта в котловане и до завершения возведения подземной части сооружения</w:t>
            </w:r>
          </w:p>
        </w:tc>
        <w:tc>
          <w:tcPr>
            <w:tcW w:w="1587" w:type="dxa"/>
          </w:tcPr>
          <w:p w:rsidR="00E35632" w:rsidRDefault="00E35632">
            <w:pPr>
              <w:pStyle w:val="ConsPlusNormal"/>
            </w:pPr>
            <w:r>
              <w:t>До начала строительства и не менее одного года после его завершения</w:t>
            </w:r>
          </w:p>
        </w:tc>
        <w:tc>
          <w:tcPr>
            <w:tcW w:w="1680" w:type="dxa"/>
          </w:tcPr>
          <w:p w:rsidR="00E35632" w:rsidRDefault="00E35632">
            <w:pPr>
              <w:pStyle w:val="ConsPlusNormal"/>
            </w:pPr>
            <w:r>
              <w:t>До начала строительства и не менее одного года после его завершения</w:t>
            </w:r>
          </w:p>
        </w:tc>
      </w:tr>
      <w:tr w:rsidR="00E35632">
        <w:tc>
          <w:tcPr>
            <w:tcW w:w="2098" w:type="dxa"/>
          </w:tcPr>
          <w:p w:rsidR="00E35632" w:rsidRDefault="00E35632">
            <w:pPr>
              <w:pStyle w:val="ConsPlusNormal"/>
            </w:pPr>
            <w:r>
              <w:t>3 Периодичность фиксации контролируемых параметров</w:t>
            </w:r>
          </w:p>
        </w:tc>
        <w:tc>
          <w:tcPr>
            <w:tcW w:w="1978" w:type="dxa"/>
          </w:tcPr>
          <w:p w:rsidR="00E35632" w:rsidRDefault="00E35632">
            <w:pPr>
              <w:pStyle w:val="ConsPlusNormal"/>
            </w:pPr>
            <w:r>
              <w:t>После возведения каждого 3 - 5 этажа, но не реже одного раза в месяц</w:t>
            </w:r>
          </w:p>
        </w:tc>
        <w:tc>
          <w:tcPr>
            <w:tcW w:w="1742" w:type="dxa"/>
          </w:tcPr>
          <w:p w:rsidR="00E35632" w:rsidRDefault="00E35632">
            <w:pPr>
              <w:pStyle w:val="ConsPlusNormal"/>
            </w:pPr>
            <w:r>
              <w:t>Не реже двух раз в месяц</w:t>
            </w:r>
          </w:p>
        </w:tc>
        <w:tc>
          <w:tcPr>
            <w:tcW w:w="1587" w:type="dxa"/>
          </w:tcPr>
          <w:p w:rsidR="00E35632" w:rsidRDefault="00E35632">
            <w:pPr>
              <w:pStyle w:val="ConsPlusNormal"/>
            </w:pPr>
            <w:r>
              <w:t>Не реже одного раза в месяц на этапе устройства подземной части сооружения</w:t>
            </w:r>
          </w:p>
        </w:tc>
        <w:tc>
          <w:tcPr>
            <w:tcW w:w="1680" w:type="dxa"/>
          </w:tcPr>
          <w:p w:rsidR="00E35632" w:rsidRDefault="00E35632">
            <w:pPr>
              <w:pStyle w:val="ConsPlusNormal"/>
            </w:pPr>
            <w:r>
              <w:t>Не реже одного раза в месяц</w:t>
            </w:r>
          </w:p>
        </w:tc>
      </w:tr>
      <w:tr w:rsidR="00E35632">
        <w:tc>
          <w:tcPr>
            <w:tcW w:w="2098" w:type="dxa"/>
          </w:tcPr>
          <w:p w:rsidR="00E35632" w:rsidRDefault="00E35632">
            <w:pPr>
              <w:pStyle w:val="ConsPlusNormal"/>
            </w:pPr>
            <w:r>
              <w:t>4 Методы</w:t>
            </w:r>
          </w:p>
        </w:tc>
        <w:tc>
          <w:tcPr>
            <w:tcW w:w="6987" w:type="dxa"/>
            <w:gridSpan w:val="4"/>
          </w:tcPr>
          <w:p w:rsidR="00E35632" w:rsidRDefault="00E35632">
            <w:pPr>
              <w:pStyle w:val="ConsPlusNormal"/>
            </w:pPr>
            <w:r>
              <w:t xml:space="preserve">Принимаются в зависимости от объема контролируемых параметров в соответствии с требованиями </w:t>
            </w:r>
            <w:hyperlink w:anchor="P4966">
              <w:r>
                <w:rPr>
                  <w:color w:val="0000FF"/>
                </w:rPr>
                <w:t>12.3</w:t>
              </w:r>
            </w:hyperlink>
          </w:p>
        </w:tc>
      </w:tr>
      <w:tr w:rsidR="00E35632">
        <w:tc>
          <w:tcPr>
            <w:tcW w:w="9085" w:type="dxa"/>
            <w:gridSpan w:val="5"/>
          </w:tcPr>
          <w:p w:rsidR="00E35632" w:rsidRDefault="00E35632">
            <w:pPr>
              <w:pStyle w:val="ConsPlusNormal"/>
              <w:ind w:firstLine="283"/>
              <w:jc w:val="both"/>
            </w:pPr>
            <w:r>
              <w:t>Примечания</w:t>
            </w:r>
          </w:p>
          <w:p w:rsidR="00E35632" w:rsidRDefault="00E35632">
            <w:pPr>
              <w:pStyle w:val="ConsPlusNormal"/>
              <w:ind w:firstLine="283"/>
              <w:jc w:val="both"/>
            </w:pPr>
            <w:r>
              <w:t>1 Сроки выполнения геотехнического мониторинга необходимо продлевать при отсутствии стабилизации изменений контролируемых параметров.</w:t>
            </w:r>
          </w:p>
          <w:p w:rsidR="00E35632" w:rsidRDefault="00E35632">
            <w:pPr>
              <w:pStyle w:val="ConsPlusNormal"/>
              <w:ind w:firstLine="283"/>
              <w:jc w:val="both"/>
            </w:pPr>
            <w:r>
              <w:t>2 Периодичность фиксации контролируемых параметров должна увязываться с графиком проведения строительно-монтажных работ и может корректироваться (т.е. выполняться чаще чем это указано в программе геотехнического мониторинга) при превышении значений контролируемых параметров ожидаемых величин (в т.ч. их изменений, превышающих ожидаемые тенденции) или выявлении прочих опасных отклонений.</w:t>
            </w:r>
          </w:p>
          <w:p w:rsidR="00E35632" w:rsidRDefault="00E35632">
            <w:pPr>
              <w:pStyle w:val="ConsPlusNormal"/>
              <w:ind w:firstLine="283"/>
              <w:jc w:val="both"/>
            </w:pPr>
            <w:r>
              <w:t>3 Для уникальных вновь возводимых и реконструируемых сооружений, а также при реконструкции памятников истории, архитектуры и культуры геотехнический мониторинг следует продолжать не менее двух лет после завершения строительства.</w:t>
            </w:r>
          </w:p>
          <w:p w:rsidR="00E35632" w:rsidRDefault="00E35632">
            <w:pPr>
              <w:pStyle w:val="ConsPlusNormal"/>
              <w:ind w:firstLine="283"/>
              <w:jc w:val="both"/>
            </w:pPr>
            <w:r>
              <w:t>4 Фиксацию контролируемых параметров при геотехническом мониторинге ограждающей конструкции котлована глубиной более 10 м, а также при меньшей глубине котлована в случае превышения контролируемыми параметрами расчетных значений, необходимо выполнять не реже одного раза в неделю.</w:t>
            </w:r>
          </w:p>
          <w:p w:rsidR="00E35632" w:rsidRDefault="00E35632">
            <w:pPr>
              <w:pStyle w:val="ConsPlusNormal"/>
              <w:ind w:firstLine="283"/>
              <w:jc w:val="both"/>
            </w:pPr>
            <w:r>
              <w:t>5 Геотехнический мониторинг массива грунта, окружающего вновь возводимое или реконструируемое сооружение, после завершения устройства его подземной части и при стабилизации изменений контролируемых параметров массива грунта и окружающей застройки допускается вести один раз в три месяца.</w:t>
            </w:r>
          </w:p>
          <w:p w:rsidR="00E35632" w:rsidRDefault="00E35632">
            <w:pPr>
              <w:pStyle w:val="ConsPlusNormal"/>
              <w:ind w:firstLine="283"/>
              <w:jc w:val="both"/>
            </w:pPr>
            <w:r>
              <w:t>6 При наличии динамических воздействий следует проводить измерение уровня колебаний оснований и конструкций вновь возводимых (реконструируемых) сооружений и окружающей застройки.</w:t>
            </w:r>
          </w:p>
          <w:p w:rsidR="00E35632" w:rsidRDefault="00E35632">
            <w:pPr>
              <w:pStyle w:val="ConsPlusNormal"/>
              <w:ind w:firstLine="283"/>
              <w:jc w:val="both"/>
            </w:pPr>
            <w:r>
              <w:t>7 Фиксация изменения контролируемых параметров состояния строительных конструкций, в т.ч. поврежденных, при геотехническом мониторинге сооружений окружающей застройки должна проводиться, в т.ч. по результатам периодических визуально-инструментальных обследований.</w:t>
            </w:r>
          </w:p>
          <w:p w:rsidR="00E35632" w:rsidRDefault="00E35632">
            <w:pPr>
              <w:pStyle w:val="ConsPlusNormal"/>
              <w:ind w:firstLine="283"/>
              <w:jc w:val="both"/>
            </w:pPr>
            <w:r>
              <w:t xml:space="preserve">8 Требованиям </w:t>
            </w:r>
            <w:hyperlink w:anchor="P5014">
              <w:r>
                <w:rPr>
                  <w:color w:val="0000FF"/>
                </w:rPr>
                <w:t>таблицы 12.1</w:t>
              </w:r>
            </w:hyperlink>
            <w:r>
              <w:t xml:space="preserve"> необходимо следовать, в т.ч. при геотехническом мониторинге сооружений окружающей застройки, расположенных в зоне влияния устройства подземных инженерных коммуникаций, которая определяется в соответствии с требованиями </w:t>
            </w:r>
            <w:hyperlink w:anchor="P4751">
              <w:r>
                <w:rPr>
                  <w:color w:val="0000FF"/>
                </w:rPr>
                <w:t>9.33</w:t>
              </w:r>
            </w:hyperlink>
            <w:r>
              <w:t xml:space="preserve">, </w:t>
            </w:r>
            <w:hyperlink w:anchor="P4763">
              <w:r>
                <w:rPr>
                  <w:color w:val="0000FF"/>
                </w:rPr>
                <w:t>9.34</w:t>
              </w:r>
            </w:hyperlink>
            <w:r>
              <w:t>.</w:t>
            </w:r>
          </w:p>
          <w:p w:rsidR="00E35632" w:rsidRDefault="00E35632">
            <w:pPr>
              <w:pStyle w:val="ConsPlusNormal"/>
              <w:ind w:firstLine="283"/>
              <w:jc w:val="both"/>
            </w:pPr>
            <w:r>
              <w:t>9 Геотехнический мониторинг вновь возводимых или реконструируемых сооружений на участках опасной категории в карстово-суффозионном отношении необходимо проводить в течение всего периода строительства и эксплуатации сооружений. Срок выполнения геотехнического мониторинга вновь возводимых или реконструируемых сооружений на участках потенциально опасной категории в карстово-суффозионном отношении следует определять в программе геотехнического мониторинга, но составлять не менее пяти лет после завершения строительства.</w:t>
            </w:r>
          </w:p>
        </w:tc>
      </w:tr>
    </w:tbl>
    <w:p w:rsidR="00E35632" w:rsidRDefault="00E35632">
      <w:pPr>
        <w:pStyle w:val="ConsPlusNormal"/>
        <w:jc w:val="both"/>
      </w:pPr>
    </w:p>
    <w:p w:rsidR="00E35632" w:rsidRDefault="00E35632">
      <w:pPr>
        <w:pStyle w:val="ConsPlusNormal"/>
        <w:ind w:firstLine="540"/>
        <w:jc w:val="both"/>
      </w:pPr>
      <w:r>
        <w:t xml:space="preserve">12.12 Начальный этап геотехнического мониторинга в соответствии с разработанной программой (см. </w:t>
      </w:r>
      <w:hyperlink w:anchor="P4983">
        <w:r>
          <w:rPr>
            <w:color w:val="0000FF"/>
          </w:rPr>
          <w:t>12.6</w:t>
        </w:r>
      </w:hyperlink>
      <w:r>
        <w:t xml:space="preserve"> - </w:t>
      </w:r>
      <w:hyperlink w:anchor="P4997">
        <w:r>
          <w:rPr>
            <w:color w:val="0000FF"/>
          </w:rPr>
          <w:t>12.9</w:t>
        </w:r>
      </w:hyperlink>
      <w:r>
        <w:t xml:space="preserve">) и проектом (см. </w:t>
      </w:r>
      <w:hyperlink w:anchor="P5006">
        <w:r>
          <w:rPr>
            <w:color w:val="0000FF"/>
          </w:rPr>
          <w:t>12.10</w:t>
        </w:r>
      </w:hyperlink>
      <w:r>
        <w:t>) должен включать:</w:t>
      </w:r>
    </w:p>
    <w:p w:rsidR="00E35632" w:rsidRDefault="00E35632">
      <w:pPr>
        <w:pStyle w:val="ConsPlusNormal"/>
        <w:spacing w:before="220"/>
        <w:ind w:firstLine="540"/>
        <w:jc w:val="both"/>
      </w:pPr>
      <w:r>
        <w:t>- установку устройств для наблюдений за изменениями контролируемых параметров (знаков, марок, маяков, датчиков и др.);</w:t>
      </w:r>
    </w:p>
    <w:p w:rsidR="00E35632" w:rsidRDefault="00E35632">
      <w:pPr>
        <w:pStyle w:val="ConsPlusNormal"/>
        <w:spacing w:before="220"/>
        <w:ind w:firstLine="540"/>
        <w:jc w:val="both"/>
      </w:pPr>
      <w:r>
        <w:t>- фиксацию первоначального положения (состояния, значения и т.д.) контролируемых параметров основания, фундаментов и конструкций вновь возводимых (реконструируемых) сооружений и конструкций сооружений окружающей застройки;</w:t>
      </w:r>
    </w:p>
    <w:p w:rsidR="00E35632" w:rsidRDefault="00E35632">
      <w:pPr>
        <w:pStyle w:val="ConsPlusNormal"/>
        <w:spacing w:before="220"/>
        <w:ind w:firstLine="540"/>
        <w:jc w:val="both"/>
      </w:pPr>
      <w:r>
        <w:t xml:space="preserve">- подготовку начальной отчетной документации (см. </w:t>
      </w:r>
      <w:hyperlink w:anchor="P5055">
        <w:r>
          <w:rPr>
            <w:color w:val="0000FF"/>
          </w:rPr>
          <w:t>12.13</w:t>
        </w:r>
      </w:hyperlink>
      <w:r>
        <w:t>).</w:t>
      </w:r>
    </w:p>
    <w:p w:rsidR="00E35632" w:rsidRDefault="00E35632">
      <w:pPr>
        <w:pStyle w:val="ConsPlusNormal"/>
        <w:spacing w:before="220"/>
        <w:ind w:firstLine="540"/>
        <w:jc w:val="both"/>
      </w:pPr>
      <w:bookmarkStart w:id="271" w:name="P5055"/>
      <w:bookmarkEnd w:id="271"/>
      <w:r>
        <w:t>12.13 Фиксация первоначального состояния конструкций сооружений окружающей застройки, выполняется путем их визуально-инструментального обследования, которое проводится до начала подготовки строительной площадки, в т.ч. до сноса существующих строений, или до подготовки реконструируемого сооружения к строительно-монтажным работам. В результате обследования фиксируются выявленные дефекты (при необходимости, составляется соответствующий акт обследования технического состояния сооружений с участием заинтересованных сторон).</w:t>
      </w:r>
    </w:p>
    <w:p w:rsidR="00E35632" w:rsidRDefault="00E35632">
      <w:pPr>
        <w:pStyle w:val="ConsPlusNormal"/>
        <w:jc w:val="both"/>
      </w:pPr>
      <w:r>
        <w:t xml:space="preserve">(в ред. </w:t>
      </w:r>
      <w:hyperlink r:id="rId946">
        <w:r>
          <w:rPr>
            <w:color w:val="0000FF"/>
          </w:rPr>
          <w:t>Изменения N 2</w:t>
        </w:r>
      </w:hyperlink>
      <w:r>
        <w:t>, утв. Приказом Минстроя России от 24.01.2019 N 43/пр)</w:t>
      </w:r>
    </w:p>
    <w:p w:rsidR="00E35632" w:rsidRDefault="00E35632">
      <w:pPr>
        <w:pStyle w:val="ConsPlusNormal"/>
        <w:spacing w:before="220"/>
        <w:ind w:firstLine="540"/>
        <w:jc w:val="both"/>
      </w:pPr>
      <w:r>
        <w:t>При выполнении работ по геотехническому мониторингу необходимо проводить регулярные визуальные обследования состояния конструкций сооружений окружающей застройки.</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 xml:space="preserve">1 Техническое обследование сооружений окружающей застройки для определения категории их технического состояния должно проводиться на этапе выполнения инженерных изысканий и разработки проектной документации по основаниям, фундаментам и конструкциям подземной части (в т.ч. выполнение геотехнического прогноза согласно требованиям </w:t>
      </w:r>
      <w:hyperlink w:anchor="P4452">
        <w:r>
          <w:rPr>
            <w:color w:val="0000FF"/>
          </w:rPr>
          <w:t>раздела 9</w:t>
        </w:r>
      </w:hyperlink>
      <w:r>
        <w:t>).</w:t>
      </w:r>
    </w:p>
    <w:p w:rsidR="00E35632" w:rsidRDefault="00E35632">
      <w:pPr>
        <w:pStyle w:val="ConsPlusNormal"/>
        <w:spacing w:before="220"/>
        <w:ind w:firstLine="540"/>
        <w:jc w:val="both"/>
      </w:pPr>
      <w:r>
        <w:t xml:space="preserve">2 Периодичность выполнения визуальных обследований состояния строительных конструкций сооружений окружающей застройки должна соответствовать периодичности геотехнического мониторинга окружающей застройки в соответствии с требованиями </w:t>
      </w:r>
      <w:hyperlink w:anchor="P5014">
        <w:r>
          <w:rPr>
            <w:color w:val="0000FF"/>
          </w:rPr>
          <w:t>таблицы 12.1</w:t>
        </w:r>
      </w:hyperlink>
      <w:r>
        <w:t>.</w:t>
      </w:r>
    </w:p>
    <w:p w:rsidR="00E35632" w:rsidRDefault="00E35632">
      <w:pPr>
        <w:pStyle w:val="ConsPlusNormal"/>
        <w:spacing w:before="220"/>
        <w:ind w:firstLine="540"/>
        <w:jc w:val="both"/>
      </w:pPr>
      <w:r>
        <w:t xml:space="preserve">3 Требования </w:t>
      </w:r>
      <w:hyperlink w:anchor="P5055">
        <w:r>
          <w:rPr>
            <w:color w:val="0000FF"/>
          </w:rPr>
          <w:t>пункта 12.13</w:t>
        </w:r>
      </w:hyperlink>
      <w:r>
        <w:t xml:space="preserve"> распространяются на инженерные коммуникации, при этом для подземных инженерных коммуникаций состав работ назначается с учетом возможности фактического доступа к коммуникациям. В случае предоставления эксплуатирующей организацией информации о наблюдаемой инженерной коммуникации визуально-инструментальное обследование допускается не выполнять.</w:t>
      </w:r>
    </w:p>
    <w:p w:rsidR="00E35632" w:rsidRDefault="00E35632">
      <w:pPr>
        <w:pStyle w:val="ConsPlusNormal"/>
        <w:jc w:val="both"/>
      </w:pPr>
      <w:r>
        <w:t xml:space="preserve">(примечание 3 введено </w:t>
      </w:r>
      <w:hyperlink r:id="rId947">
        <w:r>
          <w:rPr>
            <w:color w:val="0000FF"/>
          </w:rPr>
          <w:t>Изменением N 2</w:t>
        </w:r>
      </w:hyperlink>
      <w:r>
        <w:t>, утв. Приказом Минстроя России от 24.01.2019 N 43/пр)</w:t>
      </w:r>
    </w:p>
    <w:p w:rsidR="00E35632" w:rsidRDefault="00E35632">
      <w:pPr>
        <w:pStyle w:val="ConsPlusNormal"/>
        <w:jc w:val="both"/>
      </w:pPr>
    </w:p>
    <w:p w:rsidR="00E35632" w:rsidRDefault="00E35632">
      <w:pPr>
        <w:pStyle w:val="ConsPlusNormal"/>
        <w:ind w:firstLine="540"/>
        <w:jc w:val="both"/>
      </w:pPr>
      <w:r>
        <w:t>12.14 Результаты геотехнического мониторинга должны отражаться в отчетной документации, для которой рекомендуется следующий состав:</w:t>
      </w:r>
    </w:p>
    <w:p w:rsidR="00E35632" w:rsidRDefault="00E35632">
      <w:pPr>
        <w:pStyle w:val="ConsPlusNormal"/>
        <w:spacing w:before="220"/>
        <w:ind w:firstLine="540"/>
        <w:jc w:val="both"/>
      </w:pPr>
      <w:r>
        <w:t>а) начальный отчет, включающий методы наблюдения за изменениями контролируемых параметров, характеристики применяемого оборудования, результаты оценки точности измерений, схемы фактического расположения участков измерений контролируемых параметров, результаты фиксации их первоначального положения, состояния и др.;</w:t>
      </w:r>
    </w:p>
    <w:p w:rsidR="00E35632" w:rsidRDefault="00E35632">
      <w:pPr>
        <w:pStyle w:val="ConsPlusNormal"/>
        <w:spacing w:before="220"/>
        <w:ind w:firstLine="540"/>
        <w:jc w:val="both"/>
      </w:pPr>
      <w:r>
        <w:t>б) промежуточные отчеты, включающие оперативную информацию по изменениям контролируемых параметров, анализ результатов измерений в привязке к составу и технологии выполнения строительных работ и их сопоставление с прогнозируемыми и предельными величинами и рекомендации о необходимых дополнительных защитных, компенсационных или противоаварийных мероприятиях (при выявлении отклонений контролируемых параметров от ожидаемых величин) и др.;</w:t>
      </w:r>
    </w:p>
    <w:p w:rsidR="00E35632" w:rsidRDefault="00E35632">
      <w:pPr>
        <w:pStyle w:val="ConsPlusNormal"/>
        <w:spacing w:before="220"/>
        <w:ind w:firstLine="540"/>
        <w:jc w:val="both"/>
      </w:pPr>
      <w:r>
        <w:t>в) итоговый (заключительный) отчет, включающий окончательные результаты фиксации изменений контролируемых параметров, подтверждающие их стабилизацию, анализ результатов измерений и их сопоставление с ожидаемыми величинами, последствия влияния на окружающую застройку, рекомендации по необходимым ремонтно-восстановительным мероприятиям и др.</w:t>
      </w:r>
    </w:p>
    <w:p w:rsidR="00E35632" w:rsidRDefault="00E35632">
      <w:pPr>
        <w:pStyle w:val="ConsPlusNormal"/>
        <w:spacing w:before="220"/>
        <w:ind w:firstLine="540"/>
        <w:jc w:val="both"/>
      </w:pPr>
      <w:r>
        <w:t xml:space="preserve">12.15 В процессе геотехнического мониторинга, а также после завершения сроков выполнения работ, указанных в </w:t>
      </w:r>
      <w:hyperlink w:anchor="P5014">
        <w:r>
          <w:rPr>
            <w:color w:val="0000FF"/>
          </w:rPr>
          <w:t>таблице 12.1</w:t>
        </w:r>
      </w:hyperlink>
      <w:r>
        <w:t>, отсутствием стабилизации изменений контролируемых параметров считается превышение их величин по сравнению с предыдущими циклами более чем на величину точности измерений.</w:t>
      </w:r>
    </w:p>
    <w:p w:rsidR="00E35632" w:rsidRDefault="00E35632">
      <w:pPr>
        <w:pStyle w:val="ConsPlusNormal"/>
        <w:jc w:val="both"/>
      </w:pPr>
      <w:r>
        <w:t xml:space="preserve">(в ред. </w:t>
      </w:r>
      <w:hyperlink r:id="rId948">
        <w:r>
          <w:rPr>
            <w:color w:val="0000FF"/>
          </w:rPr>
          <w:t>Изменения N 2</w:t>
        </w:r>
      </w:hyperlink>
      <w:r>
        <w:t>, утв. Приказом Минстроя России от 24.01.2019 N 43/пр)</w:t>
      </w:r>
    </w:p>
    <w:p w:rsidR="00E35632" w:rsidRDefault="00E35632">
      <w:pPr>
        <w:pStyle w:val="ConsPlusNormal"/>
        <w:spacing w:before="220"/>
        <w:ind w:firstLine="540"/>
        <w:jc w:val="both"/>
      </w:pPr>
      <w:r>
        <w:t>При отсутствии стабилизации изменений контролируемых параметров геотехнический мониторинг необходимо продолжать.</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1 Оценку стабилизации изменений контролируемых параметров проводит специализированная организация, осуществляющая геотехнический мониторинг или ведущая научно-техническое сопровождение строительства (реконструкции).</w:t>
      </w:r>
    </w:p>
    <w:p w:rsidR="00E35632" w:rsidRDefault="00E35632">
      <w:pPr>
        <w:pStyle w:val="ConsPlusNormal"/>
        <w:spacing w:before="220"/>
        <w:ind w:firstLine="540"/>
        <w:jc w:val="both"/>
      </w:pPr>
      <w:r>
        <w:t>2 При наблюдениях за изменением уровня подземных вод стабилизацией считается достижение амплитуды его колебаний, не превышающей сезонные и ежегодные значения в соответствии с результатами инженерно-геологических изысканий (с учетом гидрогеологического прогноза).</w:t>
      </w:r>
    </w:p>
    <w:p w:rsidR="00E35632" w:rsidRDefault="00E35632">
      <w:pPr>
        <w:pStyle w:val="ConsPlusNormal"/>
        <w:jc w:val="both"/>
      </w:pPr>
    </w:p>
    <w:p w:rsidR="00E35632" w:rsidRDefault="00E35632">
      <w:pPr>
        <w:pStyle w:val="ConsPlusNormal"/>
        <w:ind w:firstLine="540"/>
        <w:jc w:val="both"/>
      </w:pPr>
      <w:r>
        <w:t>12.16 В случае выявления в процессе геотехнического мониторинга отклонений значений контролируемых параметров от ожидаемых величин, предусмотренных проектной документацией либо нормативными документами (в т.ч. их изменений, нарушающих ожидаемые тенденции и прогнозы), необходимо выполнить комплекс исследований, направленных на оценку степени опасности выявленных отклонений. На основании выполненной оценки следует устанавливать необходимость разработки и проведения комплекса мероприятий, обеспечивающих безопасность строительства и эксплуатационную надежность вновь возводимых (реконструируемых) объектов, эксплуатационную пригодность окружающей застройки и сохранность экологической обстановки.</w:t>
      </w:r>
    </w:p>
    <w:p w:rsidR="00E35632" w:rsidRDefault="00E35632">
      <w:pPr>
        <w:pStyle w:val="ConsPlusNormal"/>
        <w:jc w:val="both"/>
      </w:pPr>
      <w:r>
        <w:t xml:space="preserve">(п. 12.16 в ред. </w:t>
      </w:r>
      <w:hyperlink r:id="rId949">
        <w:r>
          <w:rPr>
            <w:color w:val="0000FF"/>
          </w:rPr>
          <w:t>Изменения N 3</w:t>
        </w:r>
      </w:hyperlink>
      <w:r>
        <w:t>, утв. Приказом Минстроя России от 22.11.2019 N 722/пр)</w:t>
      </w:r>
    </w:p>
    <w:p w:rsidR="00E35632" w:rsidRDefault="00E35632">
      <w:pPr>
        <w:pStyle w:val="ConsPlusNormal"/>
        <w:spacing w:before="220"/>
        <w:ind w:firstLine="540"/>
        <w:jc w:val="both"/>
      </w:pPr>
      <w:r>
        <w:t>12.17 В процессе геотехнического мониторинга необходимо обеспечить своевременность информирования заинтересованных сторон о выявленных отклонениях контролируемых параметров (в т.ч. тенденции их изменений, превышающие ожидаемые) от проектных значений и результатов геотехнического прогноза.</w:t>
      </w:r>
    </w:p>
    <w:p w:rsidR="00E35632" w:rsidRDefault="00E35632">
      <w:pPr>
        <w:pStyle w:val="ConsPlusNormal"/>
        <w:spacing w:before="220"/>
        <w:ind w:firstLine="540"/>
        <w:jc w:val="both"/>
      </w:pPr>
      <w:r>
        <w:t>12.18 Разработку программы и проекта геотехнического мониторинга, а также его проведение должны выполнять специализированные организации.</w:t>
      </w:r>
    </w:p>
    <w:p w:rsidR="00E35632" w:rsidRDefault="00E35632">
      <w:pPr>
        <w:pStyle w:val="ConsPlusNormal"/>
        <w:jc w:val="both"/>
      </w:pPr>
    </w:p>
    <w:p w:rsidR="00E35632" w:rsidRDefault="00E35632">
      <w:pPr>
        <w:pStyle w:val="ConsPlusTitle"/>
        <w:ind w:firstLine="540"/>
        <w:jc w:val="both"/>
        <w:outlineLvl w:val="1"/>
      </w:pPr>
      <w:bookmarkStart w:id="272" w:name="P5080"/>
      <w:bookmarkEnd w:id="272"/>
      <w:r>
        <w:t>13 Экологические требования при проектировании оснований</w:t>
      </w:r>
    </w:p>
    <w:p w:rsidR="00E35632" w:rsidRDefault="00E35632">
      <w:pPr>
        <w:pStyle w:val="ConsPlusNormal"/>
        <w:jc w:val="both"/>
      </w:pPr>
    </w:p>
    <w:p w:rsidR="00E35632" w:rsidRDefault="00E35632">
      <w:pPr>
        <w:pStyle w:val="ConsPlusNormal"/>
        <w:ind w:firstLine="540"/>
        <w:jc w:val="both"/>
      </w:pPr>
      <w:r>
        <w:t xml:space="preserve">13.1 При проектировании и устройстве оснований, фундаментов и подземных сооружений должны выполняться требования с целью предотвращения, минимизации или ликвидации вредных и нежелательных экологических процессов и связанных с ними социальных, экономических и других последствий и сохранения оптимальных условий жизни населения. При этом необходимо учитывать санитарно-эпидемиологические требования согласно </w:t>
      </w:r>
      <w:hyperlink r:id="rId950">
        <w:r>
          <w:rPr>
            <w:color w:val="0000FF"/>
          </w:rPr>
          <w:t>СанПиН 2.1.3684</w:t>
        </w:r>
      </w:hyperlink>
      <w:r>
        <w:t xml:space="preserve"> и </w:t>
      </w:r>
      <w:hyperlink r:id="rId951">
        <w:r>
          <w:rPr>
            <w:color w:val="0000FF"/>
          </w:rPr>
          <w:t>СанПиН 1.2.3685</w:t>
        </w:r>
      </w:hyperlink>
      <w:r>
        <w:t>.</w:t>
      </w:r>
    </w:p>
    <w:p w:rsidR="00E35632" w:rsidRDefault="00E35632">
      <w:pPr>
        <w:pStyle w:val="ConsPlusNormal"/>
        <w:jc w:val="both"/>
      </w:pPr>
      <w:r>
        <w:t xml:space="preserve">(в ред. </w:t>
      </w:r>
      <w:hyperlink r:id="rId952">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xml:space="preserve">13.2 Экологические требования, учитываемые при проектировании и строительстве, основываются на результатах инженерно-экологических изысканий, выполняемых в соответствии с </w:t>
      </w:r>
      <w:hyperlink r:id="rId953">
        <w:r>
          <w:rPr>
            <w:color w:val="0000FF"/>
          </w:rPr>
          <w:t>СП 47.13330</w:t>
        </w:r>
      </w:hyperlink>
      <w:r>
        <w:t>. В процессе этих изысканий выполняют оценку современного состояния окружающей среды в районе строительства и дают прогноз ожидаемого воздействия проектируемого объекта на окружающую среду (ОВОС) при его строительстве и дальнейшей эксплуатации. Полученная при изысканиях информация должна быть достаточной для разработки мероприятий по охране окружающей среды.</w:t>
      </w:r>
    </w:p>
    <w:p w:rsidR="00E35632" w:rsidRDefault="00E35632">
      <w:pPr>
        <w:pStyle w:val="ConsPlusNormal"/>
        <w:spacing w:before="220"/>
        <w:ind w:firstLine="540"/>
        <w:jc w:val="both"/>
      </w:pPr>
      <w:r>
        <w:t>13.3 С учетом результатов инженерно-экологических изысканий при проектировании и устройстве оснований, фундаментов и подземных сооружений необходимо выбирать проектные решения и разрабатывать мероприятия, которые защитили бы объекты строительства и людей от имеющихся неблагоприятных воздействий и не ухудшили экологическую обстановку.</w:t>
      </w:r>
    </w:p>
    <w:p w:rsidR="00E35632" w:rsidRDefault="00E35632">
      <w:pPr>
        <w:pStyle w:val="ConsPlusNormal"/>
        <w:spacing w:before="220"/>
        <w:ind w:firstLine="540"/>
        <w:jc w:val="both"/>
      </w:pPr>
      <w:r>
        <w:t>При выборе вариантов проекта следует учитывать приоритетность решения экологических проблем.</w:t>
      </w:r>
    </w:p>
    <w:p w:rsidR="00E35632" w:rsidRDefault="00E35632">
      <w:pPr>
        <w:pStyle w:val="ConsPlusNormal"/>
        <w:spacing w:before="220"/>
        <w:ind w:firstLine="540"/>
        <w:jc w:val="both"/>
      </w:pPr>
      <w:r>
        <w:t>13.4 На территории (участке) предполагаемого строительства следует учитывать возможность проявления следующих загрязняющих окружающую среду факторов, выявленных при выполнении ОВОС:</w:t>
      </w:r>
    </w:p>
    <w:p w:rsidR="00E35632" w:rsidRDefault="00E35632">
      <w:pPr>
        <w:pStyle w:val="ConsPlusNormal"/>
        <w:spacing w:before="220"/>
        <w:ind w:firstLine="540"/>
        <w:jc w:val="both"/>
      </w:pPr>
      <w:r>
        <w:t>- загрязнение почв и грунтов органическими, радиоактивными и токсико-химическими веществами;</w:t>
      </w:r>
    </w:p>
    <w:p w:rsidR="00E35632" w:rsidRDefault="00E35632">
      <w:pPr>
        <w:pStyle w:val="ConsPlusNormal"/>
        <w:spacing w:before="220"/>
        <w:ind w:firstLine="540"/>
        <w:jc w:val="both"/>
      </w:pPr>
      <w:r>
        <w:t>- загрязнение поверхностных и подземных вод органическими и неорганическими веществами и тяжелыми металлами;</w:t>
      </w:r>
    </w:p>
    <w:p w:rsidR="00E35632" w:rsidRDefault="00E35632">
      <w:pPr>
        <w:pStyle w:val="ConsPlusNormal"/>
        <w:spacing w:before="220"/>
        <w:ind w:firstLine="540"/>
        <w:jc w:val="both"/>
      </w:pPr>
      <w:r>
        <w:t>- наличие потока радона с поверхности земли;</w:t>
      </w:r>
    </w:p>
    <w:p w:rsidR="00E35632" w:rsidRDefault="00E35632">
      <w:pPr>
        <w:pStyle w:val="ConsPlusNormal"/>
        <w:spacing w:before="220"/>
        <w:ind w:firstLine="540"/>
        <w:jc w:val="both"/>
      </w:pPr>
      <w:r>
        <w:t>- выделение на участках бывших свалок строительного мусора и бытовых отходов и залегания заторфованных грунтов различных газов (метана, водорода, углеводородов и других токсичных газов).</w:t>
      </w:r>
    </w:p>
    <w:p w:rsidR="00E35632" w:rsidRDefault="00E35632">
      <w:pPr>
        <w:pStyle w:val="ConsPlusNormal"/>
        <w:spacing w:before="220"/>
        <w:ind w:firstLine="540"/>
        <w:jc w:val="both"/>
      </w:pPr>
      <w:r>
        <w:t xml:space="preserve">13.5 Исключен с 28.01.2022. - </w:t>
      </w:r>
      <w:hyperlink r:id="rId954">
        <w:r>
          <w:rPr>
            <w:color w:val="0000FF"/>
          </w:rPr>
          <w:t>Изменение N 4</w:t>
        </w:r>
      </w:hyperlink>
      <w:r>
        <w:t>, утв. Приказом Минстроя России от 27.12.2022 N 1022/пр.</w:t>
      </w:r>
    </w:p>
    <w:p w:rsidR="00E35632" w:rsidRDefault="00E35632">
      <w:pPr>
        <w:pStyle w:val="ConsPlusNormal"/>
        <w:spacing w:before="220"/>
        <w:ind w:firstLine="540"/>
        <w:jc w:val="both"/>
      </w:pPr>
      <w:r>
        <w:t>13.6 Негативное воздействие строительства и эксплуатации сооружений на окружающую среду может выражаться в следующем:</w:t>
      </w:r>
    </w:p>
    <w:p w:rsidR="00E35632" w:rsidRDefault="00E35632">
      <w:pPr>
        <w:pStyle w:val="ConsPlusNormal"/>
        <w:spacing w:before="220"/>
        <w:ind w:firstLine="540"/>
        <w:jc w:val="both"/>
      </w:pPr>
      <w:r>
        <w:t>- химическое загрязнение почв, грунтов и подземных вод при нормальном режиме эксплуатации и при авариях, а также в результате технической мелиорации грунтов основания (химическое закрепление, цементация, инъекция саморасширяющихся растворов в грунт, замораживание и т.п.);</w:t>
      </w:r>
    </w:p>
    <w:p w:rsidR="00E35632" w:rsidRDefault="00E35632">
      <w:pPr>
        <w:pStyle w:val="ConsPlusNormal"/>
        <w:jc w:val="both"/>
      </w:pPr>
      <w:r>
        <w:t xml:space="preserve">(в ред. </w:t>
      </w:r>
      <w:hyperlink r:id="rId955">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изменение режима и уровня подземных вод, выражающееся в изменении условий питания и разгрузки подземных вод, повышении или понижении их уровня. Повышение уровня подземных вод в результате эффекта барража и увеличения техногенного питания может быть причиной подтопления территории, в том числе подвалов сооружений. Снижение уровня подземных вод при строительных откачках и за счет дренажа может явиться причиной суффозии и уплотнения грунта, ведущих к осадке территории и опасным деформациям окружающей застройки;</w:t>
      </w:r>
    </w:p>
    <w:p w:rsidR="00E35632" w:rsidRDefault="00E35632">
      <w:pPr>
        <w:pStyle w:val="ConsPlusNormal"/>
        <w:spacing w:before="220"/>
        <w:ind w:firstLine="540"/>
        <w:jc w:val="both"/>
      </w:pPr>
      <w:r>
        <w:t>- развитие или активизация опасных геологических и инженерно- геологических процессов, таких как карст, суффозия, оползни и др., которые могут вызвать провалы территории и деформации сооружений;</w:t>
      </w:r>
    </w:p>
    <w:p w:rsidR="00E35632" w:rsidRDefault="00E35632">
      <w:pPr>
        <w:pStyle w:val="ConsPlusNormal"/>
        <w:spacing w:before="220"/>
        <w:ind w:firstLine="540"/>
        <w:jc w:val="both"/>
      </w:pPr>
      <w:r>
        <w:t>- динамические и шумовые воздействия. Забивка свай или шпунта, уплотнение грунтов основания трамбовками и другие динамические воздействия могут привести к деформациям окружающей застройки, спровоцировать суффозию, оползни и возникновение шума, уровень которого превышает санитарные нормы;</w:t>
      </w:r>
    </w:p>
    <w:p w:rsidR="00E35632" w:rsidRDefault="00E35632">
      <w:pPr>
        <w:pStyle w:val="ConsPlusNormal"/>
        <w:spacing w:before="220"/>
        <w:ind w:firstLine="540"/>
        <w:jc w:val="both"/>
      </w:pPr>
      <w:r>
        <w:t>- образование различных физических полей (тепловых, электромагнитных, электрических и др.).</w:t>
      </w:r>
    </w:p>
    <w:p w:rsidR="00E35632" w:rsidRDefault="00E35632">
      <w:pPr>
        <w:pStyle w:val="ConsPlusNormal"/>
        <w:spacing w:before="220"/>
        <w:ind w:firstLine="540"/>
        <w:jc w:val="both"/>
      </w:pPr>
      <w:r>
        <w:t>13.7 Для разработки защитных мероприятий от негативного воздействия строительства на окружающую среду в необходимых случаях следует выполнять прогнозные расчеты:</w:t>
      </w:r>
    </w:p>
    <w:p w:rsidR="00E35632" w:rsidRDefault="00E35632">
      <w:pPr>
        <w:pStyle w:val="ConsPlusNormal"/>
        <w:spacing w:before="220"/>
        <w:ind w:firstLine="540"/>
        <w:jc w:val="both"/>
      </w:pPr>
      <w:r>
        <w:t>- расчет эффекта барража при устройстве протяженных подземных сооружений, противофильтрационных завес, ограждающих конструкций котлованов, разделительных стенок и т.п.;</w:t>
      </w:r>
    </w:p>
    <w:p w:rsidR="00E35632" w:rsidRDefault="00E35632">
      <w:pPr>
        <w:pStyle w:val="ConsPlusNormal"/>
        <w:spacing w:before="220"/>
        <w:ind w:firstLine="540"/>
        <w:jc w:val="both"/>
      </w:pPr>
      <w:r>
        <w:t>- оценку оседания земной поверхности в связи с понижением уровня подземных вод;</w:t>
      </w:r>
    </w:p>
    <w:p w:rsidR="00E35632" w:rsidRDefault="00E35632">
      <w:pPr>
        <w:pStyle w:val="ConsPlusNormal"/>
        <w:spacing w:before="220"/>
        <w:ind w:firstLine="540"/>
        <w:jc w:val="both"/>
      </w:pPr>
      <w:r>
        <w:t>- прогноз развития неблагоприятных инженерно-геологических и геологических процессов (карста, суффозии, оползней и др.);</w:t>
      </w:r>
    </w:p>
    <w:p w:rsidR="00E35632" w:rsidRDefault="00E35632">
      <w:pPr>
        <w:pStyle w:val="ConsPlusNormal"/>
        <w:spacing w:before="220"/>
        <w:ind w:firstLine="540"/>
        <w:jc w:val="both"/>
      </w:pPr>
      <w:r>
        <w:t>- оценку влияния химического закрепления грунтов основания на свойства грунтов и подземных вод;</w:t>
      </w:r>
    </w:p>
    <w:p w:rsidR="00E35632" w:rsidRDefault="00E35632">
      <w:pPr>
        <w:pStyle w:val="ConsPlusNormal"/>
        <w:spacing w:before="220"/>
        <w:ind w:firstLine="540"/>
        <w:jc w:val="both"/>
      </w:pPr>
      <w:r>
        <w:t>- оценку влияния динамических воздействий при строительстве на основания и конструкции окружающей застройки и другие расчеты.</w:t>
      </w:r>
    </w:p>
    <w:p w:rsidR="00E35632" w:rsidRDefault="00E35632">
      <w:pPr>
        <w:pStyle w:val="ConsPlusNormal"/>
        <w:spacing w:before="220"/>
        <w:ind w:firstLine="540"/>
        <w:jc w:val="both"/>
      </w:pPr>
      <w:r>
        <w:t>С целью определения количественной оценки влияния негативных факторов на окружающую среду необходимо выполнять прогноз изменения ее компонентов с учетом перечисленных факторов.</w:t>
      </w:r>
    </w:p>
    <w:p w:rsidR="00E35632" w:rsidRDefault="00E35632">
      <w:pPr>
        <w:pStyle w:val="ConsPlusNormal"/>
        <w:spacing w:before="220"/>
        <w:ind w:firstLine="540"/>
        <w:jc w:val="both"/>
      </w:pPr>
      <w:r>
        <w:t>13.8 На основе анализа изменений компонентов окружающей среды обосновывают и разрабатывают мероприятия по защите природного комплекса территории и населения от негативных процессов (мероприятия по защите грунтов и подземных вод от загрязнений, водозащитные, противокарстовые, противооползневые и другие мероприятия).</w:t>
      </w:r>
    </w:p>
    <w:p w:rsidR="00E35632" w:rsidRDefault="00E35632">
      <w:pPr>
        <w:pStyle w:val="ConsPlusNormal"/>
        <w:spacing w:before="220"/>
        <w:ind w:firstLine="540"/>
        <w:jc w:val="both"/>
      </w:pPr>
      <w:r>
        <w:t>Эти мероприятия должны обеспечить снижение или ликвидацию неблагоприятных воздействий на окружающую среду и уменьшение вероятности возникновения аварий.</w:t>
      </w:r>
    </w:p>
    <w:p w:rsidR="00E35632" w:rsidRDefault="00E35632">
      <w:pPr>
        <w:pStyle w:val="ConsPlusNormal"/>
        <w:spacing w:before="220"/>
        <w:ind w:firstLine="540"/>
        <w:jc w:val="both"/>
      </w:pPr>
      <w:r>
        <w:t xml:space="preserve">В необходимых случаях в проекте следует предусматривать раздел по организации экологического мониторинга воздействия строительства на окружающую среду в соответствии с </w:t>
      </w:r>
      <w:hyperlink w:anchor="P4957">
        <w:r>
          <w:rPr>
            <w:color w:val="0000FF"/>
          </w:rPr>
          <w:t>разделом 12</w:t>
        </w:r>
      </w:hyperlink>
      <w:r>
        <w:t xml:space="preserve"> (наблюдения за изменением окружающей природной среды при опасности загрязнения грунтов и подземных вод, газовыделении, радиационном излучении и т.п.).</w:t>
      </w: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right"/>
        <w:outlineLvl w:val="0"/>
      </w:pPr>
      <w:r>
        <w:rPr>
          <w:b/>
        </w:rPr>
        <w:t>Приложение А</w:t>
      </w:r>
    </w:p>
    <w:p w:rsidR="00E35632" w:rsidRDefault="00E35632">
      <w:pPr>
        <w:pStyle w:val="ConsPlusNormal"/>
        <w:jc w:val="right"/>
      </w:pPr>
      <w:r>
        <w:t xml:space="preserve">(в ред. </w:t>
      </w:r>
      <w:hyperlink r:id="rId956">
        <w:r>
          <w:rPr>
            <w:color w:val="0000FF"/>
          </w:rPr>
          <w:t>Изменения N 3</w:t>
        </w:r>
      </w:hyperlink>
      <w:r>
        <w:t>, утв. Приказом Минстроя России от 22.11.2019 N 722/пр)</w:t>
      </w:r>
    </w:p>
    <w:p w:rsidR="00E35632" w:rsidRDefault="00E35632">
      <w:pPr>
        <w:pStyle w:val="ConsPlusNormal"/>
        <w:jc w:val="both"/>
      </w:pPr>
    </w:p>
    <w:p w:rsidR="00E35632" w:rsidRDefault="00E35632">
      <w:pPr>
        <w:pStyle w:val="ConsPlusTitle"/>
        <w:jc w:val="center"/>
      </w:pPr>
      <w:bookmarkStart w:id="273" w:name="P5118"/>
      <w:bookmarkEnd w:id="273"/>
      <w:r>
        <w:t>НОРМАТИВНЫЕ ЗНАЧЕНИЯ ПРОЧНОСТНЫХ</w:t>
      </w:r>
    </w:p>
    <w:p w:rsidR="00E35632" w:rsidRDefault="00E35632">
      <w:pPr>
        <w:pStyle w:val="ConsPlusTitle"/>
        <w:jc w:val="center"/>
      </w:pPr>
      <w:r>
        <w:t>И ДЕФОРМАЦИОННЫХ ХАРАКТЕРИСТИК ГРУНТОВ</w:t>
      </w:r>
    </w:p>
    <w:p w:rsidR="00E35632" w:rsidRDefault="00E35632">
      <w:pPr>
        <w:pStyle w:val="ConsPlusNormal"/>
        <w:jc w:val="both"/>
      </w:pPr>
    </w:p>
    <w:p w:rsidR="00E35632" w:rsidRDefault="00E35632">
      <w:pPr>
        <w:pStyle w:val="ConsPlusNormal"/>
        <w:ind w:firstLine="540"/>
        <w:jc w:val="both"/>
      </w:pPr>
      <w:r>
        <w:t xml:space="preserve">А.1 Характеристики грунтов, приведенные в </w:t>
      </w:r>
      <w:hyperlink w:anchor="P5132">
        <w:r>
          <w:rPr>
            <w:color w:val="0000FF"/>
          </w:rPr>
          <w:t>таблицах А.1</w:t>
        </w:r>
      </w:hyperlink>
      <w:r>
        <w:t xml:space="preserve"> - </w:t>
      </w:r>
      <w:hyperlink w:anchor="P6046">
        <w:r>
          <w:rPr>
            <w:color w:val="0000FF"/>
          </w:rPr>
          <w:t>А.8</w:t>
        </w:r>
      </w:hyperlink>
      <w:r>
        <w:t xml:space="preserve">, допускается использовать в расчетах оснований сооружений в соответствии с требованиями </w:t>
      </w:r>
      <w:hyperlink w:anchor="P612">
        <w:r>
          <w:rPr>
            <w:color w:val="0000FF"/>
          </w:rPr>
          <w:t>5.3.20</w:t>
        </w:r>
      </w:hyperlink>
      <w:r>
        <w:t>.</w:t>
      </w:r>
    </w:p>
    <w:p w:rsidR="00E35632" w:rsidRDefault="00E35632">
      <w:pPr>
        <w:pStyle w:val="ConsPlusNormal"/>
        <w:spacing w:before="220"/>
        <w:ind w:firstLine="540"/>
        <w:jc w:val="both"/>
      </w:pPr>
      <w:r>
        <w:t xml:space="preserve">А.2 Характеристики песков в </w:t>
      </w:r>
      <w:hyperlink w:anchor="P5132">
        <w:r>
          <w:rPr>
            <w:color w:val="0000FF"/>
          </w:rPr>
          <w:t>таблице А.1</w:t>
        </w:r>
      </w:hyperlink>
      <w:r>
        <w:t xml:space="preserve"> относятся к кварцевым пескам с зернами различной окатанности, содержащим не более 20% полевого шпата и не более 5% в сумме различных примесей (слюда, глауконит и пр.), включая органическое вещество, независимо от коэффициента водонасыщения грунтов </w:t>
      </w:r>
      <w:r>
        <w:rPr>
          <w:i/>
        </w:rPr>
        <w:t>S</w:t>
      </w:r>
      <w:r>
        <w:rPr>
          <w:i/>
          <w:vertAlign w:val="subscript"/>
        </w:rPr>
        <w:t>r</w:t>
      </w:r>
      <w:r>
        <w:t>.</w:t>
      </w:r>
    </w:p>
    <w:p w:rsidR="00E35632" w:rsidRDefault="00E35632">
      <w:pPr>
        <w:pStyle w:val="ConsPlusNormal"/>
        <w:spacing w:before="220"/>
        <w:ind w:firstLine="540"/>
        <w:jc w:val="both"/>
      </w:pPr>
      <w:r>
        <w:t xml:space="preserve">А.3 Характеристики глинистых грунтов в </w:t>
      </w:r>
      <w:hyperlink w:anchor="P5210">
        <w:r>
          <w:rPr>
            <w:color w:val="0000FF"/>
          </w:rPr>
          <w:t>таблицах А.2</w:t>
        </w:r>
      </w:hyperlink>
      <w:r>
        <w:t xml:space="preserve"> и </w:t>
      </w:r>
      <w:hyperlink w:anchor="P5366">
        <w:r>
          <w:rPr>
            <w:color w:val="0000FF"/>
          </w:rPr>
          <w:t>А.3</w:t>
        </w:r>
      </w:hyperlink>
      <w:r>
        <w:t xml:space="preserve"> относятся к грунтам, содержащим не более 5% органического вещества и имеющим коэффициент водонасыщения </w:t>
      </w:r>
      <w:r>
        <w:rPr>
          <w:i/>
        </w:rPr>
        <w:t>S</w:t>
      </w:r>
      <w:r>
        <w:rPr>
          <w:i/>
          <w:vertAlign w:val="subscript"/>
        </w:rPr>
        <w:t>r</w:t>
      </w:r>
      <w:r>
        <w:t xml:space="preserve"> &gt;= 0,8.</w:t>
      </w:r>
    </w:p>
    <w:p w:rsidR="00E35632" w:rsidRDefault="00E35632">
      <w:pPr>
        <w:pStyle w:val="ConsPlusNormal"/>
        <w:spacing w:before="220"/>
        <w:ind w:firstLine="540"/>
        <w:jc w:val="both"/>
      </w:pPr>
      <w:r>
        <w:t xml:space="preserve">А.4 Характеристики, приведенные в </w:t>
      </w:r>
      <w:hyperlink w:anchor="P6046">
        <w:r>
          <w:rPr>
            <w:color w:val="0000FF"/>
          </w:rPr>
          <w:t>таблице А.8</w:t>
        </w:r>
      </w:hyperlink>
      <w:r>
        <w:t>, распространяются на намывные пески в возрасте не менее четырех лет.</w:t>
      </w:r>
    </w:p>
    <w:p w:rsidR="00E35632" w:rsidRDefault="00E35632">
      <w:pPr>
        <w:pStyle w:val="ConsPlusNormal"/>
        <w:spacing w:before="220"/>
        <w:ind w:firstLine="540"/>
        <w:jc w:val="both"/>
      </w:pPr>
      <w:r>
        <w:t xml:space="preserve">А.5 Для грунтов с промежуточными значениями </w:t>
      </w:r>
      <w:r>
        <w:rPr>
          <w:i/>
        </w:rPr>
        <w:t>e</w:t>
      </w:r>
      <w:r>
        <w:t xml:space="preserve">, не указанными в </w:t>
      </w:r>
      <w:hyperlink w:anchor="P5132">
        <w:r>
          <w:rPr>
            <w:color w:val="0000FF"/>
          </w:rPr>
          <w:t>таблицах А.1</w:t>
        </w:r>
      </w:hyperlink>
      <w:r>
        <w:t xml:space="preserve"> - </w:t>
      </w:r>
      <w:hyperlink w:anchor="P6046">
        <w:r>
          <w:rPr>
            <w:color w:val="0000FF"/>
          </w:rPr>
          <w:t>А.8</w:t>
        </w:r>
      </w:hyperlink>
      <w:r>
        <w:t xml:space="preserve">, значения </w:t>
      </w:r>
      <w:r>
        <w:rPr>
          <w:i/>
        </w:rPr>
        <w:t>c</w:t>
      </w:r>
      <w:r>
        <w:rPr>
          <w:i/>
          <w:vertAlign w:val="subscript"/>
        </w:rPr>
        <w:t>n</w:t>
      </w:r>
      <w:r>
        <w:t xml:space="preserve">, </w:t>
      </w:r>
      <w:r>
        <w:rPr>
          <w:noProof/>
          <w:position w:val="-8"/>
        </w:rPr>
        <w:drawing>
          <wp:inline distT="0" distB="0" distL="0" distR="0">
            <wp:extent cx="182880" cy="250825"/>
            <wp:effectExtent l="0" t="0" r="0" b="0"/>
            <wp:docPr id="6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 xml:space="preserve"> и </w:t>
      </w:r>
      <w:r>
        <w:rPr>
          <w:i/>
        </w:rPr>
        <w:t>E</w:t>
      </w:r>
      <w:r>
        <w:t xml:space="preserve"> определяют интерполяцией.</w:t>
      </w:r>
    </w:p>
    <w:p w:rsidR="00E35632" w:rsidRDefault="00E35632">
      <w:pPr>
        <w:pStyle w:val="ConsPlusNormal"/>
        <w:spacing w:before="220"/>
        <w:ind w:firstLine="540"/>
        <w:jc w:val="both"/>
      </w:pPr>
      <w:r>
        <w:t xml:space="preserve">Если значения </w:t>
      </w:r>
      <w:r>
        <w:rPr>
          <w:i/>
        </w:rPr>
        <w:t>e</w:t>
      </w:r>
      <w:r>
        <w:t xml:space="preserve">, </w:t>
      </w:r>
      <w:r>
        <w:rPr>
          <w:i/>
        </w:rPr>
        <w:t>I</w:t>
      </w:r>
      <w:r>
        <w:rPr>
          <w:i/>
          <w:vertAlign w:val="subscript"/>
        </w:rPr>
        <w:t>L</w:t>
      </w:r>
      <w:r>
        <w:t xml:space="preserve"> и </w:t>
      </w:r>
      <w:r>
        <w:rPr>
          <w:i/>
        </w:rPr>
        <w:t>S</w:t>
      </w:r>
      <w:r>
        <w:rPr>
          <w:i/>
          <w:vertAlign w:val="subscript"/>
        </w:rPr>
        <w:t>r</w:t>
      </w:r>
      <w:r>
        <w:t xml:space="preserve"> грунтов выходят за пределы, предусмотренные </w:t>
      </w:r>
      <w:hyperlink w:anchor="P5132">
        <w:r>
          <w:rPr>
            <w:color w:val="0000FF"/>
          </w:rPr>
          <w:t>таблицами А.1</w:t>
        </w:r>
      </w:hyperlink>
      <w:r>
        <w:t xml:space="preserve"> - </w:t>
      </w:r>
      <w:hyperlink w:anchor="P6046">
        <w:r>
          <w:rPr>
            <w:color w:val="0000FF"/>
          </w:rPr>
          <w:t>А.8</w:t>
        </w:r>
      </w:hyperlink>
      <w:r>
        <w:t xml:space="preserve">, характеристики </w:t>
      </w:r>
      <w:r>
        <w:rPr>
          <w:i/>
        </w:rPr>
        <w:t>c</w:t>
      </w:r>
      <w:r>
        <w:rPr>
          <w:i/>
          <w:vertAlign w:val="subscript"/>
        </w:rPr>
        <w:t>n</w:t>
      </w:r>
      <w:r>
        <w:t xml:space="preserve">, </w:t>
      </w:r>
      <w:r>
        <w:rPr>
          <w:noProof/>
          <w:position w:val="-8"/>
        </w:rPr>
        <w:drawing>
          <wp:inline distT="0" distB="0" distL="0" distR="0">
            <wp:extent cx="182880" cy="250825"/>
            <wp:effectExtent l="0" t="0" r="0" b="0"/>
            <wp:docPr id="6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 xml:space="preserve"> и </w:t>
      </w:r>
      <w:r>
        <w:rPr>
          <w:i/>
        </w:rPr>
        <w:t>E</w:t>
      </w:r>
      <w:r>
        <w:t xml:space="preserve"> следует определять по данным непосредственных испытаний этих грунтов.</w:t>
      </w:r>
    </w:p>
    <w:p w:rsidR="00E35632" w:rsidRDefault="00E35632">
      <w:pPr>
        <w:pStyle w:val="ConsPlusNormal"/>
        <w:spacing w:before="220"/>
        <w:ind w:firstLine="540"/>
        <w:jc w:val="both"/>
      </w:pPr>
      <w:r>
        <w:t xml:space="preserve">Допускается в запас надежности принимать характеристики </w:t>
      </w:r>
      <w:r>
        <w:rPr>
          <w:i/>
        </w:rPr>
        <w:t>c</w:t>
      </w:r>
      <w:r>
        <w:rPr>
          <w:i/>
          <w:vertAlign w:val="subscript"/>
        </w:rPr>
        <w:t>n</w:t>
      </w:r>
      <w:r>
        <w:t xml:space="preserve">, </w:t>
      </w:r>
      <w:r>
        <w:rPr>
          <w:noProof/>
          <w:position w:val="-8"/>
        </w:rPr>
        <w:drawing>
          <wp:inline distT="0" distB="0" distL="0" distR="0">
            <wp:extent cx="182880" cy="250825"/>
            <wp:effectExtent l="0" t="0" r="0" b="0"/>
            <wp:docPr id="6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 xml:space="preserve"> и </w:t>
      </w:r>
      <w:r>
        <w:rPr>
          <w:i/>
        </w:rPr>
        <w:t>E</w:t>
      </w:r>
      <w:r>
        <w:t xml:space="preserve"> по соответствующим нижним пределам </w:t>
      </w:r>
      <w:r>
        <w:rPr>
          <w:i/>
        </w:rPr>
        <w:t>e</w:t>
      </w:r>
      <w:r>
        <w:t xml:space="preserve">, </w:t>
      </w:r>
      <w:r>
        <w:rPr>
          <w:i/>
        </w:rPr>
        <w:t>I</w:t>
      </w:r>
      <w:r>
        <w:rPr>
          <w:i/>
          <w:vertAlign w:val="subscript"/>
        </w:rPr>
        <w:t>L</w:t>
      </w:r>
      <w:r>
        <w:t xml:space="preserve"> и </w:t>
      </w:r>
      <w:r>
        <w:rPr>
          <w:i/>
        </w:rPr>
        <w:t>S</w:t>
      </w:r>
      <w:r>
        <w:rPr>
          <w:i/>
          <w:vertAlign w:val="subscript"/>
        </w:rPr>
        <w:t>r</w:t>
      </w:r>
      <w:r>
        <w:t xml:space="preserve"> в </w:t>
      </w:r>
      <w:hyperlink w:anchor="P5132">
        <w:r>
          <w:rPr>
            <w:color w:val="0000FF"/>
          </w:rPr>
          <w:t>таблицах А.1</w:t>
        </w:r>
      </w:hyperlink>
      <w:r>
        <w:t xml:space="preserve"> - </w:t>
      </w:r>
      <w:hyperlink w:anchor="P6046">
        <w:r>
          <w:rPr>
            <w:color w:val="0000FF"/>
          </w:rPr>
          <w:t>А.8</w:t>
        </w:r>
      </w:hyperlink>
      <w:r>
        <w:t xml:space="preserve">, если грунты имеют значения </w:t>
      </w:r>
      <w:r>
        <w:rPr>
          <w:i/>
        </w:rPr>
        <w:t>e</w:t>
      </w:r>
      <w:r>
        <w:t xml:space="preserve">, </w:t>
      </w:r>
      <w:r>
        <w:rPr>
          <w:i/>
        </w:rPr>
        <w:t>I</w:t>
      </w:r>
      <w:r>
        <w:rPr>
          <w:i/>
          <w:vertAlign w:val="subscript"/>
        </w:rPr>
        <w:t>L</w:t>
      </w:r>
      <w:r>
        <w:t xml:space="preserve"> и </w:t>
      </w:r>
      <w:r>
        <w:rPr>
          <w:i/>
        </w:rPr>
        <w:t>S</w:t>
      </w:r>
      <w:r>
        <w:rPr>
          <w:i/>
          <w:vertAlign w:val="subscript"/>
        </w:rPr>
        <w:t>r</w:t>
      </w:r>
      <w:r>
        <w:t xml:space="preserve"> меньше этих предельных значений.</w:t>
      </w:r>
    </w:p>
    <w:p w:rsidR="00E35632" w:rsidRDefault="00E35632">
      <w:pPr>
        <w:pStyle w:val="ConsPlusNormal"/>
        <w:spacing w:before="220"/>
        <w:ind w:firstLine="540"/>
        <w:jc w:val="both"/>
      </w:pPr>
      <w:r>
        <w:t xml:space="preserve">А.6 Для определения значений </w:t>
      </w:r>
      <w:r>
        <w:rPr>
          <w:i/>
        </w:rPr>
        <w:t>c</w:t>
      </w:r>
      <w:r>
        <w:rPr>
          <w:i/>
          <w:vertAlign w:val="subscript"/>
        </w:rPr>
        <w:t>n</w:t>
      </w:r>
      <w:r>
        <w:t xml:space="preserve">, </w:t>
      </w:r>
      <w:r>
        <w:rPr>
          <w:noProof/>
          <w:position w:val="-8"/>
        </w:rPr>
        <w:drawing>
          <wp:inline distT="0" distB="0" distL="0" distR="0">
            <wp:extent cx="182880" cy="250825"/>
            <wp:effectExtent l="0" t="0" r="0" b="0"/>
            <wp:docPr id="6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t xml:space="preserve"> и </w:t>
      </w:r>
      <w:r>
        <w:rPr>
          <w:i/>
        </w:rPr>
        <w:t>E</w:t>
      </w:r>
      <w:r>
        <w:t xml:space="preserve"> по </w:t>
      </w:r>
      <w:hyperlink w:anchor="P5132">
        <w:r>
          <w:rPr>
            <w:color w:val="0000FF"/>
          </w:rPr>
          <w:t>таблицам А.1</w:t>
        </w:r>
      </w:hyperlink>
      <w:r>
        <w:t xml:space="preserve"> - </w:t>
      </w:r>
      <w:hyperlink w:anchor="P6046">
        <w:r>
          <w:rPr>
            <w:color w:val="0000FF"/>
          </w:rPr>
          <w:t>А.8</w:t>
        </w:r>
      </w:hyperlink>
      <w:r>
        <w:t xml:space="preserve"> используют нормативные значения </w:t>
      </w:r>
      <w:r>
        <w:rPr>
          <w:i/>
        </w:rPr>
        <w:t>e</w:t>
      </w:r>
      <w:r>
        <w:t xml:space="preserve">, </w:t>
      </w:r>
      <w:r>
        <w:rPr>
          <w:i/>
        </w:rPr>
        <w:t>I</w:t>
      </w:r>
      <w:r>
        <w:rPr>
          <w:i/>
          <w:vertAlign w:val="subscript"/>
        </w:rPr>
        <w:t>L</w:t>
      </w:r>
      <w:r>
        <w:t xml:space="preserve"> и </w:t>
      </w:r>
      <w:r>
        <w:rPr>
          <w:i/>
        </w:rPr>
        <w:t>S</w:t>
      </w:r>
      <w:r>
        <w:rPr>
          <w:i/>
          <w:vertAlign w:val="subscript"/>
        </w:rPr>
        <w:t>r</w:t>
      </w:r>
      <w:r>
        <w:t>.</w:t>
      </w:r>
    </w:p>
    <w:p w:rsidR="00E35632" w:rsidRDefault="00E35632">
      <w:pPr>
        <w:pStyle w:val="ConsPlusNormal"/>
        <w:jc w:val="both"/>
      </w:pPr>
    </w:p>
    <w:p w:rsidR="00E35632" w:rsidRDefault="00E35632">
      <w:pPr>
        <w:pStyle w:val="ConsPlusNormal"/>
        <w:jc w:val="right"/>
      </w:pPr>
      <w:r>
        <w:t>Таблица А.1</w:t>
      </w:r>
    </w:p>
    <w:p w:rsidR="00E35632" w:rsidRDefault="00E35632">
      <w:pPr>
        <w:pStyle w:val="ConsPlusNormal"/>
        <w:jc w:val="both"/>
      </w:pPr>
    </w:p>
    <w:p w:rsidR="00E35632" w:rsidRDefault="00E35632">
      <w:pPr>
        <w:pStyle w:val="ConsPlusNormal"/>
        <w:jc w:val="center"/>
      </w:pPr>
      <w:bookmarkStart w:id="274" w:name="P5132"/>
      <w:bookmarkEnd w:id="274"/>
      <w:r>
        <w:rPr>
          <w:b/>
        </w:rPr>
        <w:t>Нормативные значения удельного сцепления</w:t>
      </w:r>
      <w:r>
        <w:t xml:space="preserve"> </w:t>
      </w:r>
      <w:r>
        <w:rPr>
          <w:b/>
          <w:i/>
        </w:rPr>
        <w:t>c</w:t>
      </w:r>
      <w:r>
        <w:rPr>
          <w:b/>
          <w:i/>
          <w:vertAlign w:val="subscript"/>
        </w:rPr>
        <w:t>n</w:t>
      </w:r>
      <w:r>
        <w:rPr>
          <w:b/>
        </w:rPr>
        <w:t>, кПа, угла</w:t>
      </w:r>
    </w:p>
    <w:p w:rsidR="00E35632" w:rsidRDefault="00E35632">
      <w:pPr>
        <w:pStyle w:val="ConsPlusNormal"/>
        <w:jc w:val="center"/>
      </w:pPr>
      <w:r>
        <w:rPr>
          <w:b/>
        </w:rPr>
        <w:t xml:space="preserve">внутреннего трения </w:t>
      </w:r>
      <w:r>
        <w:rPr>
          <w:noProof/>
          <w:position w:val="-8"/>
        </w:rPr>
        <w:drawing>
          <wp:inline distT="0" distB="0" distL="0" distR="0">
            <wp:extent cx="182880" cy="250825"/>
            <wp:effectExtent l="0" t="0" r="0" b="0"/>
            <wp:docPr id="6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rPr>
          <w:b/>
        </w:rPr>
        <w:t>, град., и модуля деформации</w:t>
      </w:r>
      <w:r>
        <w:t xml:space="preserve"> </w:t>
      </w:r>
      <w:r>
        <w:rPr>
          <w:b/>
          <w:i/>
        </w:rPr>
        <w:t>E</w:t>
      </w:r>
      <w:r>
        <w:rPr>
          <w:b/>
        </w:rPr>
        <w:t>, МПа,</w:t>
      </w:r>
    </w:p>
    <w:p w:rsidR="00E35632" w:rsidRDefault="00E35632">
      <w:pPr>
        <w:pStyle w:val="ConsPlusNormal"/>
        <w:jc w:val="center"/>
      </w:pPr>
      <w:r>
        <w:rPr>
          <w:b/>
        </w:rPr>
        <w:t>песков четвертичных отложений</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886"/>
        <w:gridCol w:w="1858"/>
        <w:gridCol w:w="1344"/>
        <w:gridCol w:w="1310"/>
        <w:gridCol w:w="1339"/>
        <w:gridCol w:w="1296"/>
      </w:tblGrid>
      <w:tr w:rsidR="00E35632">
        <w:tc>
          <w:tcPr>
            <w:tcW w:w="1886" w:type="dxa"/>
            <w:vMerge w:val="restart"/>
            <w:tcBorders>
              <w:top w:val="single" w:sz="4" w:space="0" w:color="auto"/>
              <w:bottom w:val="single" w:sz="4" w:space="0" w:color="auto"/>
            </w:tcBorders>
            <w:vAlign w:val="center"/>
          </w:tcPr>
          <w:p w:rsidR="00E35632" w:rsidRDefault="00E35632">
            <w:pPr>
              <w:pStyle w:val="ConsPlusNormal"/>
              <w:jc w:val="center"/>
            </w:pPr>
            <w:r>
              <w:t>Пески</w:t>
            </w:r>
          </w:p>
        </w:tc>
        <w:tc>
          <w:tcPr>
            <w:tcW w:w="1858" w:type="dxa"/>
            <w:vMerge w:val="restart"/>
            <w:tcBorders>
              <w:top w:val="single" w:sz="4" w:space="0" w:color="auto"/>
              <w:bottom w:val="single" w:sz="4" w:space="0" w:color="auto"/>
            </w:tcBorders>
            <w:vAlign w:val="center"/>
          </w:tcPr>
          <w:p w:rsidR="00E35632" w:rsidRDefault="00E35632">
            <w:pPr>
              <w:pStyle w:val="ConsPlusNormal"/>
              <w:jc w:val="center"/>
            </w:pPr>
            <w:r>
              <w:t>Обозначение характеристик грунтов</w:t>
            </w:r>
          </w:p>
        </w:tc>
        <w:tc>
          <w:tcPr>
            <w:tcW w:w="5289" w:type="dxa"/>
            <w:gridSpan w:val="4"/>
            <w:tcBorders>
              <w:top w:val="single" w:sz="4" w:space="0" w:color="auto"/>
              <w:bottom w:val="single" w:sz="4" w:space="0" w:color="auto"/>
            </w:tcBorders>
            <w:vAlign w:val="center"/>
          </w:tcPr>
          <w:p w:rsidR="00E35632" w:rsidRDefault="00E35632">
            <w:pPr>
              <w:pStyle w:val="ConsPlusNormal"/>
              <w:jc w:val="center"/>
            </w:pPr>
            <w:r>
              <w:t xml:space="preserve">Характеристики грунтов при коэффициенте пористости </w:t>
            </w:r>
            <w:r>
              <w:rPr>
                <w:i/>
              </w:rPr>
              <w:t>е</w:t>
            </w:r>
            <w:r>
              <w:t>, равном</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344" w:type="dxa"/>
            <w:tcBorders>
              <w:top w:val="single" w:sz="4" w:space="0" w:color="auto"/>
              <w:bottom w:val="single" w:sz="4" w:space="0" w:color="auto"/>
            </w:tcBorders>
            <w:vAlign w:val="center"/>
          </w:tcPr>
          <w:p w:rsidR="00E35632" w:rsidRDefault="00E35632">
            <w:pPr>
              <w:pStyle w:val="ConsPlusNormal"/>
              <w:jc w:val="center"/>
            </w:pPr>
            <w:r>
              <w:t>0,45</w:t>
            </w:r>
          </w:p>
        </w:tc>
        <w:tc>
          <w:tcPr>
            <w:tcW w:w="1310" w:type="dxa"/>
            <w:tcBorders>
              <w:top w:val="single" w:sz="4" w:space="0" w:color="auto"/>
              <w:bottom w:val="single" w:sz="4" w:space="0" w:color="auto"/>
            </w:tcBorders>
            <w:vAlign w:val="center"/>
          </w:tcPr>
          <w:p w:rsidR="00E35632" w:rsidRDefault="00E35632">
            <w:pPr>
              <w:pStyle w:val="ConsPlusNormal"/>
              <w:jc w:val="center"/>
            </w:pPr>
            <w:r>
              <w:t>0,55</w:t>
            </w:r>
          </w:p>
        </w:tc>
        <w:tc>
          <w:tcPr>
            <w:tcW w:w="1339" w:type="dxa"/>
            <w:tcBorders>
              <w:top w:val="single" w:sz="4" w:space="0" w:color="auto"/>
              <w:bottom w:val="single" w:sz="4" w:space="0" w:color="auto"/>
            </w:tcBorders>
            <w:vAlign w:val="center"/>
          </w:tcPr>
          <w:p w:rsidR="00E35632" w:rsidRDefault="00E35632">
            <w:pPr>
              <w:pStyle w:val="ConsPlusNormal"/>
              <w:jc w:val="center"/>
            </w:pPr>
            <w:r>
              <w:t>0,65</w:t>
            </w:r>
          </w:p>
        </w:tc>
        <w:tc>
          <w:tcPr>
            <w:tcW w:w="1296" w:type="dxa"/>
            <w:tcBorders>
              <w:top w:val="single" w:sz="4" w:space="0" w:color="auto"/>
              <w:bottom w:val="single" w:sz="4" w:space="0" w:color="auto"/>
            </w:tcBorders>
            <w:vAlign w:val="center"/>
          </w:tcPr>
          <w:p w:rsidR="00E35632" w:rsidRDefault="00E35632">
            <w:pPr>
              <w:pStyle w:val="ConsPlusNormal"/>
              <w:jc w:val="center"/>
            </w:pPr>
            <w:r>
              <w:t>0,75</w:t>
            </w:r>
          </w:p>
        </w:tc>
      </w:tr>
      <w:tr w:rsidR="00E35632">
        <w:tc>
          <w:tcPr>
            <w:tcW w:w="1886" w:type="dxa"/>
            <w:vMerge w:val="restart"/>
            <w:tcBorders>
              <w:top w:val="single" w:sz="4" w:space="0" w:color="auto"/>
              <w:bottom w:val="single" w:sz="4" w:space="0" w:color="auto"/>
            </w:tcBorders>
          </w:tcPr>
          <w:p w:rsidR="00E35632" w:rsidRDefault="00E35632">
            <w:pPr>
              <w:pStyle w:val="ConsPlusNormal"/>
            </w:pPr>
            <w:r>
              <w:t>Гравелистые и крупные</w:t>
            </w:r>
          </w:p>
        </w:tc>
        <w:tc>
          <w:tcPr>
            <w:tcW w:w="1858" w:type="dxa"/>
            <w:tcBorders>
              <w:top w:val="single" w:sz="4" w:space="0" w:color="auto"/>
              <w:bottom w:val="nil"/>
            </w:tcBorders>
          </w:tcPr>
          <w:p w:rsidR="00E35632" w:rsidRDefault="00E35632">
            <w:pPr>
              <w:pStyle w:val="ConsPlusNormal"/>
              <w:jc w:val="center"/>
            </w:pPr>
            <w:r>
              <w:rPr>
                <w:i/>
              </w:rPr>
              <w:t>c</w:t>
            </w:r>
          </w:p>
        </w:tc>
        <w:tc>
          <w:tcPr>
            <w:tcW w:w="1344" w:type="dxa"/>
            <w:tcBorders>
              <w:top w:val="single" w:sz="4" w:space="0" w:color="auto"/>
              <w:bottom w:val="nil"/>
            </w:tcBorders>
          </w:tcPr>
          <w:p w:rsidR="00E35632" w:rsidRDefault="00E35632">
            <w:pPr>
              <w:pStyle w:val="ConsPlusNormal"/>
              <w:jc w:val="center"/>
            </w:pPr>
            <w:r>
              <w:t>2</w:t>
            </w:r>
          </w:p>
        </w:tc>
        <w:tc>
          <w:tcPr>
            <w:tcW w:w="1310" w:type="dxa"/>
            <w:tcBorders>
              <w:top w:val="single" w:sz="4" w:space="0" w:color="auto"/>
              <w:bottom w:val="nil"/>
            </w:tcBorders>
          </w:tcPr>
          <w:p w:rsidR="00E35632" w:rsidRDefault="00E35632">
            <w:pPr>
              <w:pStyle w:val="ConsPlusNormal"/>
              <w:jc w:val="center"/>
            </w:pPr>
            <w:r>
              <w:t>1</w:t>
            </w:r>
          </w:p>
        </w:tc>
        <w:tc>
          <w:tcPr>
            <w:tcW w:w="1339" w:type="dxa"/>
            <w:tcBorders>
              <w:top w:val="single" w:sz="4" w:space="0" w:color="auto"/>
              <w:bottom w:val="nil"/>
            </w:tcBorders>
          </w:tcPr>
          <w:p w:rsidR="00E35632" w:rsidRDefault="00E35632">
            <w:pPr>
              <w:pStyle w:val="ConsPlusNormal"/>
              <w:jc w:val="center"/>
            </w:pPr>
            <w:r>
              <w:t>-</w:t>
            </w:r>
          </w:p>
        </w:tc>
        <w:tc>
          <w:tcPr>
            <w:tcW w:w="1296" w:type="dxa"/>
            <w:tcBorders>
              <w:top w:val="single" w:sz="4" w:space="0" w:color="auto"/>
              <w:bottom w:val="nil"/>
            </w:tcBorders>
          </w:tcPr>
          <w:p w:rsidR="00E35632" w:rsidRDefault="00E35632">
            <w:pPr>
              <w:pStyle w:val="ConsPlusNormal"/>
              <w:jc w:val="center"/>
            </w:pPr>
            <w:r>
              <w:t>-</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858" w:type="dxa"/>
            <w:tcBorders>
              <w:top w:val="nil"/>
              <w:bottom w:val="nil"/>
            </w:tcBorders>
          </w:tcPr>
          <w:p w:rsidR="00E35632" w:rsidRDefault="00E35632">
            <w:pPr>
              <w:pStyle w:val="ConsPlusNormal"/>
              <w:jc w:val="center"/>
            </w:pPr>
            <w:r>
              <w:rPr>
                <w:noProof/>
                <w:position w:val="-3"/>
              </w:rPr>
              <w:drawing>
                <wp:inline distT="0" distB="0" distL="0" distR="0">
                  <wp:extent cx="150495" cy="185420"/>
                  <wp:effectExtent l="0" t="0" r="0" b="0"/>
                  <wp:docPr id="6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150495" cy="185420"/>
                          </a:xfrm>
                          <a:prstGeom prst="rect">
                            <a:avLst/>
                          </a:prstGeom>
                          <a:noFill/>
                          <a:ln>
                            <a:noFill/>
                          </a:ln>
                        </pic:spPr>
                      </pic:pic>
                    </a:graphicData>
                  </a:graphic>
                </wp:inline>
              </w:drawing>
            </w:r>
          </w:p>
        </w:tc>
        <w:tc>
          <w:tcPr>
            <w:tcW w:w="1344" w:type="dxa"/>
            <w:tcBorders>
              <w:top w:val="nil"/>
              <w:bottom w:val="nil"/>
            </w:tcBorders>
          </w:tcPr>
          <w:p w:rsidR="00E35632" w:rsidRDefault="00E35632">
            <w:pPr>
              <w:pStyle w:val="ConsPlusNormal"/>
              <w:jc w:val="center"/>
            </w:pPr>
            <w:r>
              <w:t>43</w:t>
            </w:r>
          </w:p>
        </w:tc>
        <w:tc>
          <w:tcPr>
            <w:tcW w:w="1310" w:type="dxa"/>
            <w:tcBorders>
              <w:top w:val="nil"/>
              <w:bottom w:val="nil"/>
            </w:tcBorders>
          </w:tcPr>
          <w:p w:rsidR="00E35632" w:rsidRDefault="00E35632">
            <w:pPr>
              <w:pStyle w:val="ConsPlusNormal"/>
              <w:jc w:val="center"/>
            </w:pPr>
            <w:r>
              <w:t>40</w:t>
            </w:r>
          </w:p>
        </w:tc>
        <w:tc>
          <w:tcPr>
            <w:tcW w:w="1339" w:type="dxa"/>
            <w:tcBorders>
              <w:top w:val="nil"/>
              <w:bottom w:val="nil"/>
            </w:tcBorders>
          </w:tcPr>
          <w:p w:rsidR="00E35632" w:rsidRDefault="00E35632">
            <w:pPr>
              <w:pStyle w:val="ConsPlusNormal"/>
              <w:jc w:val="center"/>
            </w:pPr>
            <w:r>
              <w:t>38</w:t>
            </w:r>
          </w:p>
        </w:tc>
        <w:tc>
          <w:tcPr>
            <w:tcW w:w="1296" w:type="dxa"/>
            <w:tcBorders>
              <w:top w:val="nil"/>
              <w:bottom w:val="nil"/>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858" w:type="dxa"/>
            <w:tcBorders>
              <w:top w:val="nil"/>
              <w:bottom w:val="single" w:sz="4" w:space="0" w:color="auto"/>
            </w:tcBorders>
          </w:tcPr>
          <w:p w:rsidR="00E35632" w:rsidRDefault="00E35632">
            <w:pPr>
              <w:pStyle w:val="ConsPlusNormal"/>
              <w:jc w:val="center"/>
            </w:pPr>
            <w:r>
              <w:rPr>
                <w:i/>
              </w:rPr>
              <w:t>E</w:t>
            </w:r>
          </w:p>
        </w:tc>
        <w:tc>
          <w:tcPr>
            <w:tcW w:w="1344" w:type="dxa"/>
            <w:tcBorders>
              <w:top w:val="nil"/>
              <w:bottom w:val="single" w:sz="4" w:space="0" w:color="auto"/>
            </w:tcBorders>
          </w:tcPr>
          <w:p w:rsidR="00E35632" w:rsidRDefault="00E35632">
            <w:pPr>
              <w:pStyle w:val="ConsPlusNormal"/>
              <w:jc w:val="center"/>
            </w:pPr>
            <w:r>
              <w:t>50</w:t>
            </w:r>
          </w:p>
        </w:tc>
        <w:tc>
          <w:tcPr>
            <w:tcW w:w="1310" w:type="dxa"/>
            <w:tcBorders>
              <w:top w:val="nil"/>
              <w:bottom w:val="single" w:sz="4" w:space="0" w:color="auto"/>
            </w:tcBorders>
          </w:tcPr>
          <w:p w:rsidR="00E35632" w:rsidRDefault="00E35632">
            <w:pPr>
              <w:pStyle w:val="ConsPlusNormal"/>
              <w:jc w:val="center"/>
            </w:pPr>
            <w:r>
              <w:t>40</w:t>
            </w:r>
          </w:p>
        </w:tc>
        <w:tc>
          <w:tcPr>
            <w:tcW w:w="1339" w:type="dxa"/>
            <w:tcBorders>
              <w:top w:val="nil"/>
              <w:bottom w:val="single" w:sz="4" w:space="0" w:color="auto"/>
            </w:tcBorders>
          </w:tcPr>
          <w:p w:rsidR="00E35632" w:rsidRDefault="00E35632">
            <w:pPr>
              <w:pStyle w:val="ConsPlusNormal"/>
              <w:jc w:val="center"/>
            </w:pPr>
            <w:r>
              <w:t>30</w:t>
            </w:r>
          </w:p>
        </w:tc>
        <w:tc>
          <w:tcPr>
            <w:tcW w:w="1296" w:type="dxa"/>
            <w:tcBorders>
              <w:top w:val="nil"/>
              <w:bottom w:val="single" w:sz="4" w:space="0" w:color="auto"/>
            </w:tcBorders>
          </w:tcPr>
          <w:p w:rsidR="00E35632" w:rsidRDefault="00E35632">
            <w:pPr>
              <w:pStyle w:val="ConsPlusNormal"/>
              <w:jc w:val="center"/>
            </w:pPr>
            <w:r>
              <w:t>-</w:t>
            </w:r>
          </w:p>
        </w:tc>
      </w:tr>
      <w:tr w:rsidR="00E35632">
        <w:tc>
          <w:tcPr>
            <w:tcW w:w="1886" w:type="dxa"/>
            <w:vMerge w:val="restart"/>
            <w:tcBorders>
              <w:top w:val="single" w:sz="4" w:space="0" w:color="auto"/>
              <w:bottom w:val="single" w:sz="4" w:space="0" w:color="auto"/>
            </w:tcBorders>
          </w:tcPr>
          <w:p w:rsidR="00E35632" w:rsidRDefault="00E35632">
            <w:pPr>
              <w:pStyle w:val="ConsPlusNormal"/>
            </w:pPr>
            <w:r>
              <w:t>Средней крупности</w:t>
            </w:r>
          </w:p>
        </w:tc>
        <w:tc>
          <w:tcPr>
            <w:tcW w:w="1858" w:type="dxa"/>
            <w:tcBorders>
              <w:top w:val="single" w:sz="4" w:space="0" w:color="auto"/>
              <w:bottom w:val="nil"/>
            </w:tcBorders>
          </w:tcPr>
          <w:p w:rsidR="00E35632" w:rsidRDefault="00E35632">
            <w:pPr>
              <w:pStyle w:val="ConsPlusNormal"/>
              <w:jc w:val="center"/>
            </w:pPr>
            <w:r>
              <w:rPr>
                <w:i/>
              </w:rPr>
              <w:t>c</w:t>
            </w:r>
          </w:p>
        </w:tc>
        <w:tc>
          <w:tcPr>
            <w:tcW w:w="1344" w:type="dxa"/>
            <w:tcBorders>
              <w:top w:val="single" w:sz="4" w:space="0" w:color="auto"/>
              <w:bottom w:val="nil"/>
            </w:tcBorders>
          </w:tcPr>
          <w:p w:rsidR="00E35632" w:rsidRDefault="00E35632">
            <w:pPr>
              <w:pStyle w:val="ConsPlusNormal"/>
              <w:jc w:val="center"/>
            </w:pPr>
            <w:r>
              <w:t>3</w:t>
            </w:r>
          </w:p>
        </w:tc>
        <w:tc>
          <w:tcPr>
            <w:tcW w:w="1310" w:type="dxa"/>
            <w:tcBorders>
              <w:top w:val="single" w:sz="4" w:space="0" w:color="auto"/>
              <w:bottom w:val="nil"/>
            </w:tcBorders>
          </w:tcPr>
          <w:p w:rsidR="00E35632" w:rsidRDefault="00E35632">
            <w:pPr>
              <w:pStyle w:val="ConsPlusNormal"/>
              <w:jc w:val="center"/>
            </w:pPr>
            <w:r>
              <w:t>2</w:t>
            </w:r>
          </w:p>
        </w:tc>
        <w:tc>
          <w:tcPr>
            <w:tcW w:w="1339" w:type="dxa"/>
            <w:tcBorders>
              <w:top w:val="single" w:sz="4" w:space="0" w:color="auto"/>
              <w:bottom w:val="nil"/>
            </w:tcBorders>
          </w:tcPr>
          <w:p w:rsidR="00E35632" w:rsidRDefault="00E35632">
            <w:pPr>
              <w:pStyle w:val="ConsPlusNormal"/>
              <w:jc w:val="center"/>
            </w:pPr>
            <w:r>
              <w:t>1</w:t>
            </w:r>
          </w:p>
        </w:tc>
        <w:tc>
          <w:tcPr>
            <w:tcW w:w="1296" w:type="dxa"/>
            <w:tcBorders>
              <w:top w:val="single" w:sz="4" w:space="0" w:color="auto"/>
              <w:bottom w:val="nil"/>
            </w:tcBorders>
          </w:tcPr>
          <w:p w:rsidR="00E35632" w:rsidRDefault="00E35632">
            <w:pPr>
              <w:pStyle w:val="ConsPlusNormal"/>
              <w:jc w:val="center"/>
            </w:pPr>
            <w:r>
              <w:t>-</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858" w:type="dxa"/>
            <w:tcBorders>
              <w:top w:val="nil"/>
              <w:bottom w:val="nil"/>
            </w:tcBorders>
          </w:tcPr>
          <w:p w:rsidR="00E35632" w:rsidRDefault="00E35632">
            <w:pPr>
              <w:pStyle w:val="ConsPlusNormal"/>
              <w:jc w:val="center"/>
            </w:pPr>
            <w:r>
              <w:rPr>
                <w:noProof/>
                <w:position w:val="-3"/>
              </w:rPr>
              <w:drawing>
                <wp:inline distT="0" distB="0" distL="0" distR="0">
                  <wp:extent cx="150495" cy="185420"/>
                  <wp:effectExtent l="0" t="0" r="0" b="0"/>
                  <wp:docPr id="6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150495" cy="185420"/>
                          </a:xfrm>
                          <a:prstGeom prst="rect">
                            <a:avLst/>
                          </a:prstGeom>
                          <a:noFill/>
                          <a:ln>
                            <a:noFill/>
                          </a:ln>
                        </pic:spPr>
                      </pic:pic>
                    </a:graphicData>
                  </a:graphic>
                </wp:inline>
              </w:drawing>
            </w:r>
          </w:p>
        </w:tc>
        <w:tc>
          <w:tcPr>
            <w:tcW w:w="1344" w:type="dxa"/>
            <w:tcBorders>
              <w:top w:val="nil"/>
              <w:bottom w:val="nil"/>
            </w:tcBorders>
          </w:tcPr>
          <w:p w:rsidR="00E35632" w:rsidRDefault="00E35632">
            <w:pPr>
              <w:pStyle w:val="ConsPlusNormal"/>
              <w:jc w:val="center"/>
            </w:pPr>
            <w:r>
              <w:t>40</w:t>
            </w:r>
          </w:p>
        </w:tc>
        <w:tc>
          <w:tcPr>
            <w:tcW w:w="1310" w:type="dxa"/>
            <w:tcBorders>
              <w:top w:val="nil"/>
              <w:bottom w:val="nil"/>
            </w:tcBorders>
          </w:tcPr>
          <w:p w:rsidR="00E35632" w:rsidRDefault="00E35632">
            <w:pPr>
              <w:pStyle w:val="ConsPlusNormal"/>
              <w:jc w:val="center"/>
            </w:pPr>
            <w:r>
              <w:t>38</w:t>
            </w:r>
          </w:p>
        </w:tc>
        <w:tc>
          <w:tcPr>
            <w:tcW w:w="1339" w:type="dxa"/>
            <w:tcBorders>
              <w:top w:val="nil"/>
              <w:bottom w:val="nil"/>
            </w:tcBorders>
          </w:tcPr>
          <w:p w:rsidR="00E35632" w:rsidRDefault="00E35632">
            <w:pPr>
              <w:pStyle w:val="ConsPlusNormal"/>
              <w:jc w:val="center"/>
            </w:pPr>
            <w:r>
              <w:t>35</w:t>
            </w:r>
          </w:p>
        </w:tc>
        <w:tc>
          <w:tcPr>
            <w:tcW w:w="1296" w:type="dxa"/>
            <w:tcBorders>
              <w:top w:val="nil"/>
              <w:bottom w:val="nil"/>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858" w:type="dxa"/>
            <w:tcBorders>
              <w:top w:val="nil"/>
              <w:bottom w:val="single" w:sz="4" w:space="0" w:color="auto"/>
            </w:tcBorders>
          </w:tcPr>
          <w:p w:rsidR="00E35632" w:rsidRDefault="00E35632">
            <w:pPr>
              <w:pStyle w:val="ConsPlusNormal"/>
              <w:jc w:val="center"/>
            </w:pPr>
            <w:r>
              <w:rPr>
                <w:i/>
              </w:rPr>
              <w:t>E</w:t>
            </w:r>
          </w:p>
        </w:tc>
        <w:tc>
          <w:tcPr>
            <w:tcW w:w="1344" w:type="dxa"/>
            <w:tcBorders>
              <w:top w:val="nil"/>
              <w:bottom w:val="single" w:sz="4" w:space="0" w:color="auto"/>
            </w:tcBorders>
          </w:tcPr>
          <w:p w:rsidR="00E35632" w:rsidRDefault="00E35632">
            <w:pPr>
              <w:pStyle w:val="ConsPlusNormal"/>
              <w:jc w:val="center"/>
            </w:pPr>
            <w:r>
              <w:t>50</w:t>
            </w:r>
          </w:p>
        </w:tc>
        <w:tc>
          <w:tcPr>
            <w:tcW w:w="1310" w:type="dxa"/>
            <w:tcBorders>
              <w:top w:val="nil"/>
              <w:bottom w:val="single" w:sz="4" w:space="0" w:color="auto"/>
            </w:tcBorders>
          </w:tcPr>
          <w:p w:rsidR="00E35632" w:rsidRDefault="00E35632">
            <w:pPr>
              <w:pStyle w:val="ConsPlusNormal"/>
              <w:jc w:val="center"/>
            </w:pPr>
            <w:r>
              <w:t>40</w:t>
            </w:r>
          </w:p>
        </w:tc>
        <w:tc>
          <w:tcPr>
            <w:tcW w:w="1339" w:type="dxa"/>
            <w:tcBorders>
              <w:top w:val="nil"/>
              <w:bottom w:val="single" w:sz="4" w:space="0" w:color="auto"/>
            </w:tcBorders>
          </w:tcPr>
          <w:p w:rsidR="00E35632" w:rsidRDefault="00E35632">
            <w:pPr>
              <w:pStyle w:val="ConsPlusNormal"/>
              <w:jc w:val="center"/>
            </w:pPr>
            <w:r>
              <w:t>30</w:t>
            </w:r>
          </w:p>
        </w:tc>
        <w:tc>
          <w:tcPr>
            <w:tcW w:w="1296" w:type="dxa"/>
            <w:tcBorders>
              <w:top w:val="nil"/>
              <w:bottom w:val="single" w:sz="4" w:space="0" w:color="auto"/>
            </w:tcBorders>
          </w:tcPr>
          <w:p w:rsidR="00E35632" w:rsidRDefault="00E35632">
            <w:pPr>
              <w:pStyle w:val="ConsPlusNormal"/>
              <w:jc w:val="center"/>
            </w:pPr>
            <w:r>
              <w:t>-</w:t>
            </w:r>
          </w:p>
        </w:tc>
      </w:tr>
      <w:tr w:rsidR="00E35632">
        <w:tc>
          <w:tcPr>
            <w:tcW w:w="1886" w:type="dxa"/>
            <w:vMerge w:val="restart"/>
            <w:tcBorders>
              <w:top w:val="single" w:sz="4" w:space="0" w:color="auto"/>
              <w:bottom w:val="single" w:sz="4" w:space="0" w:color="auto"/>
            </w:tcBorders>
            <w:vAlign w:val="center"/>
          </w:tcPr>
          <w:p w:rsidR="00E35632" w:rsidRDefault="00E35632">
            <w:pPr>
              <w:pStyle w:val="ConsPlusNormal"/>
            </w:pPr>
            <w:r>
              <w:t>Мелкие</w:t>
            </w:r>
          </w:p>
        </w:tc>
        <w:tc>
          <w:tcPr>
            <w:tcW w:w="1858" w:type="dxa"/>
            <w:tcBorders>
              <w:top w:val="single" w:sz="4" w:space="0" w:color="auto"/>
              <w:bottom w:val="nil"/>
            </w:tcBorders>
          </w:tcPr>
          <w:p w:rsidR="00E35632" w:rsidRDefault="00E35632">
            <w:pPr>
              <w:pStyle w:val="ConsPlusNormal"/>
              <w:jc w:val="center"/>
            </w:pPr>
            <w:r>
              <w:rPr>
                <w:i/>
              </w:rPr>
              <w:t>c</w:t>
            </w:r>
          </w:p>
        </w:tc>
        <w:tc>
          <w:tcPr>
            <w:tcW w:w="1344" w:type="dxa"/>
            <w:tcBorders>
              <w:top w:val="single" w:sz="4" w:space="0" w:color="auto"/>
              <w:bottom w:val="nil"/>
            </w:tcBorders>
            <w:vAlign w:val="center"/>
          </w:tcPr>
          <w:p w:rsidR="00E35632" w:rsidRDefault="00E35632">
            <w:pPr>
              <w:pStyle w:val="ConsPlusNormal"/>
              <w:jc w:val="center"/>
            </w:pPr>
            <w:r>
              <w:t>6</w:t>
            </w:r>
          </w:p>
        </w:tc>
        <w:tc>
          <w:tcPr>
            <w:tcW w:w="1310" w:type="dxa"/>
            <w:tcBorders>
              <w:top w:val="single" w:sz="4" w:space="0" w:color="auto"/>
              <w:bottom w:val="nil"/>
            </w:tcBorders>
            <w:vAlign w:val="center"/>
          </w:tcPr>
          <w:p w:rsidR="00E35632" w:rsidRDefault="00E35632">
            <w:pPr>
              <w:pStyle w:val="ConsPlusNormal"/>
              <w:jc w:val="center"/>
            </w:pPr>
            <w:r>
              <w:t>4</w:t>
            </w:r>
          </w:p>
        </w:tc>
        <w:tc>
          <w:tcPr>
            <w:tcW w:w="1339" w:type="dxa"/>
            <w:tcBorders>
              <w:top w:val="single" w:sz="4" w:space="0" w:color="auto"/>
              <w:bottom w:val="nil"/>
            </w:tcBorders>
            <w:vAlign w:val="center"/>
          </w:tcPr>
          <w:p w:rsidR="00E35632" w:rsidRDefault="00E35632">
            <w:pPr>
              <w:pStyle w:val="ConsPlusNormal"/>
              <w:jc w:val="center"/>
            </w:pPr>
            <w:r>
              <w:t>2</w:t>
            </w:r>
          </w:p>
        </w:tc>
        <w:tc>
          <w:tcPr>
            <w:tcW w:w="1296" w:type="dxa"/>
            <w:tcBorders>
              <w:top w:val="single" w:sz="4" w:space="0" w:color="auto"/>
              <w:bottom w:val="nil"/>
            </w:tcBorders>
          </w:tcPr>
          <w:p w:rsidR="00E35632" w:rsidRDefault="00E35632">
            <w:pPr>
              <w:pStyle w:val="ConsPlusNormal"/>
              <w:jc w:val="center"/>
            </w:pPr>
            <w:r>
              <w:t>-</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858" w:type="dxa"/>
            <w:tcBorders>
              <w:top w:val="nil"/>
              <w:bottom w:val="nil"/>
            </w:tcBorders>
          </w:tcPr>
          <w:p w:rsidR="00E35632" w:rsidRDefault="00E35632">
            <w:pPr>
              <w:pStyle w:val="ConsPlusNormal"/>
              <w:jc w:val="center"/>
            </w:pPr>
            <w:r>
              <w:rPr>
                <w:noProof/>
                <w:position w:val="-3"/>
              </w:rPr>
              <w:drawing>
                <wp:inline distT="0" distB="0" distL="0" distR="0">
                  <wp:extent cx="150495" cy="185420"/>
                  <wp:effectExtent l="0" t="0" r="0" b="0"/>
                  <wp:docPr id="6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150495" cy="185420"/>
                          </a:xfrm>
                          <a:prstGeom prst="rect">
                            <a:avLst/>
                          </a:prstGeom>
                          <a:noFill/>
                          <a:ln>
                            <a:noFill/>
                          </a:ln>
                        </pic:spPr>
                      </pic:pic>
                    </a:graphicData>
                  </a:graphic>
                </wp:inline>
              </w:drawing>
            </w:r>
          </w:p>
        </w:tc>
        <w:tc>
          <w:tcPr>
            <w:tcW w:w="1344" w:type="dxa"/>
            <w:tcBorders>
              <w:top w:val="nil"/>
              <w:bottom w:val="nil"/>
            </w:tcBorders>
          </w:tcPr>
          <w:p w:rsidR="00E35632" w:rsidRDefault="00E35632">
            <w:pPr>
              <w:pStyle w:val="ConsPlusNormal"/>
              <w:jc w:val="center"/>
            </w:pPr>
            <w:r>
              <w:t>38</w:t>
            </w:r>
          </w:p>
        </w:tc>
        <w:tc>
          <w:tcPr>
            <w:tcW w:w="1310" w:type="dxa"/>
            <w:tcBorders>
              <w:top w:val="nil"/>
              <w:bottom w:val="nil"/>
            </w:tcBorders>
          </w:tcPr>
          <w:p w:rsidR="00E35632" w:rsidRDefault="00E35632">
            <w:pPr>
              <w:pStyle w:val="ConsPlusNormal"/>
              <w:jc w:val="center"/>
            </w:pPr>
            <w:r>
              <w:t>36</w:t>
            </w:r>
          </w:p>
        </w:tc>
        <w:tc>
          <w:tcPr>
            <w:tcW w:w="1339" w:type="dxa"/>
            <w:tcBorders>
              <w:top w:val="nil"/>
              <w:bottom w:val="nil"/>
            </w:tcBorders>
          </w:tcPr>
          <w:p w:rsidR="00E35632" w:rsidRDefault="00E35632">
            <w:pPr>
              <w:pStyle w:val="ConsPlusNormal"/>
              <w:jc w:val="center"/>
            </w:pPr>
            <w:r>
              <w:t>32</w:t>
            </w:r>
          </w:p>
        </w:tc>
        <w:tc>
          <w:tcPr>
            <w:tcW w:w="1296" w:type="dxa"/>
            <w:tcBorders>
              <w:top w:val="nil"/>
              <w:bottom w:val="nil"/>
            </w:tcBorders>
          </w:tcPr>
          <w:p w:rsidR="00E35632" w:rsidRDefault="00E35632">
            <w:pPr>
              <w:pStyle w:val="ConsPlusNormal"/>
              <w:jc w:val="center"/>
            </w:pPr>
            <w:r>
              <w:t>28</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858" w:type="dxa"/>
            <w:tcBorders>
              <w:top w:val="nil"/>
              <w:bottom w:val="single" w:sz="4" w:space="0" w:color="auto"/>
            </w:tcBorders>
          </w:tcPr>
          <w:p w:rsidR="00E35632" w:rsidRDefault="00E35632">
            <w:pPr>
              <w:pStyle w:val="ConsPlusNormal"/>
              <w:jc w:val="center"/>
            </w:pPr>
            <w:r>
              <w:rPr>
                <w:i/>
              </w:rPr>
              <w:t>E</w:t>
            </w:r>
          </w:p>
        </w:tc>
        <w:tc>
          <w:tcPr>
            <w:tcW w:w="1344" w:type="dxa"/>
            <w:tcBorders>
              <w:top w:val="nil"/>
              <w:bottom w:val="single" w:sz="4" w:space="0" w:color="auto"/>
            </w:tcBorders>
          </w:tcPr>
          <w:p w:rsidR="00E35632" w:rsidRDefault="00E35632">
            <w:pPr>
              <w:pStyle w:val="ConsPlusNormal"/>
              <w:jc w:val="center"/>
            </w:pPr>
            <w:r>
              <w:t>48</w:t>
            </w:r>
          </w:p>
        </w:tc>
        <w:tc>
          <w:tcPr>
            <w:tcW w:w="1310" w:type="dxa"/>
            <w:tcBorders>
              <w:top w:val="nil"/>
              <w:bottom w:val="single" w:sz="4" w:space="0" w:color="auto"/>
            </w:tcBorders>
          </w:tcPr>
          <w:p w:rsidR="00E35632" w:rsidRDefault="00E35632">
            <w:pPr>
              <w:pStyle w:val="ConsPlusNormal"/>
              <w:jc w:val="center"/>
            </w:pPr>
            <w:r>
              <w:t>38</w:t>
            </w:r>
          </w:p>
        </w:tc>
        <w:tc>
          <w:tcPr>
            <w:tcW w:w="1339" w:type="dxa"/>
            <w:tcBorders>
              <w:top w:val="nil"/>
              <w:bottom w:val="single" w:sz="4" w:space="0" w:color="auto"/>
            </w:tcBorders>
          </w:tcPr>
          <w:p w:rsidR="00E35632" w:rsidRDefault="00E35632">
            <w:pPr>
              <w:pStyle w:val="ConsPlusNormal"/>
              <w:jc w:val="center"/>
            </w:pPr>
            <w:r>
              <w:t>28</w:t>
            </w:r>
          </w:p>
        </w:tc>
        <w:tc>
          <w:tcPr>
            <w:tcW w:w="1296" w:type="dxa"/>
            <w:tcBorders>
              <w:top w:val="nil"/>
              <w:bottom w:val="single" w:sz="4" w:space="0" w:color="auto"/>
            </w:tcBorders>
          </w:tcPr>
          <w:p w:rsidR="00E35632" w:rsidRDefault="00E35632">
            <w:pPr>
              <w:pStyle w:val="ConsPlusNormal"/>
              <w:jc w:val="center"/>
            </w:pPr>
            <w:r>
              <w:t>18</w:t>
            </w:r>
          </w:p>
        </w:tc>
      </w:tr>
      <w:tr w:rsidR="00E35632">
        <w:tc>
          <w:tcPr>
            <w:tcW w:w="1886" w:type="dxa"/>
            <w:vMerge w:val="restart"/>
            <w:tcBorders>
              <w:top w:val="single" w:sz="4" w:space="0" w:color="auto"/>
              <w:bottom w:val="single" w:sz="4" w:space="0" w:color="auto"/>
            </w:tcBorders>
          </w:tcPr>
          <w:p w:rsidR="00E35632" w:rsidRDefault="00E35632">
            <w:pPr>
              <w:pStyle w:val="ConsPlusNormal"/>
            </w:pPr>
            <w:r>
              <w:t>Пылеватые</w:t>
            </w:r>
          </w:p>
        </w:tc>
        <w:tc>
          <w:tcPr>
            <w:tcW w:w="1858" w:type="dxa"/>
            <w:tcBorders>
              <w:top w:val="single" w:sz="4" w:space="0" w:color="auto"/>
              <w:bottom w:val="nil"/>
            </w:tcBorders>
          </w:tcPr>
          <w:p w:rsidR="00E35632" w:rsidRDefault="00E35632">
            <w:pPr>
              <w:pStyle w:val="ConsPlusNormal"/>
              <w:jc w:val="center"/>
            </w:pPr>
            <w:r>
              <w:rPr>
                <w:i/>
              </w:rPr>
              <w:t>c</w:t>
            </w:r>
          </w:p>
        </w:tc>
        <w:tc>
          <w:tcPr>
            <w:tcW w:w="1344" w:type="dxa"/>
            <w:tcBorders>
              <w:top w:val="single" w:sz="4" w:space="0" w:color="auto"/>
              <w:bottom w:val="nil"/>
            </w:tcBorders>
          </w:tcPr>
          <w:p w:rsidR="00E35632" w:rsidRDefault="00E35632">
            <w:pPr>
              <w:pStyle w:val="ConsPlusNormal"/>
              <w:jc w:val="center"/>
            </w:pPr>
            <w:r>
              <w:t>8</w:t>
            </w:r>
          </w:p>
        </w:tc>
        <w:tc>
          <w:tcPr>
            <w:tcW w:w="1310" w:type="dxa"/>
            <w:tcBorders>
              <w:top w:val="single" w:sz="4" w:space="0" w:color="auto"/>
              <w:bottom w:val="nil"/>
            </w:tcBorders>
          </w:tcPr>
          <w:p w:rsidR="00E35632" w:rsidRDefault="00E35632">
            <w:pPr>
              <w:pStyle w:val="ConsPlusNormal"/>
              <w:jc w:val="center"/>
            </w:pPr>
            <w:r>
              <w:t>6</w:t>
            </w:r>
          </w:p>
        </w:tc>
        <w:tc>
          <w:tcPr>
            <w:tcW w:w="1339" w:type="dxa"/>
            <w:tcBorders>
              <w:top w:val="single" w:sz="4" w:space="0" w:color="auto"/>
              <w:bottom w:val="nil"/>
            </w:tcBorders>
          </w:tcPr>
          <w:p w:rsidR="00E35632" w:rsidRDefault="00E35632">
            <w:pPr>
              <w:pStyle w:val="ConsPlusNormal"/>
              <w:jc w:val="center"/>
            </w:pPr>
            <w:r>
              <w:t>4</w:t>
            </w:r>
          </w:p>
        </w:tc>
        <w:tc>
          <w:tcPr>
            <w:tcW w:w="1296" w:type="dxa"/>
            <w:tcBorders>
              <w:top w:val="single" w:sz="4" w:space="0" w:color="auto"/>
              <w:bottom w:val="nil"/>
            </w:tcBorders>
          </w:tcPr>
          <w:p w:rsidR="00E35632" w:rsidRDefault="00E35632">
            <w:pPr>
              <w:pStyle w:val="ConsPlusNormal"/>
              <w:jc w:val="center"/>
            </w:pPr>
            <w:r>
              <w:t>2</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858" w:type="dxa"/>
            <w:tcBorders>
              <w:top w:val="nil"/>
              <w:bottom w:val="nil"/>
            </w:tcBorders>
          </w:tcPr>
          <w:p w:rsidR="00E35632" w:rsidRDefault="00E35632">
            <w:pPr>
              <w:pStyle w:val="ConsPlusNormal"/>
              <w:jc w:val="center"/>
            </w:pPr>
            <w:r>
              <w:rPr>
                <w:noProof/>
                <w:position w:val="-3"/>
              </w:rPr>
              <w:drawing>
                <wp:inline distT="0" distB="0" distL="0" distR="0">
                  <wp:extent cx="150495" cy="185420"/>
                  <wp:effectExtent l="0" t="0" r="0" b="0"/>
                  <wp:docPr id="6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150495" cy="185420"/>
                          </a:xfrm>
                          <a:prstGeom prst="rect">
                            <a:avLst/>
                          </a:prstGeom>
                          <a:noFill/>
                          <a:ln>
                            <a:noFill/>
                          </a:ln>
                        </pic:spPr>
                      </pic:pic>
                    </a:graphicData>
                  </a:graphic>
                </wp:inline>
              </w:drawing>
            </w:r>
          </w:p>
        </w:tc>
        <w:tc>
          <w:tcPr>
            <w:tcW w:w="1344" w:type="dxa"/>
            <w:tcBorders>
              <w:top w:val="nil"/>
              <w:bottom w:val="nil"/>
            </w:tcBorders>
          </w:tcPr>
          <w:p w:rsidR="00E35632" w:rsidRDefault="00E35632">
            <w:pPr>
              <w:pStyle w:val="ConsPlusNormal"/>
              <w:jc w:val="center"/>
            </w:pPr>
            <w:r>
              <w:t>36</w:t>
            </w:r>
          </w:p>
        </w:tc>
        <w:tc>
          <w:tcPr>
            <w:tcW w:w="1310" w:type="dxa"/>
            <w:tcBorders>
              <w:top w:val="nil"/>
              <w:bottom w:val="nil"/>
            </w:tcBorders>
          </w:tcPr>
          <w:p w:rsidR="00E35632" w:rsidRDefault="00E35632">
            <w:pPr>
              <w:pStyle w:val="ConsPlusNormal"/>
              <w:jc w:val="center"/>
            </w:pPr>
            <w:r>
              <w:t>34</w:t>
            </w:r>
          </w:p>
        </w:tc>
        <w:tc>
          <w:tcPr>
            <w:tcW w:w="1339" w:type="dxa"/>
            <w:tcBorders>
              <w:top w:val="nil"/>
              <w:bottom w:val="nil"/>
            </w:tcBorders>
          </w:tcPr>
          <w:p w:rsidR="00E35632" w:rsidRDefault="00E35632">
            <w:pPr>
              <w:pStyle w:val="ConsPlusNormal"/>
              <w:jc w:val="center"/>
            </w:pPr>
            <w:r>
              <w:t>30</w:t>
            </w:r>
          </w:p>
        </w:tc>
        <w:tc>
          <w:tcPr>
            <w:tcW w:w="1296" w:type="dxa"/>
            <w:tcBorders>
              <w:top w:val="nil"/>
              <w:bottom w:val="nil"/>
            </w:tcBorders>
          </w:tcPr>
          <w:p w:rsidR="00E35632" w:rsidRDefault="00E35632">
            <w:pPr>
              <w:pStyle w:val="ConsPlusNormal"/>
              <w:jc w:val="center"/>
            </w:pPr>
            <w:r>
              <w:t>26</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858" w:type="dxa"/>
            <w:tcBorders>
              <w:top w:val="nil"/>
              <w:bottom w:val="single" w:sz="4" w:space="0" w:color="auto"/>
            </w:tcBorders>
          </w:tcPr>
          <w:p w:rsidR="00E35632" w:rsidRDefault="00E35632">
            <w:pPr>
              <w:pStyle w:val="ConsPlusNormal"/>
              <w:jc w:val="center"/>
            </w:pPr>
            <w:r>
              <w:rPr>
                <w:i/>
              </w:rPr>
              <w:t>E</w:t>
            </w:r>
          </w:p>
        </w:tc>
        <w:tc>
          <w:tcPr>
            <w:tcW w:w="1344" w:type="dxa"/>
            <w:tcBorders>
              <w:top w:val="nil"/>
              <w:bottom w:val="single" w:sz="4" w:space="0" w:color="auto"/>
            </w:tcBorders>
          </w:tcPr>
          <w:p w:rsidR="00E35632" w:rsidRDefault="00E35632">
            <w:pPr>
              <w:pStyle w:val="ConsPlusNormal"/>
              <w:jc w:val="center"/>
            </w:pPr>
            <w:r>
              <w:t>39</w:t>
            </w:r>
          </w:p>
        </w:tc>
        <w:tc>
          <w:tcPr>
            <w:tcW w:w="1310" w:type="dxa"/>
            <w:tcBorders>
              <w:top w:val="nil"/>
              <w:bottom w:val="single" w:sz="4" w:space="0" w:color="auto"/>
            </w:tcBorders>
          </w:tcPr>
          <w:p w:rsidR="00E35632" w:rsidRDefault="00E35632">
            <w:pPr>
              <w:pStyle w:val="ConsPlusNormal"/>
              <w:jc w:val="center"/>
            </w:pPr>
            <w:r>
              <w:t>28</w:t>
            </w:r>
          </w:p>
        </w:tc>
        <w:tc>
          <w:tcPr>
            <w:tcW w:w="1339" w:type="dxa"/>
            <w:tcBorders>
              <w:top w:val="nil"/>
              <w:bottom w:val="single" w:sz="4" w:space="0" w:color="auto"/>
            </w:tcBorders>
          </w:tcPr>
          <w:p w:rsidR="00E35632" w:rsidRDefault="00E35632">
            <w:pPr>
              <w:pStyle w:val="ConsPlusNormal"/>
              <w:jc w:val="center"/>
            </w:pPr>
            <w:r>
              <w:t>18</w:t>
            </w:r>
          </w:p>
        </w:tc>
        <w:tc>
          <w:tcPr>
            <w:tcW w:w="1296" w:type="dxa"/>
            <w:tcBorders>
              <w:top w:val="nil"/>
              <w:bottom w:val="single" w:sz="4" w:space="0" w:color="auto"/>
            </w:tcBorders>
          </w:tcPr>
          <w:p w:rsidR="00E35632" w:rsidRDefault="00E35632">
            <w:pPr>
              <w:pStyle w:val="ConsPlusNormal"/>
              <w:jc w:val="center"/>
            </w:pPr>
            <w:r>
              <w:t>11</w:t>
            </w:r>
          </w:p>
        </w:tc>
      </w:tr>
    </w:tbl>
    <w:p w:rsidR="00E35632" w:rsidRDefault="00E35632">
      <w:pPr>
        <w:pStyle w:val="ConsPlusNormal"/>
        <w:jc w:val="both"/>
      </w:pPr>
    </w:p>
    <w:p w:rsidR="00E35632" w:rsidRDefault="00E35632">
      <w:pPr>
        <w:pStyle w:val="ConsPlusNormal"/>
        <w:jc w:val="right"/>
      </w:pPr>
      <w:r>
        <w:t>Таблица А.2</w:t>
      </w:r>
    </w:p>
    <w:p w:rsidR="00E35632" w:rsidRDefault="00E35632">
      <w:pPr>
        <w:pStyle w:val="ConsPlusNormal"/>
        <w:jc w:val="both"/>
      </w:pPr>
    </w:p>
    <w:p w:rsidR="00E35632" w:rsidRDefault="00E35632">
      <w:pPr>
        <w:pStyle w:val="ConsPlusNormal"/>
        <w:jc w:val="center"/>
      </w:pPr>
      <w:bookmarkStart w:id="275" w:name="P5210"/>
      <w:bookmarkEnd w:id="275"/>
      <w:r>
        <w:rPr>
          <w:b/>
        </w:rPr>
        <w:t>Нормативные значения удельного сцепления</w:t>
      </w:r>
      <w:r>
        <w:t xml:space="preserve"> </w:t>
      </w:r>
      <w:r>
        <w:rPr>
          <w:b/>
          <w:i/>
        </w:rPr>
        <w:t>c</w:t>
      </w:r>
      <w:r>
        <w:rPr>
          <w:b/>
          <w:i/>
          <w:vertAlign w:val="subscript"/>
        </w:rPr>
        <w:t>n</w:t>
      </w:r>
      <w:r>
        <w:rPr>
          <w:b/>
        </w:rPr>
        <w:t>, кПа,</w:t>
      </w:r>
    </w:p>
    <w:p w:rsidR="00E35632" w:rsidRDefault="00E35632">
      <w:pPr>
        <w:pStyle w:val="ConsPlusNormal"/>
        <w:jc w:val="center"/>
      </w:pPr>
      <w:r>
        <w:rPr>
          <w:b/>
        </w:rPr>
        <w:t xml:space="preserve">угла внутреннего трения </w:t>
      </w:r>
      <w:r>
        <w:rPr>
          <w:noProof/>
          <w:position w:val="-8"/>
        </w:rPr>
        <w:drawing>
          <wp:inline distT="0" distB="0" distL="0" distR="0">
            <wp:extent cx="182880" cy="250825"/>
            <wp:effectExtent l="0" t="0" r="0" b="0"/>
            <wp:docPr id="6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rPr>
          <w:b/>
        </w:rPr>
        <w:t>, град., глинистых</w:t>
      </w:r>
    </w:p>
    <w:p w:rsidR="00E35632" w:rsidRDefault="00E35632">
      <w:pPr>
        <w:pStyle w:val="ConsPlusNormal"/>
        <w:jc w:val="center"/>
      </w:pPr>
      <w:r>
        <w:rPr>
          <w:b/>
        </w:rPr>
        <w:t>нелессовых грунтов четвертичных отложений</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315"/>
        <w:gridCol w:w="1863"/>
        <w:gridCol w:w="1682"/>
        <w:gridCol w:w="600"/>
        <w:gridCol w:w="600"/>
        <w:gridCol w:w="600"/>
        <w:gridCol w:w="600"/>
        <w:gridCol w:w="600"/>
        <w:gridCol w:w="600"/>
        <w:gridCol w:w="600"/>
      </w:tblGrid>
      <w:tr w:rsidR="00E35632">
        <w:tc>
          <w:tcPr>
            <w:tcW w:w="3178" w:type="dxa"/>
            <w:gridSpan w:val="2"/>
            <w:vMerge w:val="restart"/>
            <w:vAlign w:val="center"/>
          </w:tcPr>
          <w:p w:rsidR="00E35632" w:rsidRDefault="00E35632">
            <w:pPr>
              <w:pStyle w:val="ConsPlusNormal"/>
              <w:jc w:val="center"/>
            </w:pPr>
            <w:r>
              <w:t xml:space="preserve">Наименование грунтов и пределы нормативных значений их показателя текучести </w:t>
            </w:r>
            <w:r>
              <w:rPr>
                <w:i/>
              </w:rPr>
              <w:t>I</w:t>
            </w:r>
            <w:r>
              <w:rPr>
                <w:i/>
                <w:vertAlign w:val="subscript"/>
              </w:rPr>
              <w:t>L</w:t>
            </w:r>
          </w:p>
        </w:tc>
        <w:tc>
          <w:tcPr>
            <w:tcW w:w="1682" w:type="dxa"/>
            <w:vMerge w:val="restart"/>
            <w:vAlign w:val="center"/>
          </w:tcPr>
          <w:p w:rsidR="00E35632" w:rsidRDefault="00E35632">
            <w:pPr>
              <w:pStyle w:val="ConsPlusNormal"/>
              <w:jc w:val="center"/>
            </w:pPr>
            <w:r>
              <w:t>Обозначение характеристик грунтов</w:t>
            </w:r>
          </w:p>
        </w:tc>
        <w:tc>
          <w:tcPr>
            <w:tcW w:w="4200" w:type="dxa"/>
            <w:gridSpan w:val="7"/>
            <w:vAlign w:val="center"/>
          </w:tcPr>
          <w:p w:rsidR="00E35632" w:rsidRDefault="00E35632">
            <w:pPr>
              <w:pStyle w:val="ConsPlusNormal"/>
              <w:jc w:val="center"/>
            </w:pPr>
            <w:r>
              <w:t xml:space="preserve">Характеристики грунтов при коэффициенте пористости </w:t>
            </w:r>
            <w:r>
              <w:rPr>
                <w:i/>
              </w:rPr>
              <w:t>e</w:t>
            </w:r>
            <w:r>
              <w:t>, равном</w:t>
            </w:r>
          </w:p>
        </w:tc>
      </w:tr>
      <w:tr w:rsidR="00E35632">
        <w:tc>
          <w:tcPr>
            <w:tcW w:w="0" w:type="auto"/>
            <w:gridSpan w:val="2"/>
            <w:vMerge/>
          </w:tcPr>
          <w:p w:rsidR="00E35632" w:rsidRDefault="00E35632">
            <w:pPr>
              <w:pStyle w:val="ConsPlusNormal"/>
            </w:pPr>
          </w:p>
        </w:tc>
        <w:tc>
          <w:tcPr>
            <w:tcW w:w="0" w:type="auto"/>
            <w:vMerge/>
          </w:tcPr>
          <w:p w:rsidR="00E35632" w:rsidRDefault="00E35632">
            <w:pPr>
              <w:pStyle w:val="ConsPlusNormal"/>
            </w:pPr>
          </w:p>
        </w:tc>
        <w:tc>
          <w:tcPr>
            <w:tcW w:w="600" w:type="dxa"/>
            <w:vAlign w:val="center"/>
          </w:tcPr>
          <w:p w:rsidR="00E35632" w:rsidRDefault="00E35632">
            <w:pPr>
              <w:pStyle w:val="ConsPlusNormal"/>
              <w:jc w:val="center"/>
            </w:pPr>
            <w:r>
              <w:t>0,45</w:t>
            </w:r>
          </w:p>
        </w:tc>
        <w:tc>
          <w:tcPr>
            <w:tcW w:w="600" w:type="dxa"/>
            <w:vAlign w:val="center"/>
          </w:tcPr>
          <w:p w:rsidR="00E35632" w:rsidRDefault="00E35632">
            <w:pPr>
              <w:pStyle w:val="ConsPlusNormal"/>
              <w:jc w:val="center"/>
            </w:pPr>
            <w:r>
              <w:t>0,55</w:t>
            </w:r>
          </w:p>
        </w:tc>
        <w:tc>
          <w:tcPr>
            <w:tcW w:w="600" w:type="dxa"/>
            <w:vAlign w:val="center"/>
          </w:tcPr>
          <w:p w:rsidR="00E35632" w:rsidRDefault="00E35632">
            <w:pPr>
              <w:pStyle w:val="ConsPlusNormal"/>
              <w:jc w:val="center"/>
            </w:pPr>
            <w:r>
              <w:t>0,65</w:t>
            </w:r>
          </w:p>
        </w:tc>
        <w:tc>
          <w:tcPr>
            <w:tcW w:w="600" w:type="dxa"/>
            <w:vAlign w:val="center"/>
          </w:tcPr>
          <w:p w:rsidR="00E35632" w:rsidRDefault="00E35632">
            <w:pPr>
              <w:pStyle w:val="ConsPlusNormal"/>
              <w:jc w:val="center"/>
            </w:pPr>
            <w:r>
              <w:t>0,75</w:t>
            </w:r>
          </w:p>
        </w:tc>
        <w:tc>
          <w:tcPr>
            <w:tcW w:w="600" w:type="dxa"/>
            <w:vAlign w:val="center"/>
          </w:tcPr>
          <w:p w:rsidR="00E35632" w:rsidRDefault="00E35632">
            <w:pPr>
              <w:pStyle w:val="ConsPlusNormal"/>
              <w:jc w:val="center"/>
            </w:pPr>
            <w:r>
              <w:t>0,85</w:t>
            </w:r>
          </w:p>
        </w:tc>
        <w:tc>
          <w:tcPr>
            <w:tcW w:w="600" w:type="dxa"/>
            <w:vAlign w:val="center"/>
          </w:tcPr>
          <w:p w:rsidR="00E35632" w:rsidRDefault="00E35632">
            <w:pPr>
              <w:pStyle w:val="ConsPlusNormal"/>
              <w:jc w:val="center"/>
            </w:pPr>
            <w:r>
              <w:t>0,95</w:t>
            </w:r>
          </w:p>
        </w:tc>
        <w:tc>
          <w:tcPr>
            <w:tcW w:w="600" w:type="dxa"/>
            <w:vAlign w:val="center"/>
          </w:tcPr>
          <w:p w:rsidR="00E35632" w:rsidRDefault="00E35632">
            <w:pPr>
              <w:pStyle w:val="ConsPlusNormal"/>
              <w:jc w:val="center"/>
            </w:pPr>
            <w:r>
              <w:t>1,05</w:t>
            </w:r>
          </w:p>
        </w:tc>
      </w:tr>
      <w:tr w:rsidR="00E35632">
        <w:tc>
          <w:tcPr>
            <w:tcW w:w="1315" w:type="dxa"/>
            <w:vMerge w:val="restart"/>
          </w:tcPr>
          <w:p w:rsidR="00E35632" w:rsidRDefault="00E35632">
            <w:pPr>
              <w:pStyle w:val="ConsPlusNormal"/>
            </w:pPr>
            <w:r>
              <w:t>Супеси</w:t>
            </w:r>
          </w:p>
        </w:tc>
        <w:tc>
          <w:tcPr>
            <w:tcW w:w="1863" w:type="dxa"/>
            <w:vMerge w:val="restart"/>
          </w:tcPr>
          <w:p w:rsidR="00E35632" w:rsidRDefault="00E35632">
            <w:pPr>
              <w:pStyle w:val="ConsPlusNormal"/>
              <w:jc w:val="center"/>
            </w:pPr>
            <w:r>
              <w:t xml:space="preserve">0 &lt;= </w:t>
            </w:r>
            <w:r>
              <w:rPr>
                <w:i/>
              </w:rPr>
              <w:t>I</w:t>
            </w:r>
            <w:r>
              <w:rPr>
                <w:i/>
                <w:vertAlign w:val="subscript"/>
              </w:rPr>
              <w:t>L</w:t>
            </w:r>
            <w:r>
              <w:t xml:space="preserve"> &lt;= 0,25</w:t>
            </w:r>
          </w:p>
        </w:tc>
        <w:tc>
          <w:tcPr>
            <w:tcW w:w="1682" w:type="dxa"/>
          </w:tcPr>
          <w:p w:rsidR="00E35632" w:rsidRDefault="00E35632">
            <w:pPr>
              <w:pStyle w:val="ConsPlusNormal"/>
              <w:jc w:val="center"/>
            </w:pPr>
            <w:r>
              <w:rPr>
                <w:i/>
              </w:rPr>
              <w:t>c</w:t>
            </w:r>
          </w:p>
        </w:tc>
        <w:tc>
          <w:tcPr>
            <w:tcW w:w="600" w:type="dxa"/>
          </w:tcPr>
          <w:p w:rsidR="00E35632" w:rsidRDefault="00E35632">
            <w:pPr>
              <w:pStyle w:val="ConsPlusNormal"/>
              <w:jc w:val="center"/>
            </w:pPr>
            <w:r>
              <w:t>21</w:t>
            </w:r>
          </w:p>
        </w:tc>
        <w:tc>
          <w:tcPr>
            <w:tcW w:w="600" w:type="dxa"/>
          </w:tcPr>
          <w:p w:rsidR="00E35632" w:rsidRDefault="00E35632">
            <w:pPr>
              <w:pStyle w:val="ConsPlusNormal"/>
              <w:jc w:val="center"/>
            </w:pPr>
            <w:r>
              <w:t>17</w:t>
            </w:r>
          </w:p>
        </w:tc>
        <w:tc>
          <w:tcPr>
            <w:tcW w:w="600" w:type="dxa"/>
          </w:tcPr>
          <w:p w:rsidR="00E35632" w:rsidRDefault="00E35632">
            <w:pPr>
              <w:pStyle w:val="ConsPlusNormal"/>
              <w:jc w:val="center"/>
            </w:pPr>
            <w:r>
              <w:t>15</w:t>
            </w:r>
          </w:p>
        </w:tc>
        <w:tc>
          <w:tcPr>
            <w:tcW w:w="600" w:type="dxa"/>
          </w:tcPr>
          <w:p w:rsidR="00E35632" w:rsidRDefault="00E35632">
            <w:pPr>
              <w:pStyle w:val="ConsPlusNormal"/>
              <w:jc w:val="center"/>
            </w:pPr>
            <w:r>
              <w:t>13</w:t>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w:t>
            </w:r>
          </w:p>
        </w:tc>
        <w:tc>
          <w:tcPr>
            <w:tcW w:w="600" w:type="dxa"/>
            <w:vAlign w:val="center"/>
          </w:tcPr>
          <w:p w:rsidR="00E35632" w:rsidRDefault="00E35632">
            <w:pPr>
              <w:pStyle w:val="ConsPlusNormal"/>
              <w:jc w:val="center"/>
            </w:pPr>
            <w:r>
              <w:t>-</w:t>
            </w:r>
          </w:p>
        </w:tc>
      </w:tr>
      <w:tr w:rsidR="00E35632">
        <w:tc>
          <w:tcPr>
            <w:tcW w:w="0" w:type="auto"/>
            <w:vMerge/>
          </w:tcPr>
          <w:p w:rsidR="00E35632" w:rsidRDefault="00E35632">
            <w:pPr>
              <w:pStyle w:val="ConsPlusNormal"/>
            </w:pPr>
          </w:p>
        </w:tc>
        <w:tc>
          <w:tcPr>
            <w:tcW w:w="0" w:type="auto"/>
            <w:vMerge/>
          </w:tcPr>
          <w:p w:rsidR="00E35632" w:rsidRDefault="00E35632">
            <w:pPr>
              <w:pStyle w:val="ConsPlusNormal"/>
            </w:pPr>
          </w:p>
        </w:tc>
        <w:tc>
          <w:tcPr>
            <w:tcW w:w="1682" w:type="dxa"/>
          </w:tcPr>
          <w:p w:rsidR="00E35632" w:rsidRDefault="00E35632">
            <w:pPr>
              <w:pStyle w:val="ConsPlusNormal"/>
              <w:jc w:val="center"/>
            </w:pPr>
            <w:r>
              <w:rPr>
                <w:noProof/>
                <w:position w:val="-4"/>
              </w:rPr>
              <w:drawing>
                <wp:inline distT="0" distB="0" distL="0" distR="0">
                  <wp:extent cx="160020" cy="192405"/>
                  <wp:effectExtent l="0" t="0" r="0" b="0"/>
                  <wp:docPr id="6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600" w:type="dxa"/>
          </w:tcPr>
          <w:p w:rsidR="00E35632" w:rsidRDefault="00E35632">
            <w:pPr>
              <w:pStyle w:val="ConsPlusNormal"/>
              <w:jc w:val="center"/>
            </w:pPr>
            <w:r>
              <w:t>30</w:t>
            </w:r>
          </w:p>
        </w:tc>
        <w:tc>
          <w:tcPr>
            <w:tcW w:w="600" w:type="dxa"/>
          </w:tcPr>
          <w:p w:rsidR="00E35632" w:rsidRDefault="00E35632">
            <w:pPr>
              <w:pStyle w:val="ConsPlusNormal"/>
              <w:jc w:val="center"/>
            </w:pPr>
            <w:r>
              <w:t>29</w:t>
            </w:r>
          </w:p>
        </w:tc>
        <w:tc>
          <w:tcPr>
            <w:tcW w:w="600" w:type="dxa"/>
          </w:tcPr>
          <w:p w:rsidR="00E35632" w:rsidRDefault="00E35632">
            <w:pPr>
              <w:pStyle w:val="ConsPlusNormal"/>
              <w:jc w:val="center"/>
            </w:pPr>
            <w:r>
              <w:t>27</w:t>
            </w:r>
          </w:p>
        </w:tc>
        <w:tc>
          <w:tcPr>
            <w:tcW w:w="600" w:type="dxa"/>
          </w:tcPr>
          <w:p w:rsidR="00E35632" w:rsidRDefault="00E35632">
            <w:pPr>
              <w:pStyle w:val="ConsPlusNormal"/>
              <w:jc w:val="center"/>
            </w:pPr>
            <w:r>
              <w:t>24</w:t>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w:t>
            </w:r>
          </w:p>
        </w:tc>
        <w:tc>
          <w:tcPr>
            <w:tcW w:w="600" w:type="dxa"/>
            <w:vAlign w:val="center"/>
          </w:tcPr>
          <w:p w:rsidR="00E35632" w:rsidRDefault="00E35632">
            <w:pPr>
              <w:pStyle w:val="ConsPlusNormal"/>
              <w:jc w:val="center"/>
            </w:pPr>
            <w:r>
              <w:t>-</w:t>
            </w:r>
          </w:p>
        </w:tc>
      </w:tr>
      <w:tr w:rsidR="00E35632">
        <w:tc>
          <w:tcPr>
            <w:tcW w:w="0" w:type="auto"/>
            <w:vMerge/>
          </w:tcPr>
          <w:p w:rsidR="00E35632" w:rsidRDefault="00E35632">
            <w:pPr>
              <w:pStyle w:val="ConsPlusNormal"/>
            </w:pPr>
          </w:p>
        </w:tc>
        <w:tc>
          <w:tcPr>
            <w:tcW w:w="1863" w:type="dxa"/>
            <w:vMerge w:val="restart"/>
          </w:tcPr>
          <w:p w:rsidR="00E35632" w:rsidRDefault="00E35632">
            <w:pPr>
              <w:pStyle w:val="ConsPlusNormal"/>
              <w:jc w:val="center"/>
            </w:pPr>
            <w:r>
              <w:t xml:space="preserve">0,25 &lt; </w:t>
            </w:r>
            <w:r>
              <w:rPr>
                <w:i/>
              </w:rPr>
              <w:t>I</w:t>
            </w:r>
            <w:r>
              <w:rPr>
                <w:i/>
                <w:vertAlign w:val="subscript"/>
              </w:rPr>
              <w:t>L</w:t>
            </w:r>
            <w:r>
              <w:t xml:space="preserve"> &lt;= 0,75</w:t>
            </w:r>
          </w:p>
        </w:tc>
        <w:tc>
          <w:tcPr>
            <w:tcW w:w="1682" w:type="dxa"/>
          </w:tcPr>
          <w:p w:rsidR="00E35632" w:rsidRDefault="00E35632">
            <w:pPr>
              <w:pStyle w:val="ConsPlusNormal"/>
              <w:jc w:val="center"/>
            </w:pPr>
            <w:r>
              <w:rPr>
                <w:i/>
              </w:rPr>
              <w:t>c</w:t>
            </w:r>
          </w:p>
        </w:tc>
        <w:tc>
          <w:tcPr>
            <w:tcW w:w="600" w:type="dxa"/>
          </w:tcPr>
          <w:p w:rsidR="00E35632" w:rsidRDefault="00E35632">
            <w:pPr>
              <w:pStyle w:val="ConsPlusNormal"/>
              <w:jc w:val="center"/>
            </w:pPr>
            <w:r>
              <w:t>19</w:t>
            </w:r>
          </w:p>
        </w:tc>
        <w:tc>
          <w:tcPr>
            <w:tcW w:w="600" w:type="dxa"/>
          </w:tcPr>
          <w:p w:rsidR="00E35632" w:rsidRDefault="00E35632">
            <w:pPr>
              <w:pStyle w:val="ConsPlusNormal"/>
              <w:jc w:val="center"/>
            </w:pPr>
            <w:r>
              <w:t>15</w:t>
            </w:r>
          </w:p>
        </w:tc>
        <w:tc>
          <w:tcPr>
            <w:tcW w:w="600" w:type="dxa"/>
          </w:tcPr>
          <w:p w:rsidR="00E35632" w:rsidRDefault="00E35632">
            <w:pPr>
              <w:pStyle w:val="ConsPlusNormal"/>
              <w:jc w:val="center"/>
            </w:pPr>
            <w:r>
              <w:t>13</w:t>
            </w:r>
          </w:p>
        </w:tc>
        <w:tc>
          <w:tcPr>
            <w:tcW w:w="600" w:type="dxa"/>
          </w:tcPr>
          <w:p w:rsidR="00E35632" w:rsidRDefault="00E35632">
            <w:pPr>
              <w:pStyle w:val="ConsPlusNormal"/>
              <w:jc w:val="center"/>
            </w:pPr>
            <w:r>
              <w:t>11</w:t>
            </w:r>
          </w:p>
        </w:tc>
        <w:tc>
          <w:tcPr>
            <w:tcW w:w="600" w:type="dxa"/>
          </w:tcPr>
          <w:p w:rsidR="00E35632" w:rsidRDefault="00E35632">
            <w:pPr>
              <w:pStyle w:val="ConsPlusNormal"/>
              <w:jc w:val="center"/>
            </w:pPr>
            <w:r>
              <w:t>9</w:t>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w:t>
            </w:r>
          </w:p>
        </w:tc>
      </w:tr>
      <w:tr w:rsidR="00E35632">
        <w:tc>
          <w:tcPr>
            <w:tcW w:w="0" w:type="auto"/>
            <w:vMerge/>
          </w:tcPr>
          <w:p w:rsidR="00E35632" w:rsidRDefault="00E35632">
            <w:pPr>
              <w:pStyle w:val="ConsPlusNormal"/>
            </w:pPr>
          </w:p>
        </w:tc>
        <w:tc>
          <w:tcPr>
            <w:tcW w:w="0" w:type="auto"/>
            <w:vMerge/>
          </w:tcPr>
          <w:p w:rsidR="00E35632" w:rsidRDefault="00E35632">
            <w:pPr>
              <w:pStyle w:val="ConsPlusNormal"/>
            </w:pPr>
          </w:p>
        </w:tc>
        <w:tc>
          <w:tcPr>
            <w:tcW w:w="1682" w:type="dxa"/>
          </w:tcPr>
          <w:p w:rsidR="00E35632" w:rsidRDefault="00E35632">
            <w:pPr>
              <w:pStyle w:val="ConsPlusNormal"/>
              <w:jc w:val="center"/>
            </w:pPr>
            <w:r>
              <w:rPr>
                <w:noProof/>
                <w:position w:val="-4"/>
              </w:rPr>
              <w:drawing>
                <wp:inline distT="0" distB="0" distL="0" distR="0">
                  <wp:extent cx="160020" cy="192405"/>
                  <wp:effectExtent l="0" t="0" r="0" b="0"/>
                  <wp:docPr id="6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600" w:type="dxa"/>
          </w:tcPr>
          <w:p w:rsidR="00E35632" w:rsidRDefault="00E35632">
            <w:pPr>
              <w:pStyle w:val="ConsPlusNormal"/>
              <w:jc w:val="center"/>
            </w:pPr>
            <w:r>
              <w:t>28</w:t>
            </w:r>
          </w:p>
        </w:tc>
        <w:tc>
          <w:tcPr>
            <w:tcW w:w="600" w:type="dxa"/>
          </w:tcPr>
          <w:p w:rsidR="00E35632" w:rsidRDefault="00E35632">
            <w:pPr>
              <w:pStyle w:val="ConsPlusNormal"/>
              <w:jc w:val="center"/>
            </w:pPr>
            <w:r>
              <w:t>26</w:t>
            </w:r>
          </w:p>
        </w:tc>
        <w:tc>
          <w:tcPr>
            <w:tcW w:w="600" w:type="dxa"/>
          </w:tcPr>
          <w:p w:rsidR="00E35632" w:rsidRDefault="00E35632">
            <w:pPr>
              <w:pStyle w:val="ConsPlusNormal"/>
              <w:jc w:val="center"/>
            </w:pPr>
            <w:r>
              <w:t>24</w:t>
            </w:r>
          </w:p>
        </w:tc>
        <w:tc>
          <w:tcPr>
            <w:tcW w:w="600" w:type="dxa"/>
          </w:tcPr>
          <w:p w:rsidR="00E35632" w:rsidRDefault="00E35632">
            <w:pPr>
              <w:pStyle w:val="ConsPlusNormal"/>
              <w:jc w:val="center"/>
            </w:pPr>
            <w:r>
              <w:t>21</w:t>
            </w:r>
          </w:p>
        </w:tc>
        <w:tc>
          <w:tcPr>
            <w:tcW w:w="600" w:type="dxa"/>
          </w:tcPr>
          <w:p w:rsidR="00E35632" w:rsidRDefault="00E35632">
            <w:pPr>
              <w:pStyle w:val="ConsPlusNormal"/>
              <w:jc w:val="center"/>
            </w:pPr>
            <w:r>
              <w:t>18</w:t>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w:t>
            </w:r>
          </w:p>
        </w:tc>
      </w:tr>
      <w:tr w:rsidR="00E35632">
        <w:tc>
          <w:tcPr>
            <w:tcW w:w="1315" w:type="dxa"/>
            <w:vMerge w:val="restart"/>
          </w:tcPr>
          <w:p w:rsidR="00E35632" w:rsidRDefault="00E35632">
            <w:pPr>
              <w:pStyle w:val="ConsPlusNormal"/>
            </w:pPr>
            <w:r>
              <w:t>Суглинки</w:t>
            </w:r>
          </w:p>
        </w:tc>
        <w:tc>
          <w:tcPr>
            <w:tcW w:w="1863" w:type="dxa"/>
            <w:vMerge w:val="restart"/>
          </w:tcPr>
          <w:p w:rsidR="00E35632" w:rsidRDefault="00E35632">
            <w:pPr>
              <w:pStyle w:val="ConsPlusNormal"/>
              <w:jc w:val="center"/>
            </w:pPr>
            <w:r>
              <w:t xml:space="preserve">0 &lt;= </w:t>
            </w:r>
            <w:r>
              <w:rPr>
                <w:i/>
              </w:rPr>
              <w:t>I</w:t>
            </w:r>
            <w:r>
              <w:rPr>
                <w:i/>
                <w:vertAlign w:val="subscript"/>
              </w:rPr>
              <w:t>L</w:t>
            </w:r>
            <w:r>
              <w:t xml:space="preserve"> &lt;= 0,25</w:t>
            </w:r>
          </w:p>
        </w:tc>
        <w:tc>
          <w:tcPr>
            <w:tcW w:w="1682" w:type="dxa"/>
          </w:tcPr>
          <w:p w:rsidR="00E35632" w:rsidRDefault="00E35632">
            <w:pPr>
              <w:pStyle w:val="ConsPlusNormal"/>
              <w:jc w:val="center"/>
            </w:pPr>
            <w:r>
              <w:rPr>
                <w:i/>
              </w:rPr>
              <w:t>c</w:t>
            </w:r>
          </w:p>
        </w:tc>
        <w:tc>
          <w:tcPr>
            <w:tcW w:w="600" w:type="dxa"/>
          </w:tcPr>
          <w:p w:rsidR="00E35632" w:rsidRDefault="00E35632">
            <w:pPr>
              <w:pStyle w:val="ConsPlusNormal"/>
              <w:jc w:val="center"/>
            </w:pPr>
            <w:r>
              <w:t>47</w:t>
            </w:r>
          </w:p>
        </w:tc>
        <w:tc>
          <w:tcPr>
            <w:tcW w:w="600" w:type="dxa"/>
          </w:tcPr>
          <w:p w:rsidR="00E35632" w:rsidRDefault="00E35632">
            <w:pPr>
              <w:pStyle w:val="ConsPlusNormal"/>
              <w:jc w:val="center"/>
            </w:pPr>
            <w:r>
              <w:t>37</w:t>
            </w:r>
          </w:p>
        </w:tc>
        <w:tc>
          <w:tcPr>
            <w:tcW w:w="600" w:type="dxa"/>
          </w:tcPr>
          <w:p w:rsidR="00E35632" w:rsidRDefault="00E35632">
            <w:pPr>
              <w:pStyle w:val="ConsPlusNormal"/>
              <w:jc w:val="center"/>
            </w:pPr>
            <w:r>
              <w:t>31</w:t>
            </w:r>
          </w:p>
        </w:tc>
        <w:tc>
          <w:tcPr>
            <w:tcW w:w="600" w:type="dxa"/>
          </w:tcPr>
          <w:p w:rsidR="00E35632" w:rsidRDefault="00E35632">
            <w:pPr>
              <w:pStyle w:val="ConsPlusNormal"/>
              <w:jc w:val="center"/>
            </w:pPr>
            <w:r>
              <w:t>25</w:t>
            </w:r>
          </w:p>
        </w:tc>
        <w:tc>
          <w:tcPr>
            <w:tcW w:w="600" w:type="dxa"/>
          </w:tcPr>
          <w:p w:rsidR="00E35632" w:rsidRDefault="00E35632">
            <w:pPr>
              <w:pStyle w:val="ConsPlusNormal"/>
              <w:jc w:val="center"/>
            </w:pPr>
            <w:r>
              <w:t>22</w:t>
            </w:r>
          </w:p>
        </w:tc>
        <w:tc>
          <w:tcPr>
            <w:tcW w:w="600" w:type="dxa"/>
          </w:tcPr>
          <w:p w:rsidR="00E35632" w:rsidRDefault="00E35632">
            <w:pPr>
              <w:pStyle w:val="ConsPlusNormal"/>
              <w:jc w:val="center"/>
            </w:pPr>
            <w:r>
              <w:t>19</w:t>
            </w:r>
          </w:p>
        </w:tc>
        <w:tc>
          <w:tcPr>
            <w:tcW w:w="600" w:type="dxa"/>
          </w:tcPr>
          <w:p w:rsidR="00E35632" w:rsidRDefault="00E35632">
            <w:pPr>
              <w:pStyle w:val="ConsPlusNormal"/>
              <w:jc w:val="center"/>
            </w:pPr>
            <w:r>
              <w:t>-</w:t>
            </w:r>
          </w:p>
        </w:tc>
      </w:tr>
      <w:tr w:rsidR="00E35632">
        <w:tc>
          <w:tcPr>
            <w:tcW w:w="0" w:type="auto"/>
            <w:vMerge/>
          </w:tcPr>
          <w:p w:rsidR="00E35632" w:rsidRDefault="00E35632">
            <w:pPr>
              <w:pStyle w:val="ConsPlusNormal"/>
            </w:pPr>
          </w:p>
        </w:tc>
        <w:tc>
          <w:tcPr>
            <w:tcW w:w="0" w:type="auto"/>
            <w:vMerge/>
          </w:tcPr>
          <w:p w:rsidR="00E35632" w:rsidRDefault="00E35632">
            <w:pPr>
              <w:pStyle w:val="ConsPlusNormal"/>
            </w:pPr>
          </w:p>
        </w:tc>
        <w:tc>
          <w:tcPr>
            <w:tcW w:w="1682" w:type="dxa"/>
          </w:tcPr>
          <w:p w:rsidR="00E35632" w:rsidRDefault="00E35632">
            <w:pPr>
              <w:pStyle w:val="ConsPlusNormal"/>
              <w:jc w:val="center"/>
            </w:pPr>
            <w:r>
              <w:rPr>
                <w:noProof/>
                <w:position w:val="-4"/>
              </w:rPr>
              <w:drawing>
                <wp:inline distT="0" distB="0" distL="0" distR="0">
                  <wp:extent cx="160020" cy="192405"/>
                  <wp:effectExtent l="0" t="0" r="0" b="0"/>
                  <wp:docPr id="6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600" w:type="dxa"/>
          </w:tcPr>
          <w:p w:rsidR="00E35632" w:rsidRDefault="00E35632">
            <w:pPr>
              <w:pStyle w:val="ConsPlusNormal"/>
              <w:jc w:val="center"/>
            </w:pPr>
            <w:r>
              <w:t>26</w:t>
            </w:r>
          </w:p>
        </w:tc>
        <w:tc>
          <w:tcPr>
            <w:tcW w:w="600" w:type="dxa"/>
          </w:tcPr>
          <w:p w:rsidR="00E35632" w:rsidRDefault="00E35632">
            <w:pPr>
              <w:pStyle w:val="ConsPlusNormal"/>
              <w:jc w:val="center"/>
            </w:pPr>
            <w:r>
              <w:t>25</w:t>
            </w:r>
          </w:p>
        </w:tc>
        <w:tc>
          <w:tcPr>
            <w:tcW w:w="600" w:type="dxa"/>
          </w:tcPr>
          <w:p w:rsidR="00E35632" w:rsidRDefault="00E35632">
            <w:pPr>
              <w:pStyle w:val="ConsPlusNormal"/>
              <w:jc w:val="center"/>
            </w:pPr>
            <w:r>
              <w:t>24</w:t>
            </w:r>
          </w:p>
        </w:tc>
        <w:tc>
          <w:tcPr>
            <w:tcW w:w="600" w:type="dxa"/>
          </w:tcPr>
          <w:p w:rsidR="00E35632" w:rsidRDefault="00E35632">
            <w:pPr>
              <w:pStyle w:val="ConsPlusNormal"/>
              <w:jc w:val="center"/>
            </w:pPr>
            <w:r>
              <w:t>23</w:t>
            </w:r>
          </w:p>
        </w:tc>
        <w:tc>
          <w:tcPr>
            <w:tcW w:w="600" w:type="dxa"/>
          </w:tcPr>
          <w:p w:rsidR="00E35632" w:rsidRDefault="00E35632">
            <w:pPr>
              <w:pStyle w:val="ConsPlusNormal"/>
              <w:jc w:val="center"/>
            </w:pPr>
            <w:r>
              <w:t>22</w:t>
            </w:r>
          </w:p>
        </w:tc>
        <w:tc>
          <w:tcPr>
            <w:tcW w:w="600" w:type="dxa"/>
          </w:tcPr>
          <w:p w:rsidR="00E35632" w:rsidRDefault="00E35632">
            <w:pPr>
              <w:pStyle w:val="ConsPlusNormal"/>
              <w:jc w:val="center"/>
            </w:pPr>
            <w:r>
              <w:t>20</w:t>
            </w:r>
          </w:p>
        </w:tc>
        <w:tc>
          <w:tcPr>
            <w:tcW w:w="600" w:type="dxa"/>
          </w:tcPr>
          <w:p w:rsidR="00E35632" w:rsidRDefault="00E35632">
            <w:pPr>
              <w:pStyle w:val="ConsPlusNormal"/>
              <w:jc w:val="center"/>
            </w:pPr>
            <w:r>
              <w:t>-</w:t>
            </w:r>
          </w:p>
        </w:tc>
      </w:tr>
      <w:tr w:rsidR="00E35632">
        <w:tc>
          <w:tcPr>
            <w:tcW w:w="0" w:type="auto"/>
            <w:vMerge/>
          </w:tcPr>
          <w:p w:rsidR="00E35632" w:rsidRDefault="00E35632">
            <w:pPr>
              <w:pStyle w:val="ConsPlusNormal"/>
            </w:pPr>
          </w:p>
        </w:tc>
        <w:tc>
          <w:tcPr>
            <w:tcW w:w="1863" w:type="dxa"/>
            <w:vMerge w:val="restart"/>
          </w:tcPr>
          <w:p w:rsidR="00E35632" w:rsidRDefault="00E35632">
            <w:pPr>
              <w:pStyle w:val="ConsPlusNormal"/>
              <w:jc w:val="center"/>
            </w:pPr>
            <w:r>
              <w:t xml:space="preserve">0,25 &lt; </w:t>
            </w:r>
            <w:r>
              <w:rPr>
                <w:i/>
              </w:rPr>
              <w:t>I</w:t>
            </w:r>
            <w:r>
              <w:rPr>
                <w:i/>
                <w:vertAlign w:val="subscript"/>
              </w:rPr>
              <w:t>L</w:t>
            </w:r>
            <w:r>
              <w:t xml:space="preserve"> &lt;= 0,5</w:t>
            </w:r>
          </w:p>
        </w:tc>
        <w:tc>
          <w:tcPr>
            <w:tcW w:w="1682" w:type="dxa"/>
          </w:tcPr>
          <w:p w:rsidR="00E35632" w:rsidRDefault="00E35632">
            <w:pPr>
              <w:pStyle w:val="ConsPlusNormal"/>
              <w:jc w:val="center"/>
            </w:pPr>
            <w:r>
              <w:rPr>
                <w:i/>
              </w:rPr>
              <w:t>c</w:t>
            </w:r>
          </w:p>
        </w:tc>
        <w:tc>
          <w:tcPr>
            <w:tcW w:w="600" w:type="dxa"/>
          </w:tcPr>
          <w:p w:rsidR="00E35632" w:rsidRDefault="00E35632">
            <w:pPr>
              <w:pStyle w:val="ConsPlusNormal"/>
              <w:jc w:val="center"/>
            </w:pPr>
            <w:r>
              <w:t>39</w:t>
            </w:r>
          </w:p>
        </w:tc>
        <w:tc>
          <w:tcPr>
            <w:tcW w:w="600" w:type="dxa"/>
          </w:tcPr>
          <w:p w:rsidR="00E35632" w:rsidRDefault="00E35632">
            <w:pPr>
              <w:pStyle w:val="ConsPlusNormal"/>
              <w:jc w:val="center"/>
            </w:pPr>
            <w:r>
              <w:t>34</w:t>
            </w:r>
          </w:p>
        </w:tc>
        <w:tc>
          <w:tcPr>
            <w:tcW w:w="600" w:type="dxa"/>
          </w:tcPr>
          <w:p w:rsidR="00E35632" w:rsidRDefault="00E35632">
            <w:pPr>
              <w:pStyle w:val="ConsPlusNormal"/>
              <w:jc w:val="center"/>
            </w:pPr>
            <w:r>
              <w:t>28</w:t>
            </w:r>
          </w:p>
        </w:tc>
        <w:tc>
          <w:tcPr>
            <w:tcW w:w="600" w:type="dxa"/>
          </w:tcPr>
          <w:p w:rsidR="00E35632" w:rsidRDefault="00E35632">
            <w:pPr>
              <w:pStyle w:val="ConsPlusNormal"/>
              <w:jc w:val="center"/>
            </w:pPr>
            <w:r>
              <w:t>23</w:t>
            </w:r>
          </w:p>
        </w:tc>
        <w:tc>
          <w:tcPr>
            <w:tcW w:w="600" w:type="dxa"/>
          </w:tcPr>
          <w:p w:rsidR="00E35632" w:rsidRDefault="00E35632">
            <w:pPr>
              <w:pStyle w:val="ConsPlusNormal"/>
              <w:jc w:val="center"/>
            </w:pPr>
            <w:r>
              <w:t>18</w:t>
            </w:r>
          </w:p>
        </w:tc>
        <w:tc>
          <w:tcPr>
            <w:tcW w:w="600" w:type="dxa"/>
          </w:tcPr>
          <w:p w:rsidR="00E35632" w:rsidRDefault="00E35632">
            <w:pPr>
              <w:pStyle w:val="ConsPlusNormal"/>
              <w:jc w:val="center"/>
            </w:pPr>
            <w:r>
              <w:t>15</w:t>
            </w:r>
          </w:p>
        </w:tc>
        <w:tc>
          <w:tcPr>
            <w:tcW w:w="600" w:type="dxa"/>
          </w:tcPr>
          <w:p w:rsidR="00E35632" w:rsidRDefault="00E35632">
            <w:pPr>
              <w:pStyle w:val="ConsPlusNormal"/>
              <w:jc w:val="center"/>
            </w:pPr>
            <w:r>
              <w:t>-</w:t>
            </w:r>
          </w:p>
        </w:tc>
      </w:tr>
      <w:tr w:rsidR="00E35632">
        <w:tc>
          <w:tcPr>
            <w:tcW w:w="0" w:type="auto"/>
            <w:vMerge/>
          </w:tcPr>
          <w:p w:rsidR="00E35632" w:rsidRDefault="00E35632">
            <w:pPr>
              <w:pStyle w:val="ConsPlusNormal"/>
            </w:pPr>
          </w:p>
        </w:tc>
        <w:tc>
          <w:tcPr>
            <w:tcW w:w="0" w:type="auto"/>
            <w:vMerge/>
          </w:tcPr>
          <w:p w:rsidR="00E35632" w:rsidRDefault="00E35632">
            <w:pPr>
              <w:pStyle w:val="ConsPlusNormal"/>
            </w:pPr>
          </w:p>
        </w:tc>
        <w:tc>
          <w:tcPr>
            <w:tcW w:w="1682" w:type="dxa"/>
          </w:tcPr>
          <w:p w:rsidR="00E35632" w:rsidRDefault="00E35632">
            <w:pPr>
              <w:pStyle w:val="ConsPlusNormal"/>
              <w:jc w:val="center"/>
            </w:pPr>
            <w:r>
              <w:rPr>
                <w:noProof/>
                <w:position w:val="-4"/>
              </w:rPr>
              <w:drawing>
                <wp:inline distT="0" distB="0" distL="0" distR="0">
                  <wp:extent cx="160020" cy="192405"/>
                  <wp:effectExtent l="0" t="0" r="0" b="0"/>
                  <wp:docPr id="6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600" w:type="dxa"/>
          </w:tcPr>
          <w:p w:rsidR="00E35632" w:rsidRDefault="00E35632">
            <w:pPr>
              <w:pStyle w:val="ConsPlusNormal"/>
              <w:jc w:val="center"/>
            </w:pPr>
            <w:r>
              <w:t>24</w:t>
            </w:r>
          </w:p>
        </w:tc>
        <w:tc>
          <w:tcPr>
            <w:tcW w:w="600" w:type="dxa"/>
          </w:tcPr>
          <w:p w:rsidR="00E35632" w:rsidRDefault="00E35632">
            <w:pPr>
              <w:pStyle w:val="ConsPlusNormal"/>
              <w:jc w:val="center"/>
            </w:pPr>
            <w:r>
              <w:t>23</w:t>
            </w:r>
          </w:p>
        </w:tc>
        <w:tc>
          <w:tcPr>
            <w:tcW w:w="600" w:type="dxa"/>
          </w:tcPr>
          <w:p w:rsidR="00E35632" w:rsidRDefault="00E35632">
            <w:pPr>
              <w:pStyle w:val="ConsPlusNormal"/>
              <w:jc w:val="center"/>
            </w:pPr>
            <w:r>
              <w:t>22</w:t>
            </w:r>
          </w:p>
        </w:tc>
        <w:tc>
          <w:tcPr>
            <w:tcW w:w="600" w:type="dxa"/>
          </w:tcPr>
          <w:p w:rsidR="00E35632" w:rsidRDefault="00E35632">
            <w:pPr>
              <w:pStyle w:val="ConsPlusNormal"/>
              <w:jc w:val="center"/>
            </w:pPr>
            <w:r>
              <w:t>21</w:t>
            </w:r>
          </w:p>
        </w:tc>
        <w:tc>
          <w:tcPr>
            <w:tcW w:w="600" w:type="dxa"/>
          </w:tcPr>
          <w:p w:rsidR="00E35632" w:rsidRDefault="00E35632">
            <w:pPr>
              <w:pStyle w:val="ConsPlusNormal"/>
              <w:jc w:val="center"/>
            </w:pPr>
            <w:r>
              <w:t>19</w:t>
            </w:r>
          </w:p>
        </w:tc>
        <w:tc>
          <w:tcPr>
            <w:tcW w:w="600" w:type="dxa"/>
          </w:tcPr>
          <w:p w:rsidR="00E35632" w:rsidRDefault="00E35632">
            <w:pPr>
              <w:pStyle w:val="ConsPlusNormal"/>
              <w:jc w:val="center"/>
            </w:pPr>
            <w:r>
              <w:t>17</w:t>
            </w:r>
          </w:p>
        </w:tc>
        <w:tc>
          <w:tcPr>
            <w:tcW w:w="600" w:type="dxa"/>
          </w:tcPr>
          <w:p w:rsidR="00E35632" w:rsidRDefault="00E35632">
            <w:pPr>
              <w:pStyle w:val="ConsPlusNormal"/>
              <w:jc w:val="center"/>
            </w:pPr>
            <w:r>
              <w:t>-</w:t>
            </w:r>
          </w:p>
        </w:tc>
      </w:tr>
      <w:tr w:rsidR="00E35632">
        <w:tc>
          <w:tcPr>
            <w:tcW w:w="0" w:type="auto"/>
            <w:vMerge/>
          </w:tcPr>
          <w:p w:rsidR="00E35632" w:rsidRDefault="00E35632">
            <w:pPr>
              <w:pStyle w:val="ConsPlusNormal"/>
            </w:pPr>
          </w:p>
        </w:tc>
        <w:tc>
          <w:tcPr>
            <w:tcW w:w="1863" w:type="dxa"/>
            <w:vMerge w:val="restart"/>
          </w:tcPr>
          <w:p w:rsidR="00E35632" w:rsidRDefault="00E35632">
            <w:pPr>
              <w:pStyle w:val="ConsPlusNormal"/>
              <w:jc w:val="center"/>
            </w:pPr>
            <w:r>
              <w:t xml:space="preserve">0,5 &lt; </w:t>
            </w:r>
            <w:r>
              <w:rPr>
                <w:i/>
              </w:rPr>
              <w:t>I</w:t>
            </w:r>
            <w:r>
              <w:rPr>
                <w:i/>
                <w:vertAlign w:val="subscript"/>
              </w:rPr>
              <w:t>L</w:t>
            </w:r>
            <w:r>
              <w:t xml:space="preserve"> &lt;= 0,75</w:t>
            </w:r>
          </w:p>
        </w:tc>
        <w:tc>
          <w:tcPr>
            <w:tcW w:w="1682" w:type="dxa"/>
          </w:tcPr>
          <w:p w:rsidR="00E35632" w:rsidRDefault="00E35632">
            <w:pPr>
              <w:pStyle w:val="ConsPlusNormal"/>
              <w:jc w:val="center"/>
            </w:pPr>
            <w:r>
              <w:rPr>
                <w:i/>
              </w:rPr>
              <w:t>c</w:t>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25</w:t>
            </w:r>
          </w:p>
        </w:tc>
        <w:tc>
          <w:tcPr>
            <w:tcW w:w="600" w:type="dxa"/>
          </w:tcPr>
          <w:p w:rsidR="00E35632" w:rsidRDefault="00E35632">
            <w:pPr>
              <w:pStyle w:val="ConsPlusNormal"/>
              <w:jc w:val="center"/>
            </w:pPr>
            <w:r>
              <w:t>20</w:t>
            </w:r>
          </w:p>
        </w:tc>
        <w:tc>
          <w:tcPr>
            <w:tcW w:w="600" w:type="dxa"/>
          </w:tcPr>
          <w:p w:rsidR="00E35632" w:rsidRDefault="00E35632">
            <w:pPr>
              <w:pStyle w:val="ConsPlusNormal"/>
              <w:jc w:val="center"/>
            </w:pPr>
            <w:r>
              <w:t>16</w:t>
            </w:r>
          </w:p>
        </w:tc>
        <w:tc>
          <w:tcPr>
            <w:tcW w:w="600" w:type="dxa"/>
          </w:tcPr>
          <w:p w:rsidR="00E35632" w:rsidRDefault="00E35632">
            <w:pPr>
              <w:pStyle w:val="ConsPlusNormal"/>
              <w:jc w:val="center"/>
            </w:pPr>
            <w:r>
              <w:t>14</w:t>
            </w:r>
          </w:p>
        </w:tc>
        <w:tc>
          <w:tcPr>
            <w:tcW w:w="600" w:type="dxa"/>
          </w:tcPr>
          <w:p w:rsidR="00E35632" w:rsidRDefault="00E35632">
            <w:pPr>
              <w:pStyle w:val="ConsPlusNormal"/>
              <w:jc w:val="center"/>
            </w:pPr>
            <w:r>
              <w:t>12</w:t>
            </w:r>
          </w:p>
        </w:tc>
      </w:tr>
      <w:tr w:rsidR="00E35632">
        <w:tc>
          <w:tcPr>
            <w:tcW w:w="0" w:type="auto"/>
            <w:vMerge/>
          </w:tcPr>
          <w:p w:rsidR="00E35632" w:rsidRDefault="00E35632">
            <w:pPr>
              <w:pStyle w:val="ConsPlusNormal"/>
            </w:pPr>
          </w:p>
        </w:tc>
        <w:tc>
          <w:tcPr>
            <w:tcW w:w="0" w:type="auto"/>
            <w:vMerge/>
          </w:tcPr>
          <w:p w:rsidR="00E35632" w:rsidRDefault="00E35632">
            <w:pPr>
              <w:pStyle w:val="ConsPlusNormal"/>
            </w:pPr>
          </w:p>
        </w:tc>
        <w:tc>
          <w:tcPr>
            <w:tcW w:w="1682" w:type="dxa"/>
          </w:tcPr>
          <w:p w:rsidR="00E35632" w:rsidRDefault="00E35632">
            <w:pPr>
              <w:pStyle w:val="ConsPlusNormal"/>
              <w:jc w:val="center"/>
            </w:pPr>
            <w:r>
              <w:rPr>
                <w:noProof/>
                <w:position w:val="-4"/>
              </w:rPr>
              <w:drawing>
                <wp:inline distT="0" distB="0" distL="0" distR="0">
                  <wp:extent cx="160020" cy="192405"/>
                  <wp:effectExtent l="0" t="0" r="0" b="0"/>
                  <wp:docPr id="6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19</w:t>
            </w:r>
          </w:p>
        </w:tc>
        <w:tc>
          <w:tcPr>
            <w:tcW w:w="600" w:type="dxa"/>
          </w:tcPr>
          <w:p w:rsidR="00E35632" w:rsidRDefault="00E35632">
            <w:pPr>
              <w:pStyle w:val="ConsPlusNormal"/>
              <w:jc w:val="center"/>
            </w:pPr>
            <w:r>
              <w:t>18</w:t>
            </w:r>
          </w:p>
        </w:tc>
        <w:tc>
          <w:tcPr>
            <w:tcW w:w="600" w:type="dxa"/>
          </w:tcPr>
          <w:p w:rsidR="00E35632" w:rsidRDefault="00E35632">
            <w:pPr>
              <w:pStyle w:val="ConsPlusNormal"/>
              <w:jc w:val="center"/>
            </w:pPr>
            <w:r>
              <w:t>16</w:t>
            </w:r>
          </w:p>
        </w:tc>
        <w:tc>
          <w:tcPr>
            <w:tcW w:w="600" w:type="dxa"/>
          </w:tcPr>
          <w:p w:rsidR="00E35632" w:rsidRDefault="00E35632">
            <w:pPr>
              <w:pStyle w:val="ConsPlusNormal"/>
              <w:jc w:val="center"/>
            </w:pPr>
            <w:r>
              <w:t>14</w:t>
            </w:r>
          </w:p>
        </w:tc>
        <w:tc>
          <w:tcPr>
            <w:tcW w:w="600" w:type="dxa"/>
          </w:tcPr>
          <w:p w:rsidR="00E35632" w:rsidRDefault="00E35632">
            <w:pPr>
              <w:pStyle w:val="ConsPlusNormal"/>
              <w:jc w:val="center"/>
            </w:pPr>
            <w:r>
              <w:t>12</w:t>
            </w:r>
          </w:p>
        </w:tc>
      </w:tr>
      <w:tr w:rsidR="00E35632">
        <w:tc>
          <w:tcPr>
            <w:tcW w:w="1315" w:type="dxa"/>
            <w:vMerge w:val="restart"/>
          </w:tcPr>
          <w:p w:rsidR="00E35632" w:rsidRDefault="00E35632">
            <w:pPr>
              <w:pStyle w:val="ConsPlusNormal"/>
            </w:pPr>
            <w:r>
              <w:t>Глины</w:t>
            </w:r>
          </w:p>
        </w:tc>
        <w:tc>
          <w:tcPr>
            <w:tcW w:w="1863" w:type="dxa"/>
            <w:vMerge w:val="restart"/>
          </w:tcPr>
          <w:p w:rsidR="00E35632" w:rsidRDefault="00E35632">
            <w:pPr>
              <w:pStyle w:val="ConsPlusNormal"/>
              <w:jc w:val="center"/>
            </w:pPr>
            <w:r>
              <w:t xml:space="preserve">0 &lt;= </w:t>
            </w:r>
            <w:r>
              <w:rPr>
                <w:i/>
              </w:rPr>
              <w:t>I</w:t>
            </w:r>
            <w:r>
              <w:rPr>
                <w:i/>
                <w:vertAlign w:val="subscript"/>
              </w:rPr>
              <w:t>L</w:t>
            </w:r>
            <w:r>
              <w:t xml:space="preserve"> &lt;= 0,25</w:t>
            </w:r>
          </w:p>
        </w:tc>
        <w:tc>
          <w:tcPr>
            <w:tcW w:w="1682" w:type="dxa"/>
          </w:tcPr>
          <w:p w:rsidR="00E35632" w:rsidRDefault="00E35632">
            <w:pPr>
              <w:pStyle w:val="ConsPlusNormal"/>
              <w:jc w:val="center"/>
            </w:pPr>
            <w:r>
              <w:rPr>
                <w:i/>
              </w:rPr>
              <w:t>c</w:t>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81</w:t>
            </w:r>
          </w:p>
        </w:tc>
        <w:tc>
          <w:tcPr>
            <w:tcW w:w="600" w:type="dxa"/>
          </w:tcPr>
          <w:p w:rsidR="00E35632" w:rsidRDefault="00E35632">
            <w:pPr>
              <w:pStyle w:val="ConsPlusNormal"/>
              <w:jc w:val="center"/>
            </w:pPr>
            <w:r>
              <w:t>68</w:t>
            </w:r>
          </w:p>
        </w:tc>
        <w:tc>
          <w:tcPr>
            <w:tcW w:w="600" w:type="dxa"/>
          </w:tcPr>
          <w:p w:rsidR="00E35632" w:rsidRDefault="00E35632">
            <w:pPr>
              <w:pStyle w:val="ConsPlusNormal"/>
              <w:jc w:val="center"/>
            </w:pPr>
            <w:r>
              <w:t>54</w:t>
            </w:r>
          </w:p>
        </w:tc>
        <w:tc>
          <w:tcPr>
            <w:tcW w:w="600" w:type="dxa"/>
          </w:tcPr>
          <w:p w:rsidR="00E35632" w:rsidRDefault="00E35632">
            <w:pPr>
              <w:pStyle w:val="ConsPlusNormal"/>
              <w:jc w:val="center"/>
            </w:pPr>
            <w:r>
              <w:t>47</w:t>
            </w:r>
          </w:p>
        </w:tc>
        <w:tc>
          <w:tcPr>
            <w:tcW w:w="600" w:type="dxa"/>
          </w:tcPr>
          <w:p w:rsidR="00E35632" w:rsidRDefault="00E35632">
            <w:pPr>
              <w:pStyle w:val="ConsPlusNormal"/>
              <w:jc w:val="center"/>
            </w:pPr>
            <w:r>
              <w:t>41</w:t>
            </w:r>
          </w:p>
        </w:tc>
        <w:tc>
          <w:tcPr>
            <w:tcW w:w="600" w:type="dxa"/>
          </w:tcPr>
          <w:p w:rsidR="00E35632" w:rsidRDefault="00E35632">
            <w:pPr>
              <w:pStyle w:val="ConsPlusNormal"/>
              <w:jc w:val="center"/>
            </w:pPr>
            <w:r>
              <w:t>36</w:t>
            </w:r>
          </w:p>
        </w:tc>
      </w:tr>
      <w:tr w:rsidR="00E35632">
        <w:tc>
          <w:tcPr>
            <w:tcW w:w="0" w:type="auto"/>
            <w:vMerge/>
          </w:tcPr>
          <w:p w:rsidR="00E35632" w:rsidRDefault="00E35632">
            <w:pPr>
              <w:pStyle w:val="ConsPlusNormal"/>
            </w:pPr>
          </w:p>
        </w:tc>
        <w:tc>
          <w:tcPr>
            <w:tcW w:w="0" w:type="auto"/>
            <w:vMerge/>
          </w:tcPr>
          <w:p w:rsidR="00E35632" w:rsidRDefault="00E35632">
            <w:pPr>
              <w:pStyle w:val="ConsPlusNormal"/>
            </w:pPr>
          </w:p>
        </w:tc>
        <w:tc>
          <w:tcPr>
            <w:tcW w:w="1682" w:type="dxa"/>
          </w:tcPr>
          <w:p w:rsidR="00E35632" w:rsidRDefault="00E35632">
            <w:pPr>
              <w:pStyle w:val="ConsPlusNormal"/>
              <w:jc w:val="center"/>
            </w:pPr>
            <w:r>
              <w:rPr>
                <w:noProof/>
                <w:position w:val="-4"/>
              </w:rPr>
              <w:drawing>
                <wp:inline distT="0" distB="0" distL="0" distR="0">
                  <wp:extent cx="160020" cy="192405"/>
                  <wp:effectExtent l="0" t="0" r="0" b="0"/>
                  <wp:docPr id="6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21</w:t>
            </w:r>
          </w:p>
        </w:tc>
        <w:tc>
          <w:tcPr>
            <w:tcW w:w="600" w:type="dxa"/>
          </w:tcPr>
          <w:p w:rsidR="00E35632" w:rsidRDefault="00E35632">
            <w:pPr>
              <w:pStyle w:val="ConsPlusNormal"/>
              <w:jc w:val="center"/>
            </w:pPr>
            <w:r>
              <w:t>20</w:t>
            </w:r>
          </w:p>
        </w:tc>
        <w:tc>
          <w:tcPr>
            <w:tcW w:w="600" w:type="dxa"/>
          </w:tcPr>
          <w:p w:rsidR="00E35632" w:rsidRDefault="00E35632">
            <w:pPr>
              <w:pStyle w:val="ConsPlusNormal"/>
              <w:jc w:val="center"/>
            </w:pPr>
            <w:r>
              <w:t>19</w:t>
            </w:r>
          </w:p>
        </w:tc>
        <w:tc>
          <w:tcPr>
            <w:tcW w:w="600" w:type="dxa"/>
          </w:tcPr>
          <w:p w:rsidR="00E35632" w:rsidRDefault="00E35632">
            <w:pPr>
              <w:pStyle w:val="ConsPlusNormal"/>
              <w:jc w:val="center"/>
            </w:pPr>
            <w:r>
              <w:t>18</w:t>
            </w:r>
          </w:p>
        </w:tc>
        <w:tc>
          <w:tcPr>
            <w:tcW w:w="600" w:type="dxa"/>
          </w:tcPr>
          <w:p w:rsidR="00E35632" w:rsidRDefault="00E35632">
            <w:pPr>
              <w:pStyle w:val="ConsPlusNormal"/>
              <w:jc w:val="center"/>
            </w:pPr>
            <w:r>
              <w:t>16</w:t>
            </w:r>
          </w:p>
        </w:tc>
        <w:tc>
          <w:tcPr>
            <w:tcW w:w="600" w:type="dxa"/>
          </w:tcPr>
          <w:p w:rsidR="00E35632" w:rsidRDefault="00E35632">
            <w:pPr>
              <w:pStyle w:val="ConsPlusNormal"/>
              <w:jc w:val="center"/>
            </w:pPr>
            <w:r>
              <w:t>14</w:t>
            </w:r>
          </w:p>
        </w:tc>
      </w:tr>
      <w:tr w:rsidR="00E35632">
        <w:tc>
          <w:tcPr>
            <w:tcW w:w="0" w:type="auto"/>
            <w:vMerge/>
          </w:tcPr>
          <w:p w:rsidR="00E35632" w:rsidRDefault="00E35632">
            <w:pPr>
              <w:pStyle w:val="ConsPlusNormal"/>
            </w:pPr>
          </w:p>
        </w:tc>
        <w:tc>
          <w:tcPr>
            <w:tcW w:w="1863" w:type="dxa"/>
            <w:vMerge w:val="restart"/>
          </w:tcPr>
          <w:p w:rsidR="00E35632" w:rsidRDefault="00E35632">
            <w:pPr>
              <w:pStyle w:val="ConsPlusNormal"/>
              <w:jc w:val="center"/>
            </w:pPr>
            <w:r>
              <w:t xml:space="preserve">0,25 &lt; </w:t>
            </w:r>
            <w:r>
              <w:rPr>
                <w:i/>
              </w:rPr>
              <w:t>I</w:t>
            </w:r>
            <w:r>
              <w:rPr>
                <w:i/>
                <w:vertAlign w:val="subscript"/>
              </w:rPr>
              <w:t>L</w:t>
            </w:r>
            <w:r>
              <w:t xml:space="preserve"> &lt;= 0,5</w:t>
            </w:r>
          </w:p>
        </w:tc>
        <w:tc>
          <w:tcPr>
            <w:tcW w:w="1682" w:type="dxa"/>
          </w:tcPr>
          <w:p w:rsidR="00E35632" w:rsidRDefault="00E35632">
            <w:pPr>
              <w:pStyle w:val="ConsPlusNormal"/>
              <w:jc w:val="center"/>
            </w:pPr>
            <w:r>
              <w:rPr>
                <w:i/>
              </w:rPr>
              <w:t>c</w:t>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57</w:t>
            </w:r>
          </w:p>
        </w:tc>
        <w:tc>
          <w:tcPr>
            <w:tcW w:w="600" w:type="dxa"/>
          </w:tcPr>
          <w:p w:rsidR="00E35632" w:rsidRDefault="00E35632">
            <w:pPr>
              <w:pStyle w:val="ConsPlusNormal"/>
              <w:jc w:val="center"/>
            </w:pPr>
            <w:r>
              <w:t>50</w:t>
            </w:r>
          </w:p>
        </w:tc>
        <w:tc>
          <w:tcPr>
            <w:tcW w:w="600" w:type="dxa"/>
          </w:tcPr>
          <w:p w:rsidR="00E35632" w:rsidRDefault="00E35632">
            <w:pPr>
              <w:pStyle w:val="ConsPlusNormal"/>
              <w:jc w:val="center"/>
            </w:pPr>
            <w:r>
              <w:t>43</w:t>
            </w:r>
          </w:p>
        </w:tc>
        <w:tc>
          <w:tcPr>
            <w:tcW w:w="600" w:type="dxa"/>
          </w:tcPr>
          <w:p w:rsidR="00E35632" w:rsidRDefault="00E35632">
            <w:pPr>
              <w:pStyle w:val="ConsPlusNormal"/>
              <w:jc w:val="center"/>
            </w:pPr>
            <w:r>
              <w:t>37</w:t>
            </w:r>
          </w:p>
        </w:tc>
        <w:tc>
          <w:tcPr>
            <w:tcW w:w="600" w:type="dxa"/>
          </w:tcPr>
          <w:p w:rsidR="00E35632" w:rsidRDefault="00E35632">
            <w:pPr>
              <w:pStyle w:val="ConsPlusNormal"/>
              <w:jc w:val="center"/>
            </w:pPr>
            <w:r>
              <w:t>32</w:t>
            </w:r>
          </w:p>
        </w:tc>
      </w:tr>
      <w:tr w:rsidR="00E35632">
        <w:tc>
          <w:tcPr>
            <w:tcW w:w="0" w:type="auto"/>
            <w:vMerge/>
          </w:tcPr>
          <w:p w:rsidR="00E35632" w:rsidRDefault="00E35632">
            <w:pPr>
              <w:pStyle w:val="ConsPlusNormal"/>
            </w:pPr>
          </w:p>
        </w:tc>
        <w:tc>
          <w:tcPr>
            <w:tcW w:w="0" w:type="auto"/>
            <w:vMerge/>
          </w:tcPr>
          <w:p w:rsidR="00E35632" w:rsidRDefault="00E35632">
            <w:pPr>
              <w:pStyle w:val="ConsPlusNormal"/>
            </w:pPr>
          </w:p>
        </w:tc>
        <w:tc>
          <w:tcPr>
            <w:tcW w:w="1682" w:type="dxa"/>
          </w:tcPr>
          <w:p w:rsidR="00E35632" w:rsidRDefault="00E35632">
            <w:pPr>
              <w:pStyle w:val="ConsPlusNormal"/>
              <w:jc w:val="center"/>
            </w:pPr>
            <w:r>
              <w:rPr>
                <w:noProof/>
                <w:position w:val="-4"/>
              </w:rPr>
              <w:drawing>
                <wp:inline distT="0" distB="0" distL="0" distR="0">
                  <wp:extent cx="160020" cy="192405"/>
                  <wp:effectExtent l="0" t="0" r="0" b="0"/>
                  <wp:docPr id="6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18</w:t>
            </w:r>
          </w:p>
        </w:tc>
        <w:tc>
          <w:tcPr>
            <w:tcW w:w="600" w:type="dxa"/>
          </w:tcPr>
          <w:p w:rsidR="00E35632" w:rsidRDefault="00E35632">
            <w:pPr>
              <w:pStyle w:val="ConsPlusNormal"/>
              <w:jc w:val="center"/>
            </w:pPr>
            <w:r>
              <w:t>17</w:t>
            </w:r>
          </w:p>
        </w:tc>
        <w:tc>
          <w:tcPr>
            <w:tcW w:w="600" w:type="dxa"/>
          </w:tcPr>
          <w:p w:rsidR="00E35632" w:rsidRDefault="00E35632">
            <w:pPr>
              <w:pStyle w:val="ConsPlusNormal"/>
              <w:jc w:val="center"/>
            </w:pPr>
            <w:r>
              <w:t>16</w:t>
            </w:r>
          </w:p>
        </w:tc>
        <w:tc>
          <w:tcPr>
            <w:tcW w:w="600" w:type="dxa"/>
          </w:tcPr>
          <w:p w:rsidR="00E35632" w:rsidRDefault="00E35632">
            <w:pPr>
              <w:pStyle w:val="ConsPlusNormal"/>
              <w:jc w:val="center"/>
            </w:pPr>
            <w:r>
              <w:t>14</w:t>
            </w:r>
          </w:p>
        </w:tc>
        <w:tc>
          <w:tcPr>
            <w:tcW w:w="600" w:type="dxa"/>
          </w:tcPr>
          <w:p w:rsidR="00E35632" w:rsidRDefault="00E35632">
            <w:pPr>
              <w:pStyle w:val="ConsPlusNormal"/>
              <w:jc w:val="center"/>
            </w:pPr>
            <w:r>
              <w:t>11</w:t>
            </w:r>
          </w:p>
        </w:tc>
      </w:tr>
      <w:tr w:rsidR="00E35632">
        <w:tc>
          <w:tcPr>
            <w:tcW w:w="0" w:type="auto"/>
            <w:vMerge/>
          </w:tcPr>
          <w:p w:rsidR="00E35632" w:rsidRDefault="00E35632">
            <w:pPr>
              <w:pStyle w:val="ConsPlusNormal"/>
            </w:pPr>
          </w:p>
        </w:tc>
        <w:tc>
          <w:tcPr>
            <w:tcW w:w="1863" w:type="dxa"/>
            <w:vMerge w:val="restart"/>
          </w:tcPr>
          <w:p w:rsidR="00E35632" w:rsidRDefault="00E35632">
            <w:pPr>
              <w:pStyle w:val="ConsPlusNormal"/>
              <w:jc w:val="center"/>
            </w:pPr>
            <w:r>
              <w:t xml:space="preserve">0,5 &lt; </w:t>
            </w:r>
            <w:r>
              <w:rPr>
                <w:i/>
              </w:rPr>
              <w:t>I</w:t>
            </w:r>
            <w:r>
              <w:rPr>
                <w:i/>
                <w:vertAlign w:val="subscript"/>
              </w:rPr>
              <w:t>L</w:t>
            </w:r>
            <w:r>
              <w:t xml:space="preserve"> &lt;= 0,75</w:t>
            </w:r>
          </w:p>
        </w:tc>
        <w:tc>
          <w:tcPr>
            <w:tcW w:w="1682" w:type="dxa"/>
          </w:tcPr>
          <w:p w:rsidR="00E35632" w:rsidRDefault="00E35632">
            <w:pPr>
              <w:pStyle w:val="ConsPlusNormal"/>
              <w:jc w:val="center"/>
            </w:pPr>
            <w:r>
              <w:rPr>
                <w:i/>
              </w:rPr>
              <w:t>c</w:t>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45</w:t>
            </w:r>
          </w:p>
        </w:tc>
        <w:tc>
          <w:tcPr>
            <w:tcW w:w="600" w:type="dxa"/>
          </w:tcPr>
          <w:p w:rsidR="00E35632" w:rsidRDefault="00E35632">
            <w:pPr>
              <w:pStyle w:val="ConsPlusNormal"/>
              <w:jc w:val="center"/>
            </w:pPr>
            <w:r>
              <w:t>41</w:t>
            </w:r>
          </w:p>
        </w:tc>
        <w:tc>
          <w:tcPr>
            <w:tcW w:w="600" w:type="dxa"/>
          </w:tcPr>
          <w:p w:rsidR="00E35632" w:rsidRDefault="00E35632">
            <w:pPr>
              <w:pStyle w:val="ConsPlusNormal"/>
              <w:jc w:val="center"/>
            </w:pPr>
            <w:r>
              <w:t>36</w:t>
            </w:r>
          </w:p>
        </w:tc>
        <w:tc>
          <w:tcPr>
            <w:tcW w:w="600" w:type="dxa"/>
          </w:tcPr>
          <w:p w:rsidR="00E35632" w:rsidRDefault="00E35632">
            <w:pPr>
              <w:pStyle w:val="ConsPlusNormal"/>
              <w:jc w:val="center"/>
            </w:pPr>
            <w:r>
              <w:t>33</w:t>
            </w:r>
          </w:p>
        </w:tc>
        <w:tc>
          <w:tcPr>
            <w:tcW w:w="600" w:type="dxa"/>
          </w:tcPr>
          <w:p w:rsidR="00E35632" w:rsidRDefault="00E35632">
            <w:pPr>
              <w:pStyle w:val="ConsPlusNormal"/>
              <w:jc w:val="center"/>
            </w:pPr>
            <w:r>
              <w:t>29</w:t>
            </w:r>
          </w:p>
        </w:tc>
      </w:tr>
      <w:tr w:rsidR="00E35632">
        <w:tc>
          <w:tcPr>
            <w:tcW w:w="0" w:type="auto"/>
            <w:vMerge/>
          </w:tcPr>
          <w:p w:rsidR="00E35632" w:rsidRDefault="00E35632">
            <w:pPr>
              <w:pStyle w:val="ConsPlusNormal"/>
            </w:pPr>
          </w:p>
        </w:tc>
        <w:tc>
          <w:tcPr>
            <w:tcW w:w="0" w:type="auto"/>
            <w:vMerge/>
          </w:tcPr>
          <w:p w:rsidR="00E35632" w:rsidRDefault="00E35632">
            <w:pPr>
              <w:pStyle w:val="ConsPlusNormal"/>
            </w:pPr>
          </w:p>
        </w:tc>
        <w:tc>
          <w:tcPr>
            <w:tcW w:w="1682" w:type="dxa"/>
          </w:tcPr>
          <w:p w:rsidR="00E35632" w:rsidRDefault="00E35632">
            <w:pPr>
              <w:pStyle w:val="ConsPlusNormal"/>
              <w:jc w:val="center"/>
            </w:pPr>
            <w:r>
              <w:rPr>
                <w:noProof/>
                <w:position w:val="-4"/>
              </w:rPr>
              <w:drawing>
                <wp:inline distT="0" distB="0" distL="0" distR="0">
                  <wp:extent cx="160020" cy="192405"/>
                  <wp:effectExtent l="0" t="0" r="0" b="0"/>
                  <wp:docPr id="6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w:t>
            </w:r>
          </w:p>
        </w:tc>
        <w:tc>
          <w:tcPr>
            <w:tcW w:w="600" w:type="dxa"/>
          </w:tcPr>
          <w:p w:rsidR="00E35632" w:rsidRDefault="00E35632">
            <w:pPr>
              <w:pStyle w:val="ConsPlusNormal"/>
              <w:jc w:val="center"/>
            </w:pPr>
            <w:r>
              <w:t>15</w:t>
            </w:r>
          </w:p>
        </w:tc>
        <w:tc>
          <w:tcPr>
            <w:tcW w:w="600" w:type="dxa"/>
          </w:tcPr>
          <w:p w:rsidR="00E35632" w:rsidRDefault="00E35632">
            <w:pPr>
              <w:pStyle w:val="ConsPlusNormal"/>
              <w:jc w:val="center"/>
            </w:pPr>
            <w:r>
              <w:t>14</w:t>
            </w:r>
          </w:p>
        </w:tc>
        <w:tc>
          <w:tcPr>
            <w:tcW w:w="600" w:type="dxa"/>
          </w:tcPr>
          <w:p w:rsidR="00E35632" w:rsidRDefault="00E35632">
            <w:pPr>
              <w:pStyle w:val="ConsPlusNormal"/>
              <w:jc w:val="center"/>
            </w:pPr>
            <w:r>
              <w:t>12</w:t>
            </w:r>
          </w:p>
        </w:tc>
        <w:tc>
          <w:tcPr>
            <w:tcW w:w="600" w:type="dxa"/>
          </w:tcPr>
          <w:p w:rsidR="00E35632" w:rsidRDefault="00E35632">
            <w:pPr>
              <w:pStyle w:val="ConsPlusNormal"/>
              <w:jc w:val="center"/>
            </w:pPr>
            <w:r>
              <w:t>10</w:t>
            </w:r>
          </w:p>
        </w:tc>
        <w:tc>
          <w:tcPr>
            <w:tcW w:w="600" w:type="dxa"/>
          </w:tcPr>
          <w:p w:rsidR="00E35632" w:rsidRDefault="00E35632">
            <w:pPr>
              <w:pStyle w:val="ConsPlusNormal"/>
              <w:jc w:val="center"/>
            </w:pPr>
            <w:r>
              <w:t>7</w:t>
            </w:r>
          </w:p>
        </w:tc>
      </w:tr>
    </w:tbl>
    <w:p w:rsidR="00E35632" w:rsidRDefault="00E35632">
      <w:pPr>
        <w:pStyle w:val="ConsPlusNormal"/>
        <w:jc w:val="both"/>
      </w:pPr>
    </w:p>
    <w:p w:rsidR="00E35632" w:rsidRDefault="00E35632">
      <w:pPr>
        <w:pStyle w:val="ConsPlusNormal"/>
        <w:jc w:val="right"/>
      </w:pPr>
      <w:r>
        <w:t>Таблица А.3</w:t>
      </w:r>
    </w:p>
    <w:p w:rsidR="00E35632" w:rsidRDefault="00E35632">
      <w:pPr>
        <w:pStyle w:val="ConsPlusNormal"/>
        <w:jc w:val="both"/>
      </w:pPr>
    </w:p>
    <w:p w:rsidR="00E35632" w:rsidRDefault="00E35632">
      <w:pPr>
        <w:pStyle w:val="ConsPlusNormal"/>
        <w:jc w:val="center"/>
      </w:pPr>
      <w:bookmarkStart w:id="276" w:name="P5366"/>
      <w:bookmarkEnd w:id="276"/>
      <w:r>
        <w:rPr>
          <w:b/>
        </w:rPr>
        <w:t>Нормативные значения модуля деформации</w:t>
      </w:r>
      <w:r>
        <w:t xml:space="preserve"> </w:t>
      </w:r>
      <w:r>
        <w:rPr>
          <w:b/>
          <w:i/>
        </w:rPr>
        <w:t>E</w:t>
      </w:r>
      <w:r>
        <w:rPr>
          <w:b/>
        </w:rPr>
        <w:t>, МПа,</w:t>
      </w:r>
    </w:p>
    <w:p w:rsidR="00E35632" w:rsidRDefault="00E35632">
      <w:pPr>
        <w:pStyle w:val="ConsPlusNormal"/>
        <w:jc w:val="center"/>
      </w:pPr>
      <w:r>
        <w:rPr>
          <w:b/>
        </w:rPr>
        <w:t>глинистых нелессовых грунтов</w:t>
      </w:r>
    </w:p>
    <w:p w:rsidR="00E35632" w:rsidRDefault="00E35632">
      <w:pPr>
        <w:pStyle w:val="ConsPlusNormal"/>
        <w:jc w:val="both"/>
      </w:pPr>
    </w:p>
    <w:p w:rsidR="00E35632" w:rsidRDefault="00E35632">
      <w:pPr>
        <w:pStyle w:val="ConsPlusNormal"/>
        <w:sectPr w:rsidR="00E35632">
          <w:pgSz w:w="11905" w:h="16838"/>
          <w:pgMar w:top="1134" w:right="850" w:bottom="1134" w:left="1701" w:header="0" w:footer="0" w:gutter="0"/>
          <w:cols w:space="720"/>
          <w:titlePg/>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440"/>
        <w:gridCol w:w="1762"/>
        <w:gridCol w:w="1142"/>
        <w:gridCol w:w="1716"/>
        <w:gridCol w:w="600"/>
        <w:gridCol w:w="600"/>
        <w:gridCol w:w="600"/>
        <w:gridCol w:w="600"/>
        <w:gridCol w:w="600"/>
        <w:gridCol w:w="600"/>
        <w:gridCol w:w="600"/>
        <w:gridCol w:w="600"/>
        <w:gridCol w:w="480"/>
        <w:gridCol w:w="480"/>
        <w:gridCol w:w="480"/>
      </w:tblGrid>
      <w:tr w:rsidR="00E35632">
        <w:tc>
          <w:tcPr>
            <w:tcW w:w="3202" w:type="dxa"/>
            <w:gridSpan w:val="2"/>
            <w:vMerge w:val="restart"/>
            <w:tcBorders>
              <w:top w:val="single" w:sz="4" w:space="0" w:color="auto"/>
              <w:bottom w:val="single" w:sz="4" w:space="0" w:color="auto"/>
            </w:tcBorders>
            <w:vAlign w:val="center"/>
          </w:tcPr>
          <w:p w:rsidR="00E35632" w:rsidRDefault="00E35632">
            <w:pPr>
              <w:pStyle w:val="ConsPlusNormal"/>
              <w:jc w:val="center"/>
            </w:pPr>
            <w:r>
              <w:t>Происхождение и возраст грунтов</w:t>
            </w:r>
          </w:p>
        </w:tc>
        <w:tc>
          <w:tcPr>
            <w:tcW w:w="2858" w:type="dxa"/>
            <w:gridSpan w:val="2"/>
            <w:vMerge w:val="restart"/>
            <w:tcBorders>
              <w:top w:val="single" w:sz="4" w:space="0" w:color="auto"/>
              <w:bottom w:val="single" w:sz="4" w:space="0" w:color="auto"/>
            </w:tcBorders>
            <w:vAlign w:val="center"/>
          </w:tcPr>
          <w:p w:rsidR="00E35632" w:rsidRDefault="00E35632">
            <w:pPr>
              <w:pStyle w:val="ConsPlusNormal"/>
              <w:jc w:val="center"/>
            </w:pPr>
            <w:r>
              <w:t xml:space="preserve">Наименование грунтов и пределы нормативных значений их показателя текучести </w:t>
            </w:r>
            <w:r>
              <w:rPr>
                <w:i/>
              </w:rPr>
              <w:t>I</w:t>
            </w:r>
            <w:r>
              <w:rPr>
                <w:i/>
                <w:vertAlign w:val="subscript"/>
              </w:rPr>
              <w:t>L</w:t>
            </w:r>
          </w:p>
        </w:tc>
        <w:tc>
          <w:tcPr>
            <w:tcW w:w="6240" w:type="dxa"/>
            <w:gridSpan w:val="11"/>
            <w:tcBorders>
              <w:top w:val="single" w:sz="4" w:space="0" w:color="auto"/>
              <w:bottom w:val="single" w:sz="4" w:space="0" w:color="auto"/>
            </w:tcBorders>
            <w:vAlign w:val="center"/>
          </w:tcPr>
          <w:p w:rsidR="00E35632" w:rsidRDefault="00E35632">
            <w:pPr>
              <w:pStyle w:val="ConsPlusNormal"/>
              <w:jc w:val="center"/>
            </w:pPr>
            <w:r>
              <w:t xml:space="preserve">Модуль деформации грунтов </w:t>
            </w:r>
            <w:r>
              <w:rPr>
                <w:i/>
              </w:rPr>
              <w:t>E</w:t>
            </w:r>
            <w:r>
              <w:t xml:space="preserve">, МПа, при коэффициенте пористости </w:t>
            </w:r>
            <w:r>
              <w:rPr>
                <w:i/>
              </w:rPr>
              <w:t>e</w:t>
            </w:r>
            <w:r>
              <w:t>, равном</w:t>
            </w:r>
          </w:p>
        </w:tc>
      </w:tr>
      <w:tr w:rsidR="00E35632">
        <w:tc>
          <w:tcPr>
            <w:tcW w:w="0" w:type="auto"/>
            <w:gridSpan w:val="2"/>
            <w:vMerge/>
            <w:tcBorders>
              <w:top w:val="single" w:sz="4" w:space="0" w:color="auto"/>
              <w:bottom w:val="single" w:sz="4" w:space="0" w:color="auto"/>
            </w:tcBorders>
          </w:tcPr>
          <w:p w:rsidR="00E35632" w:rsidRDefault="00E35632">
            <w:pPr>
              <w:pStyle w:val="ConsPlusNormal"/>
            </w:pPr>
          </w:p>
        </w:tc>
        <w:tc>
          <w:tcPr>
            <w:tcW w:w="0" w:type="auto"/>
            <w:gridSpan w:val="2"/>
            <w:vMerge/>
            <w:tcBorders>
              <w:top w:val="single" w:sz="4" w:space="0" w:color="auto"/>
              <w:bottom w:val="single" w:sz="4" w:space="0" w:color="auto"/>
            </w:tcBorders>
          </w:tcPr>
          <w:p w:rsidR="00E35632" w:rsidRDefault="00E35632">
            <w:pPr>
              <w:pStyle w:val="ConsPlusNormal"/>
            </w:pPr>
          </w:p>
        </w:tc>
        <w:tc>
          <w:tcPr>
            <w:tcW w:w="600" w:type="dxa"/>
            <w:tcBorders>
              <w:top w:val="single" w:sz="4" w:space="0" w:color="auto"/>
              <w:bottom w:val="single" w:sz="4" w:space="0" w:color="auto"/>
            </w:tcBorders>
            <w:vAlign w:val="center"/>
          </w:tcPr>
          <w:p w:rsidR="00E35632" w:rsidRDefault="00E35632">
            <w:pPr>
              <w:pStyle w:val="ConsPlusNormal"/>
              <w:jc w:val="center"/>
            </w:pPr>
            <w:r>
              <w:t>0,35</w:t>
            </w:r>
          </w:p>
        </w:tc>
        <w:tc>
          <w:tcPr>
            <w:tcW w:w="600" w:type="dxa"/>
            <w:tcBorders>
              <w:top w:val="single" w:sz="4" w:space="0" w:color="auto"/>
              <w:bottom w:val="single" w:sz="4" w:space="0" w:color="auto"/>
            </w:tcBorders>
            <w:vAlign w:val="center"/>
          </w:tcPr>
          <w:p w:rsidR="00E35632" w:rsidRDefault="00E35632">
            <w:pPr>
              <w:pStyle w:val="ConsPlusNormal"/>
              <w:jc w:val="center"/>
            </w:pPr>
            <w:r>
              <w:t>0,45</w:t>
            </w:r>
          </w:p>
        </w:tc>
        <w:tc>
          <w:tcPr>
            <w:tcW w:w="600" w:type="dxa"/>
            <w:tcBorders>
              <w:top w:val="single" w:sz="4" w:space="0" w:color="auto"/>
              <w:bottom w:val="single" w:sz="4" w:space="0" w:color="auto"/>
            </w:tcBorders>
            <w:vAlign w:val="center"/>
          </w:tcPr>
          <w:p w:rsidR="00E35632" w:rsidRDefault="00E35632">
            <w:pPr>
              <w:pStyle w:val="ConsPlusNormal"/>
              <w:jc w:val="center"/>
            </w:pPr>
            <w:r>
              <w:t>0,55</w:t>
            </w:r>
          </w:p>
        </w:tc>
        <w:tc>
          <w:tcPr>
            <w:tcW w:w="600" w:type="dxa"/>
            <w:tcBorders>
              <w:top w:val="single" w:sz="4" w:space="0" w:color="auto"/>
              <w:bottom w:val="single" w:sz="4" w:space="0" w:color="auto"/>
            </w:tcBorders>
            <w:vAlign w:val="center"/>
          </w:tcPr>
          <w:p w:rsidR="00E35632" w:rsidRDefault="00E35632">
            <w:pPr>
              <w:pStyle w:val="ConsPlusNormal"/>
              <w:jc w:val="center"/>
            </w:pPr>
            <w:r>
              <w:t>0,65</w:t>
            </w:r>
          </w:p>
        </w:tc>
        <w:tc>
          <w:tcPr>
            <w:tcW w:w="600" w:type="dxa"/>
            <w:tcBorders>
              <w:top w:val="single" w:sz="4" w:space="0" w:color="auto"/>
              <w:bottom w:val="single" w:sz="4" w:space="0" w:color="auto"/>
            </w:tcBorders>
            <w:vAlign w:val="center"/>
          </w:tcPr>
          <w:p w:rsidR="00E35632" w:rsidRDefault="00E35632">
            <w:pPr>
              <w:pStyle w:val="ConsPlusNormal"/>
              <w:jc w:val="center"/>
            </w:pPr>
            <w:r>
              <w:t>0,75</w:t>
            </w:r>
          </w:p>
        </w:tc>
        <w:tc>
          <w:tcPr>
            <w:tcW w:w="600" w:type="dxa"/>
            <w:tcBorders>
              <w:top w:val="single" w:sz="4" w:space="0" w:color="auto"/>
              <w:bottom w:val="single" w:sz="4" w:space="0" w:color="auto"/>
            </w:tcBorders>
            <w:vAlign w:val="center"/>
          </w:tcPr>
          <w:p w:rsidR="00E35632" w:rsidRDefault="00E35632">
            <w:pPr>
              <w:pStyle w:val="ConsPlusNormal"/>
              <w:jc w:val="center"/>
            </w:pPr>
            <w:r>
              <w:t>0,85</w:t>
            </w:r>
          </w:p>
        </w:tc>
        <w:tc>
          <w:tcPr>
            <w:tcW w:w="600" w:type="dxa"/>
            <w:tcBorders>
              <w:top w:val="single" w:sz="4" w:space="0" w:color="auto"/>
              <w:bottom w:val="single" w:sz="4" w:space="0" w:color="auto"/>
            </w:tcBorders>
            <w:vAlign w:val="center"/>
          </w:tcPr>
          <w:p w:rsidR="00E35632" w:rsidRDefault="00E35632">
            <w:pPr>
              <w:pStyle w:val="ConsPlusNormal"/>
              <w:jc w:val="center"/>
            </w:pPr>
            <w:r>
              <w:t>0,95</w:t>
            </w:r>
          </w:p>
        </w:tc>
        <w:tc>
          <w:tcPr>
            <w:tcW w:w="600" w:type="dxa"/>
            <w:tcBorders>
              <w:top w:val="single" w:sz="4" w:space="0" w:color="auto"/>
              <w:bottom w:val="single" w:sz="4" w:space="0" w:color="auto"/>
            </w:tcBorders>
            <w:vAlign w:val="center"/>
          </w:tcPr>
          <w:p w:rsidR="00E35632" w:rsidRDefault="00E35632">
            <w:pPr>
              <w:pStyle w:val="ConsPlusNormal"/>
              <w:jc w:val="center"/>
            </w:pPr>
            <w:r>
              <w:t>1,05</w:t>
            </w:r>
          </w:p>
        </w:tc>
        <w:tc>
          <w:tcPr>
            <w:tcW w:w="480" w:type="dxa"/>
            <w:tcBorders>
              <w:top w:val="single" w:sz="4" w:space="0" w:color="auto"/>
              <w:bottom w:val="single" w:sz="4" w:space="0" w:color="auto"/>
            </w:tcBorders>
            <w:vAlign w:val="center"/>
          </w:tcPr>
          <w:p w:rsidR="00E35632" w:rsidRDefault="00E35632">
            <w:pPr>
              <w:pStyle w:val="ConsPlusNormal"/>
              <w:jc w:val="center"/>
            </w:pPr>
            <w:r>
              <w:t>1,2</w:t>
            </w:r>
          </w:p>
        </w:tc>
        <w:tc>
          <w:tcPr>
            <w:tcW w:w="480" w:type="dxa"/>
            <w:tcBorders>
              <w:top w:val="single" w:sz="4" w:space="0" w:color="auto"/>
              <w:bottom w:val="single" w:sz="4" w:space="0" w:color="auto"/>
            </w:tcBorders>
            <w:vAlign w:val="center"/>
          </w:tcPr>
          <w:p w:rsidR="00E35632" w:rsidRDefault="00E35632">
            <w:pPr>
              <w:pStyle w:val="ConsPlusNormal"/>
              <w:jc w:val="center"/>
            </w:pPr>
            <w:r>
              <w:t>1,4</w:t>
            </w:r>
          </w:p>
        </w:tc>
        <w:tc>
          <w:tcPr>
            <w:tcW w:w="480" w:type="dxa"/>
            <w:tcBorders>
              <w:top w:val="single" w:sz="4" w:space="0" w:color="auto"/>
              <w:bottom w:val="single" w:sz="4" w:space="0" w:color="auto"/>
            </w:tcBorders>
            <w:vAlign w:val="center"/>
          </w:tcPr>
          <w:p w:rsidR="00E35632" w:rsidRDefault="00E35632">
            <w:pPr>
              <w:pStyle w:val="ConsPlusNormal"/>
              <w:jc w:val="center"/>
            </w:pPr>
            <w:r>
              <w:t>1,6</w:t>
            </w:r>
          </w:p>
        </w:tc>
      </w:tr>
      <w:tr w:rsidR="00E35632">
        <w:tc>
          <w:tcPr>
            <w:tcW w:w="1440" w:type="dxa"/>
            <w:vMerge w:val="restart"/>
            <w:tcBorders>
              <w:top w:val="single" w:sz="4" w:space="0" w:color="auto"/>
              <w:bottom w:val="single" w:sz="4" w:space="0" w:color="auto"/>
            </w:tcBorders>
          </w:tcPr>
          <w:p w:rsidR="00E35632" w:rsidRDefault="00E35632">
            <w:pPr>
              <w:pStyle w:val="ConsPlusNormal"/>
            </w:pPr>
            <w:r>
              <w:t>Четвертичные отложения</w:t>
            </w:r>
          </w:p>
        </w:tc>
        <w:tc>
          <w:tcPr>
            <w:tcW w:w="1762" w:type="dxa"/>
            <w:vMerge w:val="restart"/>
            <w:tcBorders>
              <w:top w:val="single" w:sz="4" w:space="0" w:color="auto"/>
              <w:bottom w:val="single" w:sz="4" w:space="0" w:color="auto"/>
            </w:tcBorders>
          </w:tcPr>
          <w:p w:rsidR="00E35632" w:rsidRDefault="00E35632">
            <w:pPr>
              <w:pStyle w:val="ConsPlusNormal"/>
            </w:pPr>
            <w:r>
              <w:t>Аллювиальные, делювиальные, озерные, озерно-аллювиальные</w:t>
            </w:r>
          </w:p>
        </w:tc>
        <w:tc>
          <w:tcPr>
            <w:tcW w:w="1142" w:type="dxa"/>
            <w:tcBorders>
              <w:top w:val="single" w:sz="4" w:space="0" w:color="auto"/>
              <w:bottom w:val="single" w:sz="4" w:space="0" w:color="auto"/>
            </w:tcBorders>
          </w:tcPr>
          <w:p w:rsidR="00E35632" w:rsidRDefault="00E35632">
            <w:pPr>
              <w:pStyle w:val="ConsPlusNormal"/>
            </w:pPr>
            <w:r>
              <w:t>Супеси</w:t>
            </w:r>
          </w:p>
        </w:tc>
        <w:tc>
          <w:tcPr>
            <w:tcW w:w="1716" w:type="dxa"/>
            <w:tcBorders>
              <w:top w:val="single" w:sz="4" w:space="0" w:color="auto"/>
              <w:bottom w:val="single" w:sz="4" w:space="0" w:color="auto"/>
            </w:tcBorders>
          </w:tcPr>
          <w:p w:rsidR="00E35632" w:rsidRDefault="00E35632">
            <w:pPr>
              <w:pStyle w:val="ConsPlusNormal"/>
              <w:jc w:val="center"/>
            </w:pPr>
            <w:r>
              <w:t xml:space="preserve">0 &lt;= </w:t>
            </w:r>
            <w:r>
              <w:rPr>
                <w:i/>
              </w:rPr>
              <w:t>I</w:t>
            </w:r>
            <w:r>
              <w:rPr>
                <w:i/>
                <w:vertAlign w:val="subscript"/>
              </w:rPr>
              <w:t>L</w:t>
            </w:r>
            <w:r>
              <w:t xml:space="preserve"> &lt;= 0,75</w:t>
            </w:r>
          </w:p>
        </w:tc>
        <w:tc>
          <w:tcPr>
            <w:tcW w:w="600" w:type="dxa"/>
            <w:tcBorders>
              <w:top w:val="single" w:sz="4" w:space="0" w:color="auto"/>
              <w:bottom w:val="single" w:sz="4" w:space="0" w:color="auto"/>
            </w:tcBorders>
          </w:tcPr>
          <w:p w:rsidR="00E35632" w:rsidRDefault="00E35632">
            <w:pPr>
              <w:pStyle w:val="ConsPlusNormal"/>
              <w:jc w:val="center"/>
            </w:pPr>
            <w:r>
              <w:t>-</w:t>
            </w:r>
          </w:p>
        </w:tc>
        <w:tc>
          <w:tcPr>
            <w:tcW w:w="600" w:type="dxa"/>
            <w:tcBorders>
              <w:top w:val="single" w:sz="4" w:space="0" w:color="auto"/>
              <w:bottom w:val="single" w:sz="4" w:space="0" w:color="auto"/>
            </w:tcBorders>
          </w:tcPr>
          <w:p w:rsidR="00E35632" w:rsidRDefault="00E35632">
            <w:pPr>
              <w:pStyle w:val="ConsPlusNormal"/>
              <w:jc w:val="center"/>
            </w:pPr>
            <w:r>
              <w:t>32</w:t>
            </w:r>
          </w:p>
        </w:tc>
        <w:tc>
          <w:tcPr>
            <w:tcW w:w="600" w:type="dxa"/>
            <w:tcBorders>
              <w:top w:val="single" w:sz="4" w:space="0" w:color="auto"/>
              <w:bottom w:val="single" w:sz="4" w:space="0" w:color="auto"/>
            </w:tcBorders>
          </w:tcPr>
          <w:p w:rsidR="00E35632" w:rsidRDefault="00E35632">
            <w:pPr>
              <w:pStyle w:val="ConsPlusNormal"/>
              <w:jc w:val="center"/>
            </w:pPr>
            <w:r>
              <w:t>24</w:t>
            </w:r>
          </w:p>
        </w:tc>
        <w:tc>
          <w:tcPr>
            <w:tcW w:w="600" w:type="dxa"/>
            <w:tcBorders>
              <w:top w:val="single" w:sz="4" w:space="0" w:color="auto"/>
              <w:bottom w:val="single" w:sz="4" w:space="0" w:color="auto"/>
            </w:tcBorders>
          </w:tcPr>
          <w:p w:rsidR="00E35632" w:rsidRDefault="00E35632">
            <w:pPr>
              <w:pStyle w:val="ConsPlusNormal"/>
              <w:jc w:val="center"/>
            </w:pPr>
            <w:r>
              <w:t>16</w:t>
            </w:r>
          </w:p>
        </w:tc>
        <w:tc>
          <w:tcPr>
            <w:tcW w:w="600" w:type="dxa"/>
            <w:tcBorders>
              <w:top w:val="single" w:sz="4" w:space="0" w:color="auto"/>
              <w:bottom w:val="single" w:sz="4" w:space="0" w:color="auto"/>
            </w:tcBorders>
          </w:tcPr>
          <w:p w:rsidR="00E35632" w:rsidRDefault="00E35632">
            <w:pPr>
              <w:pStyle w:val="ConsPlusNormal"/>
              <w:jc w:val="center"/>
            </w:pPr>
            <w:r>
              <w:t>10</w:t>
            </w:r>
          </w:p>
        </w:tc>
        <w:tc>
          <w:tcPr>
            <w:tcW w:w="600" w:type="dxa"/>
            <w:tcBorders>
              <w:top w:val="single" w:sz="4" w:space="0" w:color="auto"/>
              <w:bottom w:val="single" w:sz="4" w:space="0" w:color="auto"/>
            </w:tcBorders>
          </w:tcPr>
          <w:p w:rsidR="00E35632" w:rsidRDefault="00E35632">
            <w:pPr>
              <w:pStyle w:val="ConsPlusNormal"/>
              <w:jc w:val="center"/>
            </w:pPr>
            <w:r>
              <w:t>7</w:t>
            </w:r>
          </w:p>
        </w:tc>
        <w:tc>
          <w:tcPr>
            <w:tcW w:w="600" w:type="dxa"/>
            <w:tcBorders>
              <w:top w:val="single" w:sz="4" w:space="0" w:color="auto"/>
              <w:bottom w:val="single" w:sz="4" w:space="0" w:color="auto"/>
            </w:tcBorders>
          </w:tcPr>
          <w:p w:rsidR="00E35632" w:rsidRDefault="00E35632">
            <w:pPr>
              <w:pStyle w:val="ConsPlusNormal"/>
              <w:jc w:val="center"/>
            </w:pPr>
            <w:r>
              <w:t>-</w:t>
            </w:r>
          </w:p>
        </w:tc>
        <w:tc>
          <w:tcPr>
            <w:tcW w:w="600" w:type="dxa"/>
            <w:tcBorders>
              <w:top w:val="single" w:sz="4" w:space="0" w:color="auto"/>
              <w:bottom w:val="single" w:sz="4" w:space="0" w:color="auto"/>
            </w:tcBorders>
          </w:tcPr>
          <w:p w:rsidR="00E35632" w:rsidRDefault="00E35632">
            <w:pPr>
              <w:pStyle w:val="ConsPlusNormal"/>
              <w:jc w:val="center"/>
            </w:pPr>
            <w:r>
              <w:t>-</w:t>
            </w:r>
          </w:p>
        </w:tc>
        <w:tc>
          <w:tcPr>
            <w:tcW w:w="480" w:type="dxa"/>
            <w:tcBorders>
              <w:top w:val="single" w:sz="4" w:space="0" w:color="auto"/>
              <w:bottom w:val="single" w:sz="4" w:space="0" w:color="auto"/>
            </w:tcBorders>
          </w:tcPr>
          <w:p w:rsidR="00E35632" w:rsidRDefault="00E35632">
            <w:pPr>
              <w:pStyle w:val="ConsPlusNormal"/>
              <w:jc w:val="center"/>
            </w:pPr>
            <w:r>
              <w:t>-</w:t>
            </w:r>
          </w:p>
        </w:tc>
        <w:tc>
          <w:tcPr>
            <w:tcW w:w="480" w:type="dxa"/>
            <w:tcBorders>
              <w:top w:val="single" w:sz="4" w:space="0" w:color="auto"/>
              <w:bottom w:val="single" w:sz="4" w:space="0" w:color="auto"/>
            </w:tcBorders>
          </w:tcPr>
          <w:p w:rsidR="00E35632" w:rsidRDefault="00E35632">
            <w:pPr>
              <w:pStyle w:val="ConsPlusNormal"/>
              <w:jc w:val="center"/>
            </w:pPr>
            <w:r>
              <w:t>-</w:t>
            </w:r>
          </w:p>
        </w:tc>
        <w:tc>
          <w:tcPr>
            <w:tcW w:w="480" w:type="dxa"/>
            <w:tcBorders>
              <w:top w:val="single" w:sz="4" w:space="0" w:color="auto"/>
              <w:bottom w:val="single" w:sz="4" w:space="0" w:color="auto"/>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142" w:type="dxa"/>
            <w:vMerge w:val="restart"/>
            <w:tcBorders>
              <w:top w:val="single" w:sz="4" w:space="0" w:color="auto"/>
              <w:bottom w:val="single" w:sz="4" w:space="0" w:color="auto"/>
            </w:tcBorders>
          </w:tcPr>
          <w:p w:rsidR="00E35632" w:rsidRDefault="00E35632">
            <w:pPr>
              <w:pStyle w:val="ConsPlusNormal"/>
            </w:pPr>
            <w:r>
              <w:t>Суглинки</w:t>
            </w:r>
          </w:p>
        </w:tc>
        <w:tc>
          <w:tcPr>
            <w:tcW w:w="1716" w:type="dxa"/>
            <w:tcBorders>
              <w:top w:val="single" w:sz="4" w:space="0" w:color="auto"/>
              <w:bottom w:val="nil"/>
            </w:tcBorders>
          </w:tcPr>
          <w:p w:rsidR="00E35632" w:rsidRDefault="00E35632">
            <w:pPr>
              <w:pStyle w:val="ConsPlusNormal"/>
              <w:jc w:val="center"/>
            </w:pPr>
            <w:r>
              <w:t xml:space="preserve">0 &lt;= </w:t>
            </w:r>
            <w:r>
              <w:rPr>
                <w:i/>
              </w:rPr>
              <w:t>I</w:t>
            </w:r>
            <w:r>
              <w:rPr>
                <w:i/>
                <w:vertAlign w:val="subscript"/>
              </w:rPr>
              <w:t>L</w:t>
            </w:r>
            <w:r>
              <w:t xml:space="preserve"> &lt;= 0,25</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34</w:t>
            </w:r>
          </w:p>
        </w:tc>
        <w:tc>
          <w:tcPr>
            <w:tcW w:w="600" w:type="dxa"/>
            <w:tcBorders>
              <w:top w:val="single" w:sz="4" w:space="0" w:color="auto"/>
              <w:bottom w:val="nil"/>
            </w:tcBorders>
          </w:tcPr>
          <w:p w:rsidR="00E35632" w:rsidRDefault="00E35632">
            <w:pPr>
              <w:pStyle w:val="ConsPlusNormal"/>
              <w:jc w:val="center"/>
            </w:pPr>
            <w:r>
              <w:t>27</w:t>
            </w:r>
          </w:p>
        </w:tc>
        <w:tc>
          <w:tcPr>
            <w:tcW w:w="600" w:type="dxa"/>
            <w:tcBorders>
              <w:top w:val="single" w:sz="4" w:space="0" w:color="auto"/>
              <w:bottom w:val="nil"/>
            </w:tcBorders>
          </w:tcPr>
          <w:p w:rsidR="00E35632" w:rsidRDefault="00E35632">
            <w:pPr>
              <w:pStyle w:val="ConsPlusNormal"/>
              <w:jc w:val="center"/>
            </w:pPr>
            <w:r>
              <w:t>22</w:t>
            </w:r>
          </w:p>
        </w:tc>
        <w:tc>
          <w:tcPr>
            <w:tcW w:w="600" w:type="dxa"/>
            <w:tcBorders>
              <w:top w:val="single" w:sz="4" w:space="0" w:color="auto"/>
              <w:bottom w:val="nil"/>
            </w:tcBorders>
          </w:tcPr>
          <w:p w:rsidR="00E35632" w:rsidRDefault="00E35632">
            <w:pPr>
              <w:pStyle w:val="ConsPlusNormal"/>
              <w:jc w:val="center"/>
            </w:pPr>
            <w:r>
              <w:t>17</w:t>
            </w:r>
          </w:p>
        </w:tc>
        <w:tc>
          <w:tcPr>
            <w:tcW w:w="600" w:type="dxa"/>
            <w:tcBorders>
              <w:top w:val="single" w:sz="4" w:space="0" w:color="auto"/>
              <w:bottom w:val="nil"/>
            </w:tcBorders>
          </w:tcPr>
          <w:p w:rsidR="00E35632" w:rsidRDefault="00E35632">
            <w:pPr>
              <w:pStyle w:val="ConsPlusNormal"/>
              <w:jc w:val="center"/>
            </w:pPr>
            <w:r>
              <w:t>14</w:t>
            </w:r>
          </w:p>
        </w:tc>
        <w:tc>
          <w:tcPr>
            <w:tcW w:w="600" w:type="dxa"/>
            <w:tcBorders>
              <w:top w:val="single" w:sz="4" w:space="0" w:color="auto"/>
              <w:bottom w:val="nil"/>
            </w:tcBorders>
          </w:tcPr>
          <w:p w:rsidR="00E35632" w:rsidRDefault="00E35632">
            <w:pPr>
              <w:pStyle w:val="ConsPlusNormal"/>
              <w:jc w:val="center"/>
            </w:pPr>
            <w:r>
              <w:t>11</w:t>
            </w:r>
          </w:p>
        </w:tc>
        <w:tc>
          <w:tcPr>
            <w:tcW w:w="600" w:type="dxa"/>
            <w:tcBorders>
              <w:top w:val="single" w:sz="4" w:space="0" w:color="auto"/>
              <w:bottom w:val="nil"/>
            </w:tcBorders>
          </w:tcPr>
          <w:p w:rsidR="00E35632" w:rsidRDefault="00E35632">
            <w:pPr>
              <w:pStyle w:val="ConsPlusNormal"/>
              <w:jc w:val="center"/>
            </w:pPr>
            <w:r>
              <w:t>-</w:t>
            </w:r>
          </w:p>
        </w:tc>
        <w:tc>
          <w:tcPr>
            <w:tcW w:w="480" w:type="dxa"/>
            <w:tcBorders>
              <w:top w:val="single" w:sz="4" w:space="0" w:color="auto"/>
              <w:bottom w:val="nil"/>
            </w:tcBorders>
          </w:tcPr>
          <w:p w:rsidR="00E35632" w:rsidRDefault="00E35632">
            <w:pPr>
              <w:pStyle w:val="ConsPlusNormal"/>
              <w:jc w:val="center"/>
            </w:pPr>
            <w:r>
              <w:t>-</w:t>
            </w:r>
          </w:p>
        </w:tc>
        <w:tc>
          <w:tcPr>
            <w:tcW w:w="480" w:type="dxa"/>
            <w:tcBorders>
              <w:top w:val="single" w:sz="4" w:space="0" w:color="auto"/>
              <w:bottom w:val="nil"/>
            </w:tcBorders>
          </w:tcPr>
          <w:p w:rsidR="00E35632" w:rsidRDefault="00E35632">
            <w:pPr>
              <w:pStyle w:val="ConsPlusNormal"/>
              <w:jc w:val="center"/>
            </w:pPr>
            <w:r>
              <w:t>-</w:t>
            </w:r>
          </w:p>
        </w:tc>
        <w:tc>
          <w:tcPr>
            <w:tcW w:w="480" w:type="dxa"/>
            <w:tcBorders>
              <w:top w:val="single" w:sz="4" w:space="0" w:color="auto"/>
              <w:bottom w:val="nil"/>
            </w:tcBorders>
          </w:tcPr>
          <w:p w:rsidR="00E35632" w:rsidRDefault="00E35632">
            <w:pPr>
              <w:pStyle w:val="ConsPlusNormal"/>
              <w:jc w:val="center"/>
            </w:pPr>
            <w:r>
              <w:t>-</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716" w:type="dxa"/>
            <w:tcBorders>
              <w:top w:val="nil"/>
              <w:bottom w:val="nil"/>
            </w:tcBorders>
          </w:tcPr>
          <w:p w:rsidR="00E35632" w:rsidRDefault="00E35632">
            <w:pPr>
              <w:pStyle w:val="ConsPlusNormal"/>
              <w:jc w:val="center"/>
            </w:pPr>
            <w:r>
              <w:t xml:space="preserve">0,25 &lt; </w:t>
            </w:r>
            <w:r>
              <w:rPr>
                <w:i/>
              </w:rPr>
              <w:t>I</w:t>
            </w:r>
            <w:r>
              <w:rPr>
                <w:i/>
                <w:vertAlign w:val="subscript"/>
              </w:rPr>
              <w:t>L</w:t>
            </w:r>
            <w:r>
              <w:t xml:space="preserve"> &lt;= 0,5</w:t>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32</w:t>
            </w:r>
          </w:p>
        </w:tc>
        <w:tc>
          <w:tcPr>
            <w:tcW w:w="600" w:type="dxa"/>
            <w:tcBorders>
              <w:top w:val="nil"/>
              <w:bottom w:val="nil"/>
            </w:tcBorders>
          </w:tcPr>
          <w:p w:rsidR="00E35632" w:rsidRDefault="00E35632">
            <w:pPr>
              <w:pStyle w:val="ConsPlusNormal"/>
              <w:jc w:val="center"/>
            </w:pPr>
            <w:r>
              <w:t>25</w:t>
            </w:r>
          </w:p>
        </w:tc>
        <w:tc>
          <w:tcPr>
            <w:tcW w:w="600" w:type="dxa"/>
            <w:tcBorders>
              <w:top w:val="nil"/>
              <w:bottom w:val="nil"/>
            </w:tcBorders>
          </w:tcPr>
          <w:p w:rsidR="00E35632" w:rsidRDefault="00E35632">
            <w:pPr>
              <w:pStyle w:val="ConsPlusNormal"/>
              <w:jc w:val="center"/>
            </w:pPr>
            <w:r>
              <w:t>19</w:t>
            </w:r>
          </w:p>
        </w:tc>
        <w:tc>
          <w:tcPr>
            <w:tcW w:w="600" w:type="dxa"/>
            <w:tcBorders>
              <w:top w:val="nil"/>
              <w:bottom w:val="nil"/>
            </w:tcBorders>
          </w:tcPr>
          <w:p w:rsidR="00E35632" w:rsidRDefault="00E35632">
            <w:pPr>
              <w:pStyle w:val="ConsPlusNormal"/>
              <w:jc w:val="center"/>
            </w:pPr>
            <w:r>
              <w:t>14</w:t>
            </w:r>
          </w:p>
        </w:tc>
        <w:tc>
          <w:tcPr>
            <w:tcW w:w="600" w:type="dxa"/>
            <w:tcBorders>
              <w:top w:val="nil"/>
              <w:bottom w:val="nil"/>
            </w:tcBorders>
          </w:tcPr>
          <w:p w:rsidR="00E35632" w:rsidRDefault="00E35632">
            <w:pPr>
              <w:pStyle w:val="ConsPlusNormal"/>
              <w:jc w:val="center"/>
            </w:pPr>
            <w:r>
              <w:t>11</w:t>
            </w:r>
          </w:p>
        </w:tc>
        <w:tc>
          <w:tcPr>
            <w:tcW w:w="600" w:type="dxa"/>
            <w:tcBorders>
              <w:top w:val="nil"/>
              <w:bottom w:val="nil"/>
            </w:tcBorders>
          </w:tcPr>
          <w:p w:rsidR="00E35632" w:rsidRDefault="00E35632">
            <w:pPr>
              <w:pStyle w:val="ConsPlusNormal"/>
              <w:jc w:val="center"/>
            </w:pPr>
            <w:r>
              <w:t>8</w:t>
            </w:r>
          </w:p>
        </w:tc>
        <w:tc>
          <w:tcPr>
            <w:tcW w:w="600" w:type="dxa"/>
            <w:tcBorders>
              <w:top w:val="nil"/>
              <w:bottom w:val="nil"/>
            </w:tcBorders>
          </w:tcPr>
          <w:p w:rsidR="00E35632" w:rsidRDefault="00E35632">
            <w:pPr>
              <w:pStyle w:val="ConsPlusNormal"/>
              <w:jc w:val="center"/>
            </w:pPr>
            <w:r>
              <w:t>-</w:t>
            </w:r>
          </w:p>
        </w:tc>
        <w:tc>
          <w:tcPr>
            <w:tcW w:w="480" w:type="dxa"/>
            <w:tcBorders>
              <w:top w:val="nil"/>
              <w:bottom w:val="nil"/>
            </w:tcBorders>
          </w:tcPr>
          <w:p w:rsidR="00E35632" w:rsidRDefault="00E35632">
            <w:pPr>
              <w:pStyle w:val="ConsPlusNormal"/>
              <w:jc w:val="center"/>
            </w:pPr>
            <w:r>
              <w:t>-</w:t>
            </w:r>
          </w:p>
        </w:tc>
        <w:tc>
          <w:tcPr>
            <w:tcW w:w="480" w:type="dxa"/>
            <w:tcBorders>
              <w:top w:val="nil"/>
              <w:bottom w:val="nil"/>
            </w:tcBorders>
          </w:tcPr>
          <w:p w:rsidR="00E35632" w:rsidRDefault="00E35632">
            <w:pPr>
              <w:pStyle w:val="ConsPlusNormal"/>
              <w:jc w:val="center"/>
            </w:pPr>
            <w:r>
              <w:t>-</w:t>
            </w:r>
          </w:p>
        </w:tc>
        <w:tc>
          <w:tcPr>
            <w:tcW w:w="480" w:type="dxa"/>
            <w:tcBorders>
              <w:top w:val="nil"/>
              <w:bottom w:val="nil"/>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716" w:type="dxa"/>
            <w:tcBorders>
              <w:top w:val="nil"/>
              <w:bottom w:val="single" w:sz="4" w:space="0" w:color="auto"/>
            </w:tcBorders>
          </w:tcPr>
          <w:p w:rsidR="00E35632" w:rsidRDefault="00E35632">
            <w:pPr>
              <w:pStyle w:val="ConsPlusNormal"/>
              <w:jc w:val="center"/>
            </w:pPr>
            <w:r>
              <w:t xml:space="preserve">0,5 &lt; </w:t>
            </w:r>
            <w:r>
              <w:rPr>
                <w:i/>
              </w:rPr>
              <w:t>I</w:t>
            </w:r>
            <w:r>
              <w:rPr>
                <w:i/>
                <w:vertAlign w:val="subscript"/>
              </w:rPr>
              <w:t>L</w:t>
            </w:r>
            <w:r>
              <w:t xml:space="preserve"> &lt;= 0,75</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17</w:t>
            </w:r>
          </w:p>
        </w:tc>
        <w:tc>
          <w:tcPr>
            <w:tcW w:w="600" w:type="dxa"/>
            <w:tcBorders>
              <w:top w:val="nil"/>
              <w:bottom w:val="single" w:sz="4" w:space="0" w:color="auto"/>
            </w:tcBorders>
          </w:tcPr>
          <w:p w:rsidR="00E35632" w:rsidRDefault="00E35632">
            <w:pPr>
              <w:pStyle w:val="ConsPlusNormal"/>
              <w:jc w:val="center"/>
            </w:pPr>
            <w:r>
              <w:t>12</w:t>
            </w:r>
          </w:p>
        </w:tc>
        <w:tc>
          <w:tcPr>
            <w:tcW w:w="600" w:type="dxa"/>
            <w:tcBorders>
              <w:top w:val="nil"/>
              <w:bottom w:val="single" w:sz="4" w:space="0" w:color="auto"/>
            </w:tcBorders>
          </w:tcPr>
          <w:p w:rsidR="00E35632" w:rsidRDefault="00E35632">
            <w:pPr>
              <w:pStyle w:val="ConsPlusNormal"/>
              <w:jc w:val="center"/>
            </w:pPr>
            <w:r>
              <w:t>8</w:t>
            </w:r>
          </w:p>
        </w:tc>
        <w:tc>
          <w:tcPr>
            <w:tcW w:w="600" w:type="dxa"/>
            <w:tcBorders>
              <w:top w:val="nil"/>
              <w:bottom w:val="single" w:sz="4" w:space="0" w:color="auto"/>
            </w:tcBorders>
          </w:tcPr>
          <w:p w:rsidR="00E35632" w:rsidRDefault="00E35632">
            <w:pPr>
              <w:pStyle w:val="ConsPlusNormal"/>
              <w:jc w:val="center"/>
            </w:pPr>
            <w:r>
              <w:t>6</w:t>
            </w:r>
          </w:p>
        </w:tc>
        <w:tc>
          <w:tcPr>
            <w:tcW w:w="600" w:type="dxa"/>
            <w:tcBorders>
              <w:top w:val="nil"/>
              <w:bottom w:val="single" w:sz="4" w:space="0" w:color="auto"/>
            </w:tcBorders>
          </w:tcPr>
          <w:p w:rsidR="00E35632" w:rsidRDefault="00E35632">
            <w:pPr>
              <w:pStyle w:val="ConsPlusNormal"/>
              <w:jc w:val="center"/>
            </w:pPr>
            <w:r>
              <w:t>5</w:t>
            </w:r>
          </w:p>
        </w:tc>
        <w:tc>
          <w:tcPr>
            <w:tcW w:w="480" w:type="dxa"/>
            <w:tcBorders>
              <w:top w:val="nil"/>
              <w:bottom w:val="single" w:sz="4" w:space="0" w:color="auto"/>
            </w:tcBorders>
          </w:tcPr>
          <w:p w:rsidR="00E35632" w:rsidRDefault="00E35632">
            <w:pPr>
              <w:pStyle w:val="ConsPlusNormal"/>
              <w:jc w:val="center"/>
            </w:pPr>
            <w:r>
              <w:t>-</w:t>
            </w:r>
          </w:p>
        </w:tc>
        <w:tc>
          <w:tcPr>
            <w:tcW w:w="480" w:type="dxa"/>
            <w:tcBorders>
              <w:top w:val="nil"/>
              <w:bottom w:val="single" w:sz="4" w:space="0" w:color="auto"/>
            </w:tcBorders>
          </w:tcPr>
          <w:p w:rsidR="00E35632" w:rsidRDefault="00E35632">
            <w:pPr>
              <w:pStyle w:val="ConsPlusNormal"/>
              <w:jc w:val="center"/>
            </w:pPr>
            <w:r>
              <w:t>-</w:t>
            </w:r>
          </w:p>
        </w:tc>
        <w:tc>
          <w:tcPr>
            <w:tcW w:w="480" w:type="dxa"/>
            <w:tcBorders>
              <w:top w:val="nil"/>
              <w:bottom w:val="single" w:sz="4" w:space="0" w:color="auto"/>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142" w:type="dxa"/>
            <w:vMerge w:val="restart"/>
            <w:tcBorders>
              <w:top w:val="single" w:sz="4" w:space="0" w:color="auto"/>
              <w:bottom w:val="single" w:sz="4" w:space="0" w:color="auto"/>
            </w:tcBorders>
          </w:tcPr>
          <w:p w:rsidR="00E35632" w:rsidRDefault="00E35632">
            <w:pPr>
              <w:pStyle w:val="ConsPlusNormal"/>
            </w:pPr>
            <w:r>
              <w:t>Глины</w:t>
            </w:r>
          </w:p>
        </w:tc>
        <w:tc>
          <w:tcPr>
            <w:tcW w:w="1716" w:type="dxa"/>
            <w:tcBorders>
              <w:top w:val="single" w:sz="4" w:space="0" w:color="auto"/>
              <w:bottom w:val="nil"/>
            </w:tcBorders>
          </w:tcPr>
          <w:p w:rsidR="00E35632" w:rsidRDefault="00E35632">
            <w:pPr>
              <w:pStyle w:val="ConsPlusNormal"/>
              <w:jc w:val="center"/>
            </w:pPr>
            <w:r>
              <w:t xml:space="preserve">0 &lt;= </w:t>
            </w:r>
            <w:r>
              <w:rPr>
                <w:i/>
              </w:rPr>
              <w:t>I</w:t>
            </w:r>
            <w:r>
              <w:rPr>
                <w:i/>
                <w:vertAlign w:val="subscript"/>
              </w:rPr>
              <w:t>L</w:t>
            </w:r>
            <w:r>
              <w:t xml:space="preserve"> &lt;= 0,25</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28</w:t>
            </w:r>
          </w:p>
        </w:tc>
        <w:tc>
          <w:tcPr>
            <w:tcW w:w="600" w:type="dxa"/>
            <w:tcBorders>
              <w:top w:val="single" w:sz="4" w:space="0" w:color="auto"/>
              <w:bottom w:val="nil"/>
            </w:tcBorders>
          </w:tcPr>
          <w:p w:rsidR="00E35632" w:rsidRDefault="00E35632">
            <w:pPr>
              <w:pStyle w:val="ConsPlusNormal"/>
              <w:jc w:val="center"/>
            </w:pPr>
            <w:r>
              <w:t>24</w:t>
            </w:r>
          </w:p>
        </w:tc>
        <w:tc>
          <w:tcPr>
            <w:tcW w:w="600" w:type="dxa"/>
            <w:tcBorders>
              <w:top w:val="single" w:sz="4" w:space="0" w:color="auto"/>
              <w:bottom w:val="nil"/>
            </w:tcBorders>
          </w:tcPr>
          <w:p w:rsidR="00E35632" w:rsidRDefault="00E35632">
            <w:pPr>
              <w:pStyle w:val="ConsPlusNormal"/>
              <w:jc w:val="center"/>
            </w:pPr>
            <w:r>
              <w:t>21</w:t>
            </w:r>
          </w:p>
        </w:tc>
        <w:tc>
          <w:tcPr>
            <w:tcW w:w="600" w:type="dxa"/>
            <w:tcBorders>
              <w:top w:val="single" w:sz="4" w:space="0" w:color="auto"/>
              <w:bottom w:val="nil"/>
            </w:tcBorders>
          </w:tcPr>
          <w:p w:rsidR="00E35632" w:rsidRDefault="00E35632">
            <w:pPr>
              <w:pStyle w:val="ConsPlusNormal"/>
              <w:jc w:val="center"/>
            </w:pPr>
            <w:r>
              <w:t>18</w:t>
            </w:r>
          </w:p>
        </w:tc>
        <w:tc>
          <w:tcPr>
            <w:tcW w:w="600" w:type="dxa"/>
            <w:tcBorders>
              <w:top w:val="single" w:sz="4" w:space="0" w:color="auto"/>
              <w:bottom w:val="nil"/>
            </w:tcBorders>
          </w:tcPr>
          <w:p w:rsidR="00E35632" w:rsidRDefault="00E35632">
            <w:pPr>
              <w:pStyle w:val="ConsPlusNormal"/>
              <w:jc w:val="center"/>
            </w:pPr>
            <w:r>
              <w:t>15</w:t>
            </w:r>
          </w:p>
        </w:tc>
        <w:tc>
          <w:tcPr>
            <w:tcW w:w="600" w:type="dxa"/>
            <w:tcBorders>
              <w:top w:val="single" w:sz="4" w:space="0" w:color="auto"/>
              <w:bottom w:val="nil"/>
            </w:tcBorders>
          </w:tcPr>
          <w:p w:rsidR="00E35632" w:rsidRDefault="00E35632">
            <w:pPr>
              <w:pStyle w:val="ConsPlusNormal"/>
              <w:jc w:val="center"/>
            </w:pPr>
            <w:r>
              <w:t>12</w:t>
            </w:r>
          </w:p>
        </w:tc>
        <w:tc>
          <w:tcPr>
            <w:tcW w:w="480" w:type="dxa"/>
            <w:tcBorders>
              <w:top w:val="single" w:sz="4" w:space="0" w:color="auto"/>
              <w:bottom w:val="nil"/>
            </w:tcBorders>
          </w:tcPr>
          <w:p w:rsidR="00E35632" w:rsidRDefault="00E35632">
            <w:pPr>
              <w:pStyle w:val="ConsPlusNormal"/>
              <w:jc w:val="center"/>
            </w:pPr>
            <w:r>
              <w:t>-</w:t>
            </w:r>
          </w:p>
        </w:tc>
        <w:tc>
          <w:tcPr>
            <w:tcW w:w="480" w:type="dxa"/>
            <w:tcBorders>
              <w:top w:val="single" w:sz="4" w:space="0" w:color="auto"/>
              <w:bottom w:val="nil"/>
            </w:tcBorders>
          </w:tcPr>
          <w:p w:rsidR="00E35632" w:rsidRDefault="00E35632">
            <w:pPr>
              <w:pStyle w:val="ConsPlusNormal"/>
              <w:jc w:val="center"/>
            </w:pPr>
            <w:r>
              <w:t>-</w:t>
            </w:r>
          </w:p>
        </w:tc>
        <w:tc>
          <w:tcPr>
            <w:tcW w:w="480" w:type="dxa"/>
            <w:tcBorders>
              <w:top w:val="single" w:sz="4" w:space="0" w:color="auto"/>
              <w:bottom w:val="nil"/>
            </w:tcBorders>
          </w:tcPr>
          <w:p w:rsidR="00E35632" w:rsidRDefault="00E35632">
            <w:pPr>
              <w:pStyle w:val="ConsPlusNormal"/>
              <w:jc w:val="center"/>
            </w:pPr>
            <w:r>
              <w:t>-</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716" w:type="dxa"/>
            <w:tcBorders>
              <w:top w:val="nil"/>
              <w:bottom w:val="nil"/>
            </w:tcBorders>
          </w:tcPr>
          <w:p w:rsidR="00E35632" w:rsidRDefault="00E35632">
            <w:pPr>
              <w:pStyle w:val="ConsPlusNormal"/>
              <w:jc w:val="center"/>
            </w:pPr>
            <w:r>
              <w:t xml:space="preserve">0,25 &lt; </w:t>
            </w:r>
            <w:r>
              <w:rPr>
                <w:i/>
              </w:rPr>
              <w:t>I</w:t>
            </w:r>
            <w:r>
              <w:rPr>
                <w:i/>
                <w:vertAlign w:val="subscript"/>
              </w:rPr>
              <w:t>L</w:t>
            </w:r>
            <w:r>
              <w:t xml:space="preserve"> &lt;= 0,5</w:t>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21</w:t>
            </w:r>
          </w:p>
        </w:tc>
        <w:tc>
          <w:tcPr>
            <w:tcW w:w="600" w:type="dxa"/>
            <w:tcBorders>
              <w:top w:val="nil"/>
              <w:bottom w:val="nil"/>
            </w:tcBorders>
          </w:tcPr>
          <w:p w:rsidR="00E35632" w:rsidRDefault="00E35632">
            <w:pPr>
              <w:pStyle w:val="ConsPlusNormal"/>
              <w:jc w:val="center"/>
            </w:pPr>
            <w:r>
              <w:t>18</w:t>
            </w:r>
          </w:p>
        </w:tc>
        <w:tc>
          <w:tcPr>
            <w:tcW w:w="600" w:type="dxa"/>
            <w:tcBorders>
              <w:top w:val="nil"/>
              <w:bottom w:val="nil"/>
            </w:tcBorders>
          </w:tcPr>
          <w:p w:rsidR="00E35632" w:rsidRDefault="00E35632">
            <w:pPr>
              <w:pStyle w:val="ConsPlusNormal"/>
              <w:jc w:val="center"/>
            </w:pPr>
            <w:r>
              <w:t>15</w:t>
            </w:r>
          </w:p>
        </w:tc>
        <w:tc>
          <w:tcPr>
            <w:tcW w:w="600" w:type="dxa"/>
            <w:tcBorders>
              <w:top w:val="nil"/>
              <w:bottom w:val="nil"/>
            </w:tcBorders>
          </w:tcPr>
          <w:p w:rsidR="00E35632" w:rsidRDefault="00E35632">
            <w:pPr>
              <w:pStyle w:val="ConsPlusNormal"/>
              <w:jc w:val="center"/>
            </w:pPr>
            <w:r>
              <w:t>12</w:t>
            </w:r>
          </w:p>
        </w:tc>
        <w:tc>
          <w:tcPr>
            <w:tcW w:w="600" w:type="dxa"/>
            <w:tcBorders>
              <w:top w:val="nil"/>
              <w:bottom w:val="nil"/>
            </w:tcBorders>
          </w:tcPr>
          <w:p w:rsidR="00E35632" w:rsidRDefault="00E35632">
            <w:pPr>
              <w:pStyle w:val="ConsPlusNormal"/>
              <w:jc w:val="center"/>
            </w:pPr>
            <w:r>
              <w:t>9</w:t>
            </w:r>
          </w:p>
        </w:tc>
        <w:tc>
          <w:tcPr>
            <w:tcW w:w="480" w:type="dxa"/>
            <w:tcBorders>
              <w:top w:val="nil"/>
              <w:bottom w:val="nil"/>
            </w:tcBorders>
          </w:tcPr>
          <w:p w:rsidR="00E35632" w:rsidRDefault="00E35632">
            <w:pPr>
              <w:pStyle w:val="ConsPlusNormal"/>
              <w:jc w:val="center"/>
            </w:pPr>
            <w:r>
              <w:t>-</w:t>
            </w:r>
          </w:p>
        </w:tc>
        <w:tc>
          <w:tcPr>
            <w:tcW w:w="480" w:type="dxa"/>
            <w:tcBorders>
              <w:top w:val="nil"/>
              <w:bottom w:val="nil"/>
            </w:tcBorders>
          </w:tcPr>
          <w:p w:rsidR="00E35632" w:rsidRDefault="00E35632">
            <w:pPr>
              <w:pStyle w:val="ConsPlusNormal"/>
              <w:jc w:val="center"/>
            </w:pPr>
            <w:r>
              <w:t>-</w:t>
            </w:r>
          </w:p>
        </w:tc>
        <w:tc>
          <w:tcPr>
            <w:tcW w:w="480" w:type="dxa"/>
            <w:tcBorders>
              <w:top w:val="nil"/>
              <w:bottom w:val="nil"/>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716" w:type="dxa"/>
            <w:tcBorders>
              <w:top w:val="nil"/>
              <w:bottom w:val="single" w:sz="4" w:space="0" w:color="auto"/>
            </w:tcBorders>
          </w:tcPr>
          <w:p w:rsidR="00E35632" w:rsidRDefault="00E35632">
            <w:pPr>
              <w:pStyle w:val="ConsPlusNormal"/>
              <w:jc w:val="center"/>
            </w:pPr>
            <w:r>
              <w:t xml:space="preserve">0,5 &lt; </w:t>
            </w:r>
            <w:r>
              <w:rPr>
                <w:i/>
              </w:rPr>
              <w:t>I</w:t>
            </w:r>
            <w:r>
              <w:rPr>
                <w:i/>
                <w:vertAlign w:val="subscript"/>
              </w:rPr>
              <w:t>L</w:t>
            </w:r>
            <w:r>
              <w:t xml:space="preserve"> &lt;= 0,75</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15</w:t>
            </w:r>
          </w:p>
        </w:tc>
        <w:tc>
          <w:tcPr>
            <w:tcW w:w="600" w:type="dxa"/>
            <w:tcBorders>
              <w:top w:val="nil"/>
              <w:bottom w:val="single" w:sz="4" w:space="0" w:color="auto"/>
            </w:tcBorders>
          </w:tcPr>
          <w:p w:rsidR="00E35632" w:rsidRDefault="00E35632">
            <w:pPr>
              <w:pStyle w:val="ConsPlusNormal"/>
              <w:jc w:val="center"/>
            </w:pPr>
            <w:r>
              <w:t>12</w:t>
            </w:r>
          </w:p>
        </w:tc>
        <w:tc>
          <w:tcPr>
            <w:tcW w:w="600" w:type="dxa"/>
            <w:tcBorders>
              <w:top w:val="nil"/>
              <w:bottom w:val="single" w:sz="4" w:space="0" w:color="auto"/>
            </w:tcBorders>
          </w:tcPr>
          <w:p w:rsidR="00E35632" w:rsidRDefault="00E35632">
            <w:pPr>
              <w:pStyle w:val="ConsPlusNormal"/>
              <w:jc w:val="center"/>
            </w:pPr>
            <w:r>
              <w:t>9</w:t>
            </w:r>
          </w:p>
        </w:tc>
        <w:tc>
          <w:tcPr>
            <w:tcW w:w="600" w:type="dxa"/>
            <w:tcBorders>
              <w:top w:val="nil"/>
              <w:bottom w:val="single" w:sz="4" w:space="0" w:color="auto"/>
            </w:tcBorders>
          </w:tcPr>
          <w:p w:rsidR="00E35632" w:rsidRDefault="00E35632">
            <w:pPr>
              <w:pStyle w:val="ConsPlusNormal"/>
              <w:jc w:val="center"/>
            </w:pPr>
            <w:r>
              <w:t>7</w:t>
            </w:r>
          </w:p>
        </w:tc>
        <w:tc>
          <w:tcPr>
            <w:tcW w:w="480" w:type="dxa"/>
            <w:tcBorders>
              <w:top w:val="nil"/>
              <w:bottom w:val="single" w:sz="4" w:space="0" w:color="auto"/>
            </w:tcBorders>
          </w:tcPr>
          <w:p w:rsidR="00E35632" w:rsidRDefault="00E35632">
            <w:pPr>
              <w:pStyle w:val="ConsPlusNormal"/>
              <w:jc w:val="center"/>
            </w:pPr>
            <w:r>
              <w:t>-</w:t>
            </w:r>
          </w:p>
        </w:tc>
        <w:tc>
          <w:tcPr>
            <w:tcW w:w="480" w:type="dxa"/>
            <w:tcBorders>
              <w:top w:val="nil"/>
              <w:bottom w:val="single" w:sz="4" w:space="0" w:color="auto"/>
            </w:tcBorders>
          </w:tcPr>
          <w:p w:rsidR="00E35632" w:rsidRDefault="00E35632">
            <w:pPr>
              <w:pStyle w:val="ConsPlusNormal"/>
              <w:jc w:val="center"/>
            </w:pPr>
            <w:r>
              <w:t>-</w:t>
            </w:r>
          </w:p>
        </w:tc>
        <w:tc>
          <w:tcPr>
            <w:tcW w:w="480" w:type="dxa"/>
            <w:tcBorders>
              <w:top w:val="nil"/>
              <w:bottom w:val="single" w:sz="4" w:space="0" w:color="auto"/>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762" w:type="dxa"/>
            <w:vMerge w:val="restart"/>
            <w:tcBorders>
              <w:top w:val="single" w:sz="4" w:space="0" w:color="auto"/>
              <w:bottom w:val="single" w:sz="4" w:space="0" w:color="auto"/>
            </w:tcBorders>
          </w:tcPr>
          <w:p w:rsidR="00E35632" w:rsidRDefault="00E35632">
            <w:pPr>
              <w:pStyle w:val="ConsPlusNormal"/>
            </w:pPr>
            <w:r>
              <w:t>Флювио-гляциальные</w:t>
            </w:r>
          </w:p>
        </w:tc>
        <w:tc>
          <w:tcPr>
            <w:tcW w:w="1142" w:type="dxa"/>
            <w:tcBorders>
              <w:top w:val="single" w:sz="4" w:space="0" w:color="auto"/>
              <w:bottom w:val="single" w:sz="4" w:space="0" w:color="auto"/>
            </w:tcBorders>
          </w:tcPr>
          <w:p w:rsidR="00E35632" w:rsidRDefault="00E35632">
            <w:pPr>
              <w:pStyle w:val="ConsPlusNormal"/>
            </w:pPr>
            <w:r>
              <w:t>Супеси</w:t>
            </w:r>
          </w:p>
        </w:tc>
        <w:tc>
          <w:tcPr>
            <w:tcW w:w="1716" w:type="dxa"/>
            <w:tcBorders>
              <w:top w:val="single" w:sz="4" w:space="0" w:color="auto"/>
              <w:bottom w:val="single" w:sz="4" w:space="0" w:color="auto"/>
            </w:tcBorders>
          </w:tcPr>
          <w:p w:rsidR="00E35632" w:rsidRDefault="00E35632">
            <w:pPr>
              <w:pStyle w:val="ConsPlusNormal"/>
              <w:jc w:val="center"/>
            </w:pPr>
            <w:r>
              <w:t xml:space="preserve">0 &lt;= </w:t>
            </w:r>
            <w:r>
              <w:rPr>
                <w:i/>
              </w:rPr>
              <w:t>I</w:t>
            </w:r>
            <w:r>
              <w:rPr>
                <w:i/>
                <w:vertAlign w:val="subscript"/>
              </w:rPr>
              <w:t>L</w:t>
            </w:r>
            <w:r>
              <w:t xml:space="preserve"> &lt;= 0,75</w:t>
            </w:r>
          </w:p>
        </w:tc>
        <w:tc>
          <w:tcPr>
            <w:tcW w:w="600" w:type="dxa"/>
            <w:tcBorders>
              <w:top w:val="single" w:sz="4" w:space="0" w:color="auto"/>
              <w:bottom w:val="single" w:sz="4" w:space="0" w:color="auto"/>
            </w:tcBorders>
          </w:tcPr>
          <w:p w:rsidR="00E35632" w:rsidRDefault="00E35632">
            <w:pPr>
              <w:pStyle w:val="ConsPlusNormal"/>
              <w:jc w:val="center"/>
            </w:pPr>
            <w:r>
              <w:t>-</w:t>
            </w:r>
          </w:p>
        </w:tc>
        <w:tc>
          <w:tcPr>
            <w:tcW w:w="600" w:type="dxa"/>
            <w:tcBorders>
              <w:top w:val="single" w:sz="4" w:space="0" w:color="auto"/>
              <w:bottom w:val="single" w:sz="4" w:space="0" w:color="auto"/>
            </w:tcBorders>
          </w:tcPr>
          <w:p w:rsidR="00E35632" w:rsidRDefault="00E35632">
            <w:pPr>
              <w:pStyle w:val="ConsPlusNormal"/>
              <w:jc w:val="center"/>
            </w:pPr>
            <w:r>
              <w:t>33</w:t>
            </w:r>
          </w:p>
        </w:tc>
        <w:tc>
          <w:tcPr>
            <w:tcW w:w="600" w:type="dxa"/>
            <w:tcBorders>
              <w:top w:val="single" w:sz="4" w:space="0" w:color="auto"/>
              <w:bottom w:val="single" w:sz="4" w:space="0" w:color="auto"/>
            </w:tcBorders>
          </w:tcPr>
          <w:p w:rsidR="00E35632" w:rsidRDefault="00E35632">
            <w:pPr>
              <w:pStyle w:val="ConsPlusNormal"/>
              <w:jc w:val="center"/>
            </w:pPr>
            <w:r>
              <w:t>24</w:t>
            </w:r>
          </w:p>
        </w:tc>
        <w:tc>
          <w:tcPr>
            <w:tcW w:w="600" w:type="dxa"/>
            <w:tcBorders>
              <w:top w:val="single" w:sz="4" w:space="0" w:color="auto"/>
              <w:bottom w:val="single" w:sz="4" w:space="0" w:color="auto"/>
            </w:tcBorders>
          </w:tcPr>
          <w:p w:rsidR="00E35632" w:rsidRDefault="00E35632">
            <w:pPr>
              <w:pStyle w:val="ConsPlusNormal"/>
              <w:jc w:val="center"/>
            </w:pPr>
            <w:r>
              <w:t>17</w:t>
            </w:r>
          </w:p>
        </w:tc>
        <w:tc>
          <w:tcPr>
            <w:tcW w:w="600" w:type="dxa"/>
            <w:tcBorders>
              <w:top w:val="single" w:sz="4" w:space="0" w:color="auto"/>
              <w:bottom w:val="single" w:sz="4" w:space="0" w:color="auto"/>
            </w:tcBorders>
          </w:tcPr>
          <w:p w:rsidR="00E35632" w:rsidRDefault="00E35632">
            <w:pPr>
              <w:pStyle w:val="ConsPlusNormal"/>
              <w:jc w:val="center"/>
            </w:pPr>
            <w:r>
              <w:t>11</w:t>
            </w:r>
          </w:p>
        </w:tc>
        <w:tc>
          <w:tcPr>
            <w:tcW w:w="600" w:type="dxa"/>
            <w:tcBorders>
              <w:top w:val="single" w:sz="4" w:space="0" w:color="auto"/>
              <w:bottom w:val="single" w:sz="4" w:space="0" w:color="auto"/>
            </w:tcBorders>
          </w:tcPr>
          <w:p w:rsidR="00E35632" w:rsidRDefault="00E35632">
            <w:pPr>
              <w:pStyle w:val="ConsPlusNormal"/>
              <w:jc w:val="center"/>
            </w:pPr>
            <w:r>
              <w:t>7</w:t>
            </w:r>
          </w:p>
        </w:tc>
        <w:tc>
          <w:tcPr>
            <w:tcW w:w="600" w:type="dxa"/>
            <w:tcBorders>
              <w:top w:val="single" w:sz="4" w:space="0" w:color="auto"/>
              <w:bottom w:val="single" w:sz="4" w:space="0" w:color="auto"/>
            </w:tcBorders>
          </w:tcPr>
          <w:p w:rsidR="00E35632" w:rsidRDefault="00E35632">
            <w:pPr>
              <w:pStyle w:val="ConsPlusNormal"/>
              <w:jc w:val="center"/>
            </w:pPr>
            <w:r>
              <w:t>-</w:t>
            </w:r>
          </w:p>
        </w:tc>
        <w:tc>
          <w:tcPr>
            <w:tcW w:w="600" w:type="dxa"/>
            <w:tcBorders>
              <w:top w:val="single" w:sz="4" w:space="0" w:color="auto"/>
              <w:bottom w:val="single" w:sz="4" w:space="0" w:color="auto"/>
            </w:tcBorders>
          </w:tcPr>
          <w:p w:rsidR="00E35632" w:rsidRDefault="00E35632">
            <w:pPr>
              <w:pStyle w:val="ConsPlusNormal"/>
              <w:jc w:val="center"/>
            </w:pPr>
            <w:r>
              <w:t>-</w:t>
            </w:r>
          </w:p>
        </w:tc>
        <w:tc>
          <w:tcPr>
            <w:tcW w:w="480" w:type="dxa"/>
            <w:tcBorders>
              <w:top w:val="single" w:sz="4" w:space="0" w:color="auto"/>
              <w:bottom w:val="single" w:sz="4" w:space="0" w:color="auto"/>
            </w:tcBorders>
          </w:tcPr>
          <w:p w:rsidR="00E35632" w:rsidRDefault="00E35632">
            <w:pPr>
              <w:pStyle w:val="ConsPlusNormal"/>
              <w:jc w:val="center"/>
            </w:pPr>
            <w:r>
              <w:t>-</w:t>
            </w:r>
          </w:p>
        </w:tc>
        <w:tc>
          <w:tcPr>
            <w:tcW w:w="480" w:type="dxa"/>
            <w:tcBorders>
              <w:top w:val="single" w:sz="4" w:space="0" w:color="auto"/>
              <w:bottom w:val="single" w:sz="4" w:space="0" w:color="auto"/>
            </w:tcBorders>
          </w:tcPr>
          <w:p w:rsidR="00E35632" w:rsidRDefault="00E35632">
            <w:pPr>
              <w:pStyle w:val="ConsPlusNormal"/>
              <w:jc w:val="center"/>
            </w:pPr>
            <w:r>
              <w:t>-</w:t>
            </w:r>
          </w:p>
        </w:tc>
        <w:tc>
          <w:tcPr>
            <w:tcW w:w="480" w:type="dxa"/>
            <w:tcBorders>
              <w:top w:val="single" w:sz="4" w:space="0" w:color="auto"/>
              <w:bottom w:val="single" w:sz="4" w:space="0" w:color="auto"/>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142" w:type="dxa"/>
            <w:vMerge w:val="restart"/>
            <w:tcBorders>
              <w:top w:val="single" w:sz="4" w:space="0" w:color="auto"/>
              <w:bottom w:val="single" w:sz="4" w:space="0" w:color="auto"/>
            </w:tcBorders>
          </w:tcPr>
          <w:p w:rsidR="00E35632" w:rsidRDefault="00E35632">
            <w:pPr>
              <w:pStyle w:val="ConsPlusNormal"/>
            </w:pPr>
            <w:r>
              <w:t>Суглинки</w:t>
            </w:r>
          </w:p>
        </w:tc>
        <w:tc>
          <w:tcPr>
            <w:tcW w:w="1716" w:type="dxa"/>
            <w:tcBorders>
              <w:top w:val="single" w:sz="4" w:space="0" w:color="auto"/>
              <w:bottom w:val="nil"/>
            </w:tcBorders>
          </w:tcPr>
          <w:p w:rsidR="00E35632" w:rsidRDefault="00E35632">
            <w:pPr>
              <w:pStyle w:val="ConsPlusNormal"/>
              <w:jc w:val="center"/>
            </w:pPr>
            <w:r>
              <w:t xml:space="preserve">0 &lt;= </w:t>
            </w:r>
            <w:r>
              <w:rPr>
                <w:i/>
              </w:rPr>
              <w:t>I</w:t>
            </w:r>
            <w:r>
              <w:rPr>
                <w:i/>
                <w:vertAlign w:val="subscript"/>
              </w:rPr>
              <w:t>L</w:t>
            </w:r>
            <w:r>
              <w:t xml:space="preserve"> &lt;= 0,25</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40</w:t>
            </w:r>
          </w:p>
        </w:tc>
        <w:tc>
          <w:tcPr>
            <w:tcW w:w="600" w:type="dxa"/>
            <w:tcBorders>
              <w:top w:val="single" w:sz="4" w:space="0" w:color="auto"/>
              <w:bottom w:val="nil"/>
            </w:tcBorders>
          </w:tcPr>
          <w:p w:rsidR="00E35632" w:rsidRDefault="00E35632">
            <w:pPr>
              <w:pStyle w:val="ConsPlusNormal"/>
              <w:jc w:val="center"/>
            </w:pPr>
            <w:r>
              <w:t>33</w:t>
            </w:r>
          </w:p>
        </w:tc>
        <w:tc>
          <w:tcPr>
            <w:tcW w:w="600" w:type="dxa"/>
            <w:tcBorders>
              <w:top w:val="single" w:sz="4" w:space="0" w:color="auto"/>
              <w:bottom w:val="nil"/>
            </w:tcBorders>
          </w:tcPr>
          <w:p w:rsidR="00E35632" w:rsidRDefault="00E35632">
            <w:pPr>
              <w:pStyle w:val="ConsPlusNormal"/>
              <w:jc w:val="center"/>
            </w:pPr>
            <w:r>
              <w:t>27</w:t>
            </w:r>
          </w:p>
        </w:tc>
        <w:tc>
          <w:tcPr>
            <w:tcW w:w="600" w:type="dxa"/>
            <w:tcBorders>
              <w:top w:val="single" w:sz="4" w:space="0" w:color="auto"/>
              <w:bottom w:val="nil"/>
            </w:tcBorders>
          </w:tcPr>
          <w:p w:rsidR="00E35632" w:rsidRDefault="00E35632">
            <w:pPr>
              <w:pStyle w:val="ConsPlusNormal"/>
              <w:jc w:val="center"/>
            </w:pPr>
            <w:r>
              <w:t>21</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w:t>
            </w:r>
          </w:p>
        </w:tc>
        <w:tc>
          <w:tcPr>
            <w:tcW w:w="480" w:type="dxa"/>
            <w:tcBorders>
              <w:top w:val="single" w:sz="4" w:space="0" w:color="auto"/>
              <w:bottom w:val="nil"/>
            </w:tcBorders>
          </w:tcPr>
          <w:p w:rsidR="00E35632" w:rsidRDefault="00E35632">
            <w:pPr>
              <w:pStyle w:val="ConsPlusNormal"/>
              <w:jc w:val="center"/>
            </w:pPr>
            <w:r>
              <w:t>-</w:t>
            </w:r>
          </w:p>
        </w:tc>
        <w:tc>
          <w:tcPr>
            <w:tcW w:w="480" w:type="dxa"/>
            <w:tcBorders>
              <w:top w:val="single" w:sz="4" w:space="0" w:color="auto"/>
              <w:bottom w:val="nil"/>
            </w:tcBorders>
          </w:tcPr>
          <w:p w:rsidR="00E35632" w:rsidRDefault="00E35632">
            <w:pPr>
              <w:pStyle w:val="ConsPlusNormal"/>
              <w:jc w:val="center"/>
            </w:pPr>
            <w:r>
              <w:t>-</w:t>
            </w:r>
          </w:p>
        </w:tc>
        <w:tc>
          <w:tcPr>
            <w:tcW w:w="480" w:type="dxa"/>
            <w:tcBorders>
              <w:top w:val="single" w:sz="4" w:space="0" w:color="auto"/>
              <w:bottom w:val="nil"/>
            </w:tcBorders>
          </w:tcPr>
          <w:p w:rsidR="00E35632" w:rsidRDefault="00E35632">
            <w:pPr>
              <w:pStyle w:val="ConsPlusNormal"/>
              <w:jc w:val="center"/>
            </w:pPr>
            <w:r>
              <w:t>-</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716" w:type="dxa"/>
            <w:tcBorders>
              <w:top w:val="nil"/>
              <w:bottom w:val="nil"/>
            </w:tcBorders>
          </w:tcPr>
          <w:p w:rsidR="00E35632" w:rsidRDefault="00E35632">
            <w:pPr>
              <w:pStyle w:val="ConsPlusNormal"/>
              <w:jc w:val="center"/>
            </w:pPr>
            <w:r>
              <w:t xml:space="preserve">0,25 &lt; </w:t>
            </w:r>
            <w:r>
              <w:rPr>
                <w:i/>
              </w:rPr>
              <w:t>I</w:t>
            </w:r>
            <w:r>
              <w:rPr>
                <w:i/>
                <w:vertAlign w:val="subscript"/>
              </w:rPr>
              <w:t>L</w:t>
            </w:r>
            <w:r>
              <w:t xml:space="preserve"> &lt;= 0,5</w:t>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35</w:t>
            </w:r>
          </w:p>
        </w:tc>
        <w:tc>
          <w:tcPr>
            <w:tcW w:w="600" w:type="dxa"/>
            <w:tcBorders>
              <w:top w:val="nil"/>
              <w:bottom w:val="nil"/>
            </w:tcBorders>
          </w:tcPr>
          <w:p w:rsidR="00E35632" w:rsidRDefault="00E35632">
            <w:pPr>
              <w:pStyle w:val="ConsPlusNormal"/>
              <w:jc w:val="center"/>
            </w:pPr>
            <w:r>
              <w:t>28</w:t>
            </w:r>
          </w:p>
        </w:tc>
        <w:tc>
          <w:tcPr>
            <w:tcW w:w="600" w:type="dxa"/>
            <w:tcBorders>
              <w:top w:val="nil"/>
              <w:bottom w:val="nil"/>
            </w:tcBorders>
          </w:tcPr>
          <w:p w:rsidR="00E35632" w:rsidRDefault="00E35632">
            <w:pPr>
              <w:pStyle w:val="ConsPlusNormal"/>
              <w:jc w:val="center"/>
            </w:pPr>
            <w:r>
              <w:t>22</w:t>
            </w:r>
          </w:p>
        </w:tc>
        <w:tc>
          <w:tcPr>
            <w:tcW w:w="600" w:type="dxa"/>
            <w:tcBorders>
              <w:top w:val="nil"/>
              <w:bottom w:val="nil"/>
            </w:tcBorders>
          </w:tcPr>
          <w:p w:rsidR="00E35632" w:rsidRDefault="00E35632">
            <w:pPr>
              <w:pStyle w:val="ConsPlusNormal"/>
              <w:jc w:val="center"/>
            </w:pPr>
            <w:r>
              <w:t>17</w:t>
            </w:r>
          </w:p>
        </w:tc>
        <w:tc>
          <w:tcPr>
            <w:tcW w:w="600" w:type="dxa"/>
            <w:tcBorders>
              <w:top w:val="nil"/>
              <w:bottom w:val="nil"/>
            </w:tcBorders>
          </w:tcPr>
          <w:p w:rsidR="00E35632" w:rsidRDefault="00E35632">
            <w:pPr>
              <w:pStyle w:val="ConsPlusNormal"/>
              <w:jc w:val="center"/>
            </w:pPr>
            <w:r>
              <w:t>14</w:t>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w:t>
            </w:r>
          </w:p>
        </w:tc>
        <w:tc>
          <w:tcPr>
            <w:tcW w:w="480" w:type="dxa"/>
            <w:tcBorders>
              <w:top w:val="nil"/>
              <w:bottom w:val="nil"/>
            </w:tcBorders>
          </w:tcPr>
          <w:p w:rsidR="00E35632" w:rsidRDefault="00E35632">
            <w:pPr>
              <w:pStyle w:val="ConsPlusNormal"/>
              <w:jc w:val="center"/>
            </w:pPr>
            <w:r>
              <w:t>-</w:t>
            </w:r>
          </w:p>
        </w:tc>
        <w:tc>
          <w:tcPr>
            <w:tcW w:w="480" w:type="dxa"/>
            <w:tcBorders>
              <w:top w:val="nil"/>
              <w:bottom w:val="nil"/>
            </w:tcBorders>
          </w:tcPr>
          <w:p w:rsidR="00E35632" w:rsidRDefault="00E35632">
            <w:pPr>
              <w:pStyle w:val="ConsPlusNormal"/>
              <w:jc w:val="center"/>
            </w:pPr>
            <w:r>
              <w:t>-</w:t>
            </w:r>
          </w:p>
        </w:tc>
        <w:tc>
          <w:tcPr>
            <w:tcW w:w="480" w:type="dxa"/>
            <w:tcBorders>
              <w:top w:val="nil"/>
              <w:bottom w:val="nil"/>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716" w:type="dxa"/>
            <w:tcBorders>
              <w:top w:val="nil"/>
              <w:bottom w:val="single" w:sz="4" w:space="0" w:color="auto"/>
            </w:tcBorders>
          </w:tcPr>
          <w:p w:rsidR="00E35632" w:rsidRDefault="00E35632">
            <w:pPr>
              <w:pStyle w:val="ConsPlusNormal"/>
              <w:jc w:val="center"/>
            </w:pPr>
            <w:r>
              <w:t xml:space="preserve">0,5 &lt; </w:t>
            </w:r>
            <w:r>
              <w:rPr>
                <w:i/>
              </w:rPr>
              <w:t>I</w:t>
            </w:r>
            <w:r>
              <w:rPr>
                <w:i/>
                <w:vertAlign w:val="subscript"/>
              </w:rPr>
              <w:t>L</w:t>
            </w:r>
            <w:r>
              <w:t xml:space="preserve"> &lt;= 0,75</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17</w:t>
            </w:r>
          </w:p>
        </w:tc>
        <w:tc>
          <w:tcPr>
            <w:tcW w:w="600" w:type="dxa"/>
            <w:tcBorders>
              <w:top w:val="nil"/>
              <w:bottom w:val="single" w:sz="4" w:space="0" w:color="auto"/>
            </w:tcBorders>
          </w:tcPr>
          <w:p w:rsidR="00E35632" w:rsidRDefault="00E35632">
            <w:pPr>
              <w:pStyle w:val="ConsPlusNormal"/>
              <w:jc w:val="center"/>
            </w:pPr>
            <w:r>
              <w:t>13</w:t>
            </w:r>
          </w:p>
        </w:tc>
        <w:tc>
          <w:tcPr>
            <w:tcW w:w="600" w:type="dxa"/>
            <w:tcBorders>
              <w:top w:val="nil"/>
              <w:bottom w:val="single" w:sz="4" w:space="0" w:color="auto"/>
            </w:tcBorders>
          </w:tcPr>
          <w:p w:rsidR="00E35632" w:rsidRDefault="00E35632">
            <w:pPr>
              <w:pStyle w:val="ConsPlusNormal"/>
              <w:jc w:val="center"/>
            </w:pPr>
            <w:r>
              <w:t>10</w:t>
            </w:r>
          </w:p>
        </w:tc>
        <w:tc>
          <w:tcPr>
            <w:tcW w:w="600" w:type="dxa"/>
            <w:tcBorders>
              <w:top w:val="nil"/>
              <w:bottom w:val="single" w:sz="4" w:space="0" w:color="auto"/>
            </w:tcBorders>
          </w:tcPr>
          <w:p w:rsidR="00E35632" w:rsidRDefault="00E35632">
            <w:pPr>
              <w:pStyle w:val="ConsPlusNormal"/>
              <w:jc w:val="center"/>
            </w:pPr>
            <w:r>
              <w:t>7</w:t>
            </w:r>
          </w:p>
        </w:tc>
        <w:tc>
          <w:tcPr>
            <w:tcW w:w="600" w:type="dxa"/>
            <w:tcBorders>
              <w:top w:val="nil"/>
              <w:bottom w:val="single" w:sz="4" w:space="0" w:color="auto"/>
            </w:tcBorders>
          </w:tcPr>
          <w:p w:rsidR="00E35632" w:rsidRDefault="00E35632">
            <w:pPr>
              <w:pStyle w:val="ConsPlusNormal"/>
              <w:jc w:val="center"/>
            </w:pPr>
            <w:r>
              <w:t>-</w:t>
            </w:r>
          </w:p>
        </w:tc>
        <w:tc>
          <w:tcPr>
            <w:tcW w:w="480" w:type="dxa"/>
            <w:tcBorders>
              <w:top w:val="nil"/>
              <w:bottom w:val="single" w:sz="4" w:space="0" w:color="auto"/>
            </w:tcBorders>
          </w:tcPr>
          <w:p w:rsidR="00E35632" w:rsidRDefault="00E35632">
            <w:pPr>
              <w:pStyle w:val="ConsPlusNormal"/>
              <w:jc w:val="center"/>
            </w:pPr>
            <w:r>
              <w:t>-</w:t>
            </w:r>
          </w:p>
        </w:tc>
        <w:tc>
          <w:tcPr>
            <w:tcW w:w="480" w:type="dxa"/>
            <w:tcBorders>
              <w:top w:val="nil"/>
              <w:bottom w:val="single" w:sz="4" w:space="0" w:color="auto"/>
            </w:tcBorders>
          </w:tcPr>
          <w:p w:rsidR="00E35632" w:rsidRDefault="00E35632">
            <w:pPr>
              <w:pStyle w:val="ConsPlusNormal"/>
              <w:jc w:val="center"/>
            </w:pPr>
            <w:r>
              <w:t>-</w:t>
            </w:r>
          </w:p>
        </w:tc>
        <w:tc>
          <w:tcPr>
            <w:tcW w:w="480" w:type="dxa"/>
            <w:tcBorders>
              <w:top w:val="nil"/>
              <w:bottom w:val="single" w:sz="4" w:space="0" w:color="auto"/>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762" w:type="dxa"/>
            <w:vMerge w:val="restart"/>
            <w:tcBorders>
              <w:top w:val="single" w:sz="4" w:space="0" w:color="auto"/>
              <w:bottom w:val="single" w:sz="4" w:space="0" w:color="auto"/>
            </w:tcBorders>
          </w:tcPr>
          <w:p w:rsidR="00E35632" w:rsidRDefault="00E35632">
            <w:pPr>
              <w:pStyle w:val="ConsPlusNormal"/>
            </w:pPr>
            <w:r>
              <w:t>Моренные</w:t>
            </w:r>
          </w:p>
        </w:tc>
        <w:tc>
          <w:tcPr>
            <w:tcW w:w="1142" w:type="dxa"/>
            <w:tcBorders>
              <w:top w:val="single" w:sz="4" w:space="0" w:color="auto"/>
              <w:bottom w:val="single" w:sz="4" w:space="0" w:color="auto"/>
            </w:tcBorders>
          </w:tcPr>
          <w:p w:rsidR="00E35632" w:rsidRDefault="00E35632">
            <w:pPr>
              <w:pStyle w:val="ConsPlusNormal"/>
            </w:pPr>
            <w:r>
              <w:t>Супеси</w:t>
            </w:r>
          </w:p>
        </w:tc>
        <w:tc>
          <w:tcPr>
            <w:tcW w:w="1716" w:type="dxa"/>
            <w:vMerge w:val="restart"/>
            <w:tcBorders>
              <w:top w:val="single" w:sz="4" w:space="0" w:color="auto"/>
              <w:bottom w:val="single" w:sz="4" w:space="0" w:color="auto"/>
            </w:tcBorders>
          </w:tcPr>
          <w:p w:rsidR="00E35632" w:rsidRDefault="00E35632">
            <w:pPr>
              <w:pStyle w:val="ConsPlusNormal"/>
              <w:jc w:val="center"/>
            </w:pPr>
            <w:r>
              <w:rPr>
                <w:i/>
              </w:rPr>
              <w:t>I</w:t>
            </w:r>
            <w:r>
              <w:rPr>
                <w:i/>
                <w:vertAlign w:val="subscript"/>
              </w:rPr>
              <w:t>L</w:t>
            </w:r>
            <w:r>
              <w:t xml:space="preserve"> &lt;= 0,5</w:t>
            </w:r>
          </w:p>
        </w:tc>
        <w:tc>
          <w:tcPr>
            <w:tcW w:w="600" w:type="dxa"/>
            <w:tcBorders>
              <w:top w:val="single" w:sz="4" w:space="0" w:color="auto"/>
              <w:bottom w:val="nil"/>
            </w:tcBorders>
          </w:tcPr>
          <w:p w:rsidR="00E35632" w:rsidRDefault="00E35632">
            <w:pPr>
              <w:pStyle w:val="ConsPlusNormal"/>
              <w:jc w:val="center"/>
            </w:pPr>
            <w:r>
              <w:t>60</w:t>
            </w:r>
          </w:p>
        </w:tc>
        <w:tc>
          <w:tcPr>
            <w:tcW w:w="600" w:type="dxa"/>
            <w:tcBorders>
              <w:top w:val="single" w:sz="4" w:space="0" w:color="auto"/>
              <w:bottom w:val="nil"/>
            </w:tcBorders>
          </w:tcPr>
          <w:p w:rsidR="00E35632" w:rsidRDefault="00E35632">
            <w:pPr>
              <w:pStyle w:val="ConsPlusNormal"/>
              <w:jc w:val="center"/>
            </w:pPr>
            <w:r>
              <w:t>50</w:t>
            </w:r>
          </w:p>
        </w:tc>
        <w:tc>
          <w:tcPr>
            <w:tcW w:w="600" w:type="dxa"/>
            <w:tcBorders>
              <w:top w:val="single" w:sz="4" w:space="0" w:color="auto"/>
              <w:bottom w:val="nil"/>
            </w:tcBorders>
          </w:tcPr>
          <w:p w:rsidR="00E35632" w:rsidRDefault="00E35632">
            <w:pPr>
              <w:pStyle w:val="ConsPlusNormal"/>
              <w:jc w:val="center"/>
            </w:pPr>
            <w:r>
              <w:t>40</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w:t>
            </w:r>
          </w:p>
        </w:tc>
        <w:tc>
          <w:tcPr>
            <w:tcW w:w="480" w:type="dxa"/>
            <w:tcBorders>
              <w:top w:val="single" w:sz="4" w:space="0" w:color="auto"/>
              <w:bottom w:val="nil"/>
            </w:tcBorders>
          </w:tcPr>
          <w:p w:rsidR="00E35632" w:rsidRDefault="00E35632">
            <w:pPr>
              <w:pStyle w:val="ConsPlusNormal"/>
              <w:jc w:val="center"/>
            </w:pPr>
            <w:r>
              <w:t>-</w:t>
            </w:r>
          </w:p>
        </w:tc>
        <w:tc>
          <w:tcPr>
            <w:tcW w:w="480" w:type="dxa"/>
            <w:tcBorders>
              <w:top w:val="single" w:sz="4" w:space="0" w:color="auto"/>
              <w:bottom w:val="nil"/>
            </w:tcBorders>
          </w:tcPr>
          <w:p w:rsidR="00E35632" w:rsidRDefault="00E35632">
            <w:pPr>
              <w:pStyle w:val="ConsPlusNormal"/>
              <w:jc w:val="center"/>
            </w:pPr>
            <w:r>
              <w:t>-</w:t>
            </w:r>
          </w:p>
        </w:tc>
        <w:tc>
          <w:tcPr>
            <w:tcW w:w="480" w:type="dxa"/>
            <w:tcBorders>
              <w:top w:val="single" w:sz="4" w:space="0" w:color="auto"/>
              <w:bottom w:val="nil"/>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142" w:type="dxa"/>
            <w:tcBorders>
              <w:top w:val="single" w:sz="4" w:space="0" w:color="auto"/>
              <w:bottom w:val="single" w:sz="4" w:space="0" w:color="auto"/>
            </w:tcBorders>
          </w:tcPr>
          <w:p w:rsidR="00E35632" w:rsidRDefault="00E35632">
            <w:pPr>
              <w:pStyle w:val="ConsPlusNormal"/>
            </w:pPr>
            <w:r>
              <w:t>Суглинки</w:t>
            </w:r>
          </w:p>
        </w:tc>
        <w:tc>
          <w:tcPr>
            <w:tcW w:w="0" w:type="auto"/>
            <w:vMerge/>
            <w:tcBorders>
              <w:top w:val="single" w:sz="4" w:space="0" w:color="auto"/>
              <w:bottom w:val="single" w:sz="4" w:space="0" w:color="auto"/>
            </w:tcBorders>
          </w:tcPr>
          <w:p w:rsidR="00E35632" w:rsidRDefault="00E35632">
            <w:pPr>
              <w:pStyle w:val="ConsPlusNormal"/>
            </w:pPr>
          </w:p>
        </w:tc>
        <w:tc>
          <w:tcPr>
            <w:tcW w:w="600" w:type="dxa"/>
            <w:tcBorders>
              <w:top w:val="nil"/>
              <w:bottom w:val="single" w:sz="4" w:space="0" w:color="auto"/>
            </w:tcBorders>
          </w:tcPr>
          <w:p w:rsidR="00E35632" w:rsidRDefault="00E35632">
            <w:pPr>
              <w:pStyle w:val="ConsPlusNormal"/>
            </w:pPr>
          </w:p>
        </w:tc>
        <w:tc>
          <w:tcPr>
            <w:tcW w:w="600" w:type="dxa"/>
            <w:tcBorders>
              <w:top w:val="nil"/>
              <w:bottom w:val="single" w:sz="4" w:space="0" w:color="auto"/>
            </w:tcBorders>
          </w:tcPr>
          <w:p w:rsidR="00E35632" w:rsidRDefault="00E35632">
            <w:pPr>
              <w:pStyle w:val="ConsPlusNormal"/>
            </w:pPr>
          </w:p>
        </w:tc>
        <w:tc>
          <w:tcPr>
            <w:tcW w:w="600" w:type="dxa"/>
            <w:tcBorders>
              <w:top w:val="nil"/>
              <w:bottom w:val="single" w:sz="4" w:space="0" w:color="auto"/>
            </w:tcBorders>
          </w:tcPr>
          <w:p w:rsidR="00E35632" w:rsidRDefault="00E35632">
            <w:pPr>
              <w:pStyle w:val="ConsPlusNormal"/>
            </w:pPr>
          </w:p>
        </w:tc>
        <w:tc>
          <w:tcPr>
            <w:tcW w:w="600" w:type="dxa"/>
            <w:tcBorders>
              <w:top w:val="nil"/>
              <w:bottom w:val="single" w:sz="4" w:space="0" w:color="auto"/>
            </w:tcBorders>
          </w:tcPr>
          <w:p w:rsidR="00E35632" w:rsidRDefault="00E35632">
            <w:pPr>
              <w:pStyle w:val="ConsPlusNormal"/>
            </w:pPr>
          </w:p>
        </w:tc>
        <w:tc>
          <w:tcPr>
            <w:tcW w:w="600" w:type="dxa"/>
            <w:tcBorders>
              <w:top w:val="nil"/>
              <w:bottom w:val="single" w:sz="4" w:space="0" w:color="auto"/>
            </w:tcBorders>
          </w:tcPr>
          <w:p w:rsidR="00E35632" w:rsidRDefault="00E35632">
            <w:pPr>
              <w:pStyle w:val="ConsPlusNormal"/>
            </w:pPr>
          </w:p>
        </w:tc>
        <w:tc>
          <w:tcPr>
            <w:tcW w:w="600" w:type="dxa"/>
            <w:tcBorders>
              <w:top w:val="nil"/>
              <w:bottom w:val="single" w:sz="4" w:space="0" w:color="auto"/>
            </w:tcBorders>
          </w:tcPr>
          <w:p w:rsidR="00E35632" w:rsidRDefault="00E35632">
            <w:pPr>
              <w:pStyle w:val="ConsPlusNormal"/>
            </w:pPr>
          </w:p>
        </w:tc>
        <w:tc>
          <w:tcPr>
            <w:tcW w:w="600" w:type="dxa"/>
            <w:tcBorders>
              <w:top w:val="nil"/>
              <w:bottom w:val="single" w:sz="4" w:space="0" w:color="auto"/>
            </w:tcBorders>
          </w:tcPr>
          <w:p w:rsidR="00E35632" w:rsidRDefault="00E35632">
            <w:pPr>
              <w:pStyle w:val="ConsPlusNormal"/>
            </w:pPr>
          </w:p>
        </w:tc>
        <w:tc>
          <w:tcPr>
            <w:tcW w:w="600" w:type="dxa"/>
            <w:tcBorders>
              <w:top w:val="nil"/>
              <w:bottom w:val="single" w:sz="4" w:space="0" w:color="auto"/>
            </w:tcBorders>
          </w:tcPr>
          <w:p w:rsidR="00E35632" w:rsidRDefault="00E35632">
            <w:pPr>
              <w:pStyle w:val="ConsPlusNormal"/>
            </w:pPr>
          </w:p>
        </w:tc>
        <w:tc>
          <w:tcPr>
            <w:tcW w:w="480" w:type="dxa"/>
            <w:tcBorders>
              <w:top w:val="nil"/>
              <w:bottom w:val="single" w:sz="4" w:space="0" w:color="auto"/>
            </w:tcBorders>
          </w:tcPr>
          <w:p w:rsidR="00E35632" w:rsidRDefault="00E35632">
            <w:pPr>
              <w:pStyle w:val="ConsPlusNormal"/>
            </w:pPr>
          </w:p>
        </w:tc>
        <w:tc>
          <w:tcPr>
            <w:tcW w:w="480" w:type="dxa"/>
            <w:tcBorders>
              <w:top w:val="nil"/>
              <w:bottom w:val="single" w:sz="4" w:space="0" w:color="auto"/>
            </w:tcBorders>
          </w:tcPr>
          <w:p w:rsidR="00E35632" w:rsidRDefault="00E35632">
            <w:pPr>
              <w:pStyle w:val="ConsPlusNormal"/>
            </w:pPr>
          </w:p>
        </w:tc>
        <w:tc>
          <w:tcPr>
            <w:tcW w:w="480" w:type="dxa"/>
            <w:tcBorders>
              <w:top w:val="nil"/>
              <w:bottom w:val="single" w:sz="4" w:space="0" w:color="auto"/>
            </w:tcBorders>
          </w:tcPr>
          <w:p w:rsidR="00E35632" w:rsidRDefault="00E35632">
            <w:pPr>
              <w:pStyle w:val="ConsPlusNormal"/>
            </w:pPr>
          </w:p>
        </w:tc>
      </w:tr>
      <w:tr w:rsidR="00E35632">
        <w:tc>
          <w:tcPr>
            <w:tcW w:w="3202" w:type="dxa"/>
            <w:gridSpan w:val="2"/>
            <w:vMerge w:val="restart"/>
            <w:tcBorders>
              <w:top w:val="single" w:sz="4" w:space="0" w:color="auto"/>
              <w:bottom w:val="single" w:sz="4" w:space="0" w:color="auto"/>
            </w:tcBorders>
          </w:tcPr>
          <w:p w:rsidR="00E35632" w:rsidRDefault="00E35632">
            <w:pPr>
              <w:pStyle w:val="ConsPlusNormal"/>
            </w:pPr>
            <w:r>
              <w:t>Юрские отложения оксфордского яруса</w:t>
            </w:r>
          </w:p>
        </w:tc>
        <w:tc>
          <w:tcPr>
            <w:tcW w:w="1142" w:type="dxa"/>
            <w:vMerge w:val="restart"/>
            <w:tcBorders>
              <w:top w:val="single" w:sz="4" w:space="0" w:color="auto"/>
              <w:bottom w:val="single" w:sz="4" w:space="0" w:color="auto"/>
            </w:tcBorders>
          </w:tcPr>
          <w:p w:rsidR="00E35632" w:rsidRDefault="00E35632">
            <w:pPr>
              <w:pStyle w:val="ConsPlusNormal"/>
            </w:pPr>
            <w:r>
              <w:t>Глины</w:t>
            </w:r>
          </w:p>
        </w:tc>
        <w:tc>
          <w:tcPr>
            <w:tcW w:w="1716" w:type="dxa"/>
            <w:tcBorders>
              <w:top w:val="single" w:sz="4" w:space="0" w:color="auto"/>
              <w:bottom w:val="nil"/>
            </w:tcBorders>
          </w:tcPr>
          <w:p w:rsidR="00E35632" w:rsidRDefault="00E35632">
            <w:pPr>
              <w:pStyle w:val="ConsPlusNormal"/>
              <w:jc w:val="center"/>
            </w:pPr>
            <w:r>
              <w:t xml:space="preserve">-0,25 &lt;= </w:t>
            </w:r>
            <w:r>
              <w:rPr>
                <w:i/>
              </w:rPr>
              <w:t>I</w:t>
            </w:r>
            <w:r>
              <w:rPr>
                <w:i/>
                <w:vertAlign w:val="subscript"/>
              </w:rPr>
              <w:t>L</w:t>
            </w:r>
            <w:r>
              <w:t xml:space="preserve"> &lt;= 0</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27</w:t>
            </w:r>
          </w:p>
        </w:tc>
        <w:tc>
          <w:tcPr>
            <w:tcW w:w="600" w:type="dxa"/>
            <w:tcBorders>
              <w:top w:val="single" w:sz="4" w:space="0" w:color="auto"/>
              <w:bottom w:val="nil"/>
            </w:tcBorders>
          </w:tcPr>
          <w:p w:rsidR="00E35632" w:rsidRDefault="00E35632">
            <w:pPr>
              <w:pStyle w:val="ConsPlusNormal"/>
              <w:jc w:val="center"/>
            </w:pPr>
            <w:r>
              <w:t>25</w:t>
            </w:r>
          </w:p>
        </w:tc>
        <w:tc>
          <w:tcPr>
            <w:tcW w:w="480" w:type="dxa"/>
            <w:tcBorders>
              <w:top w:val="single" w:sz="4" w:space="0" w:color="auto"/>
              <w:bottom w:val="nil"/>
            </w:tcBorders>
          </w:tcPr>
          <w:p w:rsidR="00E35632" w:rsidRDefault="00E35632">
            <w:pPr>
              <w:pStyle w:val="ConsPlusNormal"/>
              <w:jc w:val="center"/>
            </w:pPr>
            <w:r>
              <w:t>22</w:t>
            </w:r>
          </w:p>
        </w:tc>
        <w:tc>
          <w:tcPr>
            <w:tcW w:w="480" w:type="dxa"/>
            <w:tcBorders>
              <w:top w:val="single" w:sz="4" w:space="0" w:color="auto"/>
              <w:bottom w:val="nil"/>
            </w:tcBorders>
          </w:tcPr>
          <w:p w:rsidR="00E35632" w:rsidRDefault="00E35632">
            <w:pPr>
              <w:pStyle w:val="ConsPlusNormal"/>
              <w:jc w:val="center"/>
            </w:pPr>
            <w:r>
              <w:t>-</w:t>
            </w:r>
          </w:p>
        </w:tc>
        <w:tc>
          <w:tcPr>
            <w:tcW w:w="480" w:type="dxa"/>
            <w:tcBorders>
              <w:top w:val="single" w:sz="4" w:space="0" w:color="auto"/>
              <w:bottom w:val="nil"/>
            </w:tcBorders>
          </w:tcPr>
          <w:p w:rsidR="00E35632" w:rsidRDefault="00E35632">
            <w:pPr>
              <w:pStyle w:val="ConsPlusNormal"/>
              <w:jc w:val="center"/>
            </w:pPr>
            <w:r>
              <w:t>-</w:t>
            </w:r>
          </w:p>
        </w:tc>
      </w:tr>
      <w:tr w:rsidR="00E35632">
        <w:tblPrEx>
          <w:tblBorders>
            <w:insideH w:val="none" w:sz="0" w:space="0" w:color="auto"/>
          </w:tblBorders>
        </w:tblPrEx>
        <w:tc>
          <w:tcPr>
            <w:tcW w:w="0" w:type="auto"/>
            <w:gridSpan w:val="2"/>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716" w:type="dxa"/>
            <w:tcBorders>
              <w:top w:val="nil"/>
              <w:bottom w:val="nil"/>
            </w:tcBorders>
          </w:tcPr>
          <w:p w:rsidR="00E35632" w:rsidRDefault="00E35632">
            <w:pPr>
              <w:pStyle w:val="ConsPlusNormal"/>
              <w:jc w:val="center"/>
            </w:pPr>
            <w:r>
              <w:t xml:space="preserve">0 &lt; </w:t>
            </w:r>
            <w:r>
              <w:rPr>
                <w:i/>
              </w:rPr>
              <w:t>I</w:t>
            </w:r>
            <w:r>
              <w:rPr>
                <w:i/>
                <w:vertAlign w:val="subscript"/>
              </w:rPr>
              <w:t>L</w:t>
            </w:r>
            <w:r>
              <w:t xml:space="preserve"> &lt;= 0,25</w:t>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24</w:t>
            </w:r>
          </w:p>
        </w:tc>
        <w:tc>
          <w:tcPr>
            <w:tcW w:w="600" w:type="dxa"/>
            <w:tcBorders>
              <w:top w:val="nil"/>
              <w:bottom w:val="nil"/>
            </w:tcBorders>
          </w:tcPr>
          <w:p w:rsidR="00E35632" w:rsidRDefault="00E35632">
            <w:pPr>
              <w:pStyle w:val="ConsPlusNormal"/>
              <w:jc w:val="center"/>
            </w:pPr>
            <w:r>
              <w:t>22</w:t>
            </w:r>
          </w:p>
        </w:tc>
        <w:tc>
          <w:tcPr>
            <w:tcW w:w="480" w:type="dxa"/>
            <w:tcBorders>
              <w:top w:val="nil"/>
              <w:bottom w:val="nil"/>
            </w:tcBorders>
          </w:tcPr>
          <w:p w:rsidR="00E35632" w:rsidRDefault="00E35632">
            <w:pPr>
              <w:pStyle w:val="ConsPlusNormal"/>
              <w:jc w:val="center"/>
            </w:pPr>
            <w:r>
              <w:t>19</w:t>
            </w:r>
          </w:p>
        </w:tc>
        <w:tc>
          <w:tcPr>
            <w:tcW w:w="480" w:type="dxa"/>
            <w:tcBorders>
              <w:top w:val="nil"/>
              <w:bottom w:val="nil"/>
            </w:tcBorders>
          </w:tcPr>
          <w:p w:rsidR="00E35632" w:rsidRDefault="00E35632">
            <w:pPr>
              <w:pStyle w:val="ConsPlusNormal"/>
              <w:jc w:val="center"/>
            </w:pPr>
            <w:r>
              <w:t>15</w:t>
            </w:r>
          </w:p>
        </w:tc>
        <w:tc>
          <w:tcPr>
            <w:tcW w:w="480" w:type="dxa"/>
            <w:tcBorders>
              <w:top w:val="nil"/>
              <w:bottom w:val="nil"/>
            </w:tcBorders>
          </w:tcPr>
          <w:p w:rsidR="00E35632" w:rsidRDefault="00E35632">
            <w:pPr>
              <w:pStyle w:val="ConsPlusNormal"/>
              <w:jc w:val="center"/>
            </w:pPr>
            <w:r>
              <w:t>-</w:t>
            </w:r>
          </w:p>
        </w:tc>
      </w:tr>
      <w:tr w:rsidR="00E35632">
        <w:tblPrEx>
          <w:tblBorders>
            <w:insideH w:val="none" w:sz="0" w:space="0" w:color="auto"/>
          </w:tblBorders>
        </w:tblPrEx>
        <w:tc>
          <w:tcPr>
            <w:tcW w:w="0" w:type="auto"/>
            <w:gridSpan w:val="2"/>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716" w:type="dxa"/>
            <w:tcBorders>
              <w:top w:val="nil"/>
              <w:bottom w:val="single" w:sz="4" w:space="0" w:color="auto"/>
            </w:tcBorders>
          </w:tcPr>
          <w:p w:rsidR="00E35632" w:rsidRDefault="00E35632">
            <w:pPr>
              <w:pStyle w:val="ConsPlusNormal"/>
              <w:jc w:val="center"/>
            </w:pPr>
            <w:r>
              <w:t xml:space="preserve">0,25 &lt; </w:t>
            </w:r>
            <w:r>
              <w:rPr>
                <w:i/>
              </w:rPr>
              <w:t>I</w:t>
            </w:r>
            <w:r>
              <w:rPr>
                <w:i/>
                <w:vertAlign w:val="subscript"/>
              </w:rPr>
              <w:t>L</w:t>
            </w:r>
            <w:r>
              <w:t xml:space="preserve"> &lt;= 0,5</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w:t>
            </w:r>
          </w:p>
        </w:tc>
        <w:tc>
          <w:tcPr>
            <w:tcW w:w="480" w:type="dxa"/>
            <w:tcBorders>
              <w:top w:val="nil"/>
              <w:bottom w:val="single" w:sz="4" w:space="0" w:color="auto"/>
            </w:tcBorders>
          </w:tcPr>
          <w:p w:rsidR="00E35632" w:rsidRDefault="00E35632">
            <w:pPr>
              <w:pStyle w:val="ConsPlusNormal"/>
              <w:jc w:val="center"/>
            </w:pPr>
            <w:r>
              <w:t>16</w:t>
            </w:r>
          </w:p>
        </w:tc>
        <w:tc>
          <w:tcPr>
            <w:tcW w:w="480" w:type="dxa"/>
            <w:tcBorders>
              <w:top w:val="nil"/>
              <w:bottom w:val="single" w:sz="4" w:space="0" w:color="auto"/>
            </w:tcBorders>
          </w:tcPr>
          <w:p w:rsidR="00E35632" w:rsidRDefault="00E35632">
            <w:pPr>
              <w:pStyle w:val="ConsPlusNormal"/>
              <w:jc w:val="center"/>
            </w:pPr>
            <w:r>
              <w:t>12</w:t>
            </w:r>
          </w:p>
        </w:tc>
        <w:tc>
          <w:tcPr>
            <w:tcW w:w="480" w:type="dxa"/>
            <w:tcBorders>
              <w:top w:val="nil"/>
              <w:bottom w:val="single" w:sz="4" w:space="0" w:color="auto"/>
            </w:tcBorders>
          </w:tcPr>
          <w:p w:rsidR="00E35632" w:rsidRDefault="00E35632">
            <w:pPr>
              <w:pStyle w:val="ConsPlusNormal"/>
              <w:jc w:val="center"/>
            </w:pPr>
            <w:r>
              <w:t>10</w:t>
            </w:r>
          </w:p>
        </w:tc>
      </w:tr>
    </w:tbl>
    <w:p w:rsidR="00E35632" w:rsidRDefault="00E35632">
      <w:pPr>
        <w:pStyle w:val="ConsPlusNormal"/>
        <w:sectPr w:rsidR="00E35632">
          <w:pgSz w:w="16838" w:h="11905" w:orient="landscape"/>
          <w:pgMar w:top="1701" w:right="1134" w:bottom="850" w:left="1134" w:header="0" w:footer="0" w:gutter="0"/>
          <w:cols w:space="720"/>
          <w:titlePg/>
        </w:sectPr>
      </w:pPr>
    </w:p>
    <w:p w:rsidR="00E35632" w:rsidRDefault="00E35632">
      <w:pPr>
        <w:pStyle w:val="ConsPlusNormal"/>
        <w:jc w:val="both"/>
      </w:pPr>
    </w:p>
    <w:p w:rsidR="00E35632" w:rsidRDefault="00E35632">
      <w:pPr>
        <w:pStyle w:val="ConsPlusNormal"/>
        <w:jc w:val="right"/>
      </w:pPr>
      <w:r>
        <w:t>Таблица А.4</w:t>
      </w:r>
    </w:p>
    <w:p w:rsidR="00E35632" w:rsidRDefault="00E35632">
      <w:pPr>
        <w:pStyle w:val="ConsPlusNormal"/>
        <w:jc w:val="both"/>
      </w:pPr>
    </w:p>
    <w:p w:rsidR="00E35632" w:rsidRDefault="00E35632">
      <w:pPr>
        <w:pStyle w:val="ConsPlusNormal"/>
        <w:jc w:val="center"/>
      </w:pPr>
      <w:bookmarkStart w:id="277" w:name="P5590"/>
      <w:bookmarkEnd w:id="277"/>
      <w:r>
        <w:rPr>
          <w:b/>
        </w:rPr>
        <w:t>Нормативные значения модуля деформации</w:t>
      </w:r>
      <w:r>
        <w:t xml:space="preserve"> </w:t>
      </w:r>
      <w:r>
        <w:rPr>
          <w:b/>
          <w:i/>
        </w:rPr>
        <w:t>E</w:t>
      </w:r>
      <w:r>
        <w:rPr>
          <w:b/>
        </w:rPr>
        <w:t>, МПа, угла</w:t>
      </w:r>
    </w:p>
    <w:p w:rsidR="00E35632" w:rsidRDefault="00E35632">
      <w:pPr>
        <w:pStyle w:val="ConsPlusNormal"/>
        <w:jc w:val="center"/>
      </w:pPr>
      <w:r>
        <w:rPr>
          <w:b/>
        </w:rPr>
        <w:t xml:space="preserve">внутреннего трении </w:t>
      </w:r>
      <w:r>
        <w:rPr>
          <w:noProof/>
          <w:position w:val="-8"/>
        </w:rPr>
        <w:drawing>
          <wp:inline distT="0" distB="0" distL="0" distR="0">
            <wp:extent cx="182880" cy="250825"/>
            <wp:effectExtent l="0" t="0" r="0" b="0"/>
            <wp:docPr id="6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rPr>
          <w:b/>
        </w:rPr>
        <w:t>, град., и удельного сцепления</w:t>
      </w:r>
      <w:r>
        <w:t xml:space="preserve"> </w:t>
      </w:r>
      <w:r>
        <w:rPr>
          <w:b/>
          <w:i/>
        </w:rPr>
        <w:t>c</w:t>
      </w:r>
      <w:r>
        <w:rPr>
          <w:b/>
          <w:i/>
          <w:vertAlign w:val="subscript"/>
        </w:rPr>
        <w:t>n</w:t>
      </w:r>
      <w:r>
        <w:rPr>
          <w:b/>
        </w:rPr>
        <w:t>, кПа,</w:t>
      </w:r>
    </w:p>
    <w:p w:rsidR="00E35632" w:rsidRDefault="00E35632">
      <w:pPr>
        <w:pStyle w:val="ConsPlusNormal"/>
        <w:jc w:val="center"/>
      </w:pPr>
      <w:r>
        <w:rPr>
          <w:b/>
        </w:rPr>
        <w:t>глинистых заторфованных грунтов при относительном</w:t>
      </w:r>
    </w:p>
    <w:p w:rsidR="00E35632" w:rsidRDefault="00E35632">
      <w:pPr>
        <w:pStyle w:val="ConsPlusNormal"/>
        <w:jc w:val="center"/>
      </w:pPr>
      <w:r>
        <w:rPr>
          <w:b/>
        </w:rPr>
        <w:t>содержании органического вещества 0,05 &lt;=</w:t>
      </w:r>
      <w:r>
        <w:t xml:space="preserve"> </w:t>
      </w:r>
      <w:r>
        <w:rPr>
          <w:b/>
          <w:i/>
        </w:rPr>
        <w:t>I</w:t>
      </w:r>
      <w:r>
        <w:rPr>
          <w:b/>
          <w:i/>
          <w:vertAlign w:val="subscript"/>
        </w:rPr>
        <w:t>r</w:t>
      </w:r>
      <w:r>
        <w:t xml:space="preserve"> </w:t>
      </w:r>
      <w:r>
        <w:rPr>
          <w:b/>
        </w:rPr>
        <w:t>&lt;= 0,25</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40"/>
        <w:gridCol w:w="1560"/>
        <w:gridCol w:w="725"/>
        <w:gridCol w:w="735"/>
        <w:gridCol w:w="725"/>
        <w:gridCol w:w="722"/>
        <w:gridCol w:w="725"/>
        <w:gridCol w:w="722"/>
        <w:gridCol w:w="706"/>
        <w:gridCol w:w="700"/>
      </w:tblGrid>
      <w:tr w:rsidR="00E35632">
        <w:tc>
          <w:tcPr>
            <w:tcW w:w="1740" w:type="dxa"/>
            <w:vMerge w:val="restart"/>
            <w:vAlign w:val="center"/>
          </w:tcPr>
          <w:p w:rsidR="00E35632" w:rsidRDefault="00E35632">
            <w:pPr>
              <w:pStyle w:val="ConsPlusNormal"/>
              <w:jc w:val="center"/>
            </w:pPr>
            <w:r>
              <w:t xml:space="preserve">Пределы нормативных значений показателя текучести </w:t>
            </w:r>
            <w:r>
              <w:rPr>
                <w:i/>
              </w:rPr>
              <w:t>I</w:t>
            </w:r>
            <w:r>
              <w:rPr>
                <w:i/>
                <w:vertAlign w:val="subscript"/>
              </w:rPr>
              <w:t>L</w:t>
            </w:r>
          </w:p>
        </w:tc>
        <w:tc>
          <w:tcPr>
            <w:tcW w:w="1560" w:type="dxa"/>
            <w:vMerge w:val="restart"/>
            <w:vAlign w:val="center"/>
          </w:tcPr>
          <w:p w:rsidR="00E35632" w:rsidRDefault="00E35632">
            <w:pPr>
              <w:pStyle w:val="ConsPlusNormal"/>
              <w:jc w:val="center"/>
            </w:pPr>
            <w:r>
              <w:t>Обозначение характеристик грунтов</w:t>
            </w:r>
          </w:p>
        </w:tc>
        <w:tc>
          <w:tcPr>
            <w:tcW w:w="5760" w:type="dxa"/>
            <w:gridSpan w:val="8"/>
            <w:vAlign w:val="center"/>
          </w:tcPr>
          <w:p w:rsidR="00E35632" w:rsidRDefault="00E35632">
            <w:pPr>
              <w:pStyle w:val="ConsPlusNormal"/>
              <w:jc w:val="center"/>
            </w:pPr>
            <w:r>
              <w:t xml:space="preserve">Характеристики глинистых грунтов при относительном содержании органического вещества </w:t>
            </w:r>
            <w:r>
              <w:rPr>
                <w:i/>
              </w:rPr>
              <w:t>I</w:t>
            </w:r>
            <w:r>
              <w:rPr>
                <w:i/>
                <w:vertAlign w:val="subscript"/>
              </w:rPr>
              <w:t>r</w:t>
            </w:r>
            <w:r>
              <w:t xml:space="preserve"> и коэффициенте пористости </w:t>
            </w:r>
            <w:r>
              <w:rPr>
                <w:i/>
              </w:rPr>
              <w:t>e</w:t>
            </w:r>
            <w:r>
              <w:t>, равных</w:t>
            </w:r>
          </w:p>
        </w:tc>
      </w:tr>
      <w:tr w:rsidR="00E35632">
        <w:tc>
          <w:tcPr>
            <w:tcW w:w="0" w:type="auto"/>
            <w:vMerge/>
          </w:tcPr>
          <w:p w:rsidR="00E35632" w:rsidRDefault="00E35632">
            <w:pPr>
              <w:pStyle w:val="ConsPlusNormal"/>
            </w:pPr>
          </w:p>
        </w:tc>
        <w:tc>
          <w:tcPr>
            <w:tcW w:w="0" w:type="auto"/>
            <w:vMerge/>
          </w:tcPr>
          <w:p w:rsidR="00E35632" w:rsidRDefault="00E35632">
            <w:pPr>
              <w:pStyle w:val="ConsPlusNormal"/>
            </w:pPr>
          </w:p>
        </w:tc>
        <w:tc>
          <w:tcPr>
            <w:tcW w:w="2907" w:type="dxa"/>
            <w:gridSpan w:val="4"/>
            <w:vAlign w:val="center"/>
          </w:tcPr>
          <w:p w:rsidR="00E35632" w:rsidRDefault="00E35632">
            <w:pPr>
              <w:pStyle w:val="ConsPlusNormal"/>
              <w:jc w:val="center"/>
            </w:pPr>
            <w:r>
              <w:t xml:space="preserve">0,05 &lt;= </w:t>
            </w:r>
            <w:r>
              <w:rPr>
                <w:i/>
              </w:rPr>
              <w:t>I</w:t>
            </w:r>
            <w:r>
              <w:rPr>
                <w:i/>
                <w:vertAlign w:val="subscript"/>
              </w:rPr>
              <w:t>r</w:t>
            </w:r>
            <w:r>
              <w:t xml:space="preserve"> &lt;= 0,1</w:t>
            </w:r>
          </w:p>
        </w:tc>
        <w:tc>
          <w:tcPr>
            <w:tcW w:w="2853" w:type="dxa"/>
            <w:gridSpan w:val="4"/>
            <w:vAlign w:val="center"/>
          </w:tcPr>
          <w:p w:rsidR="00E35632" w:rsidRDefault="00E35632">
            <w:pPr>
              <w:pStyle w:val="ConsPlusNormal"/>
              <w:jc w:val="center"/>
            </w:pPr>
            <w:r>
              <w:t xml:space="preserve">0,1 &lt; </w:t>
            </w:r>
            <w:r>
              <w:rPr>
                <w:i/>
              </w:rPr>
              <w:t>I</w:t>
            </w:r>
            <w:r>
              <w:rPr>
                <w:i/>
                <w:vertAlign w:val="subscript"/>
              </w:rPr>
              <w:t>r</w:t>
            </w:r>
            <w:r>
              <w:t xml:space="preserve"> &lt;= 0,25</w:t>
            </w:r>
          </w:p>
        </w:tc>
      </w:tr>
      <w:tr w:rsidR="00E35632">
        <w:tc>
          <w:tcPr>
            <w:tcW w:w="0" w:type="auto"/>
            <w:vMerge/>
          </w:tcPr>
          <w:p w:rsidR="00E35632" w:rsidRDefault="00E35632">
            <w:pPr>
              <w:pStyle w:val="ConsPlusNormal"/>
            </w:pPr>
          </w:p>
        </w:tc>
        <w:tc>
          <w:tcPr>
            <w:tcW w:w="0" w:type="auto"/>
            <w:vMerge/>
          </w:tcPr>
          <w:p w:rsidR="00E35632" w:rsidRDefault="00E35632">
            <w:pPr>
              <w:pStyle w:val="ConsPlusNormal"/>
            </w:pPr>
          </w:p>
        </w:tc>
        <w:tc>
          <w:tcPr>
            <w:tcW w:w="725" w:type="dxa"/>
            <w:vAlign w:val="center"/>
          </w:tcPr>
          <w:p w:rsidR="00E35632" w:rsidRDefault="00E35632">
            <w:pPr>
              <w:pStyle w:val="ConsPlusNormal"/>
              <w:jc w:val="center"/>
            </w:pPr>
            <w:r>
              <w:t>0,65</w:t>
            </w:r>
          </w:p>
        </w:tc>
        <w:tc>
          <w:tcPr>
            <w:tcW w:w="735" w:type="dxa"/>
            <w:vAlign w:val="center"/>
          </w:tcPr>
          <w:p w:rsidR="00E35632" w:rsidRDefault="00E35632">
            <w:pPr>
              <w:pStyle w:val="ConsPlusNormal"/>
              <w:jc w:val="center"/>
            </w:pPr>
            <w:r>
              <w:t>0,75</w:t>
            </w:r>
          </w:p>
        </w:tc>
        <w:tc>
          <w:tcPr>
            <w:tcW w:w="725" w:type="dxa"/>
            <w:vAlign w:val="center"/>
          </w:tcPr>
          <w:p w:rsidR="00E35632" w:rsidRDefault="00E35632">
            <w:pPr>
              <w:pStyle w:val="ConsPlusNormal"/>
              <w:jc w:val="center"/>
            </w:pPr>
            <w:r>
              <w:t>0,85</w:t>
            </w:r>
          </w:p>
        </w:tc>
        <w:tc>
          <w:tcPr>
            <w:tcW w:w="722" w:type="dxa"/>
            <w:vAlign w:val="center"/>
          </w:tcPr>
          <w:p w:rsidR="00E35632" w:rsidRDefault="00E35632">
            <w:pPr>
              <w:pStyle w:val="ConsPlusNormal"/>
              <w:jc w:val="center"/>
            </w:pPr>
            <w:r>
              <w:t>0,95</w:t>
            </w:r>
          </w:p>
        </w:tc>
        <w:tc>
          <w:tcPr>
            <w:tcW w:w="725" w:type="dxa"/>
            <w:vAlign w:val="center"/>
          </w:tcPr>
          <w:p w:rsidR="00E35632" w:rsidRDefault="00E35632">
            <w:pPr>
              <w:pStyle w:val="ConsPlusNormal"/>
              <w:jc w:val="center"/>
            </w:pPr>
            <w:r>
              <w:t>1,05</w:t>
            </w:r>
          </w:p>
        </w:tc>
        <w:tc>
          <w:tcPr>
            <w:tcW w:w="722" w:type="dxa"/>
            <w:vAlign w:val="center"/>
          </w:tcPr>
          <w:p w:rsidR="00E35632" w:rsidRDefault="00E35632">
            <w:pPr>
              <w:pStyle w:val="ConsPlusNormal"/>
              <w:jc w:val="center"/>
            </w:pPr>
            <w:r>
              <w:t>1,15</w:t>
            </w:r>
          </w:p>
        </w:tc>
        <w:tc>
          <w:tcPr>
            <w:tcW w:w="706" w:type="dxa"/>
            <w:vAlign w:val="center"/>
          </w:tcPr>
          <w:p w:rsidR="00E35632" w:rsidRDefault="00E35632">
            <w:pPr>
              <w:pStyle w:val="ConsPlusNormal"/>
              <w:jc w:val="center"/>
            </w:pPr>
            <w:r>
              <w:t>1,25</w:t>
            </w:r>
          </w:p>
        </w:tc>
        <w:tc>
          <w:tcPr>
            <w:tcW w:w="700" w:type="dxa"/>
            <w:vAlign w:val="center"/>
          </w:tcPr>
          <w:p w:rsidR="00E35632" w:rsidRDefault="00E35632">
            <w:pPr>
              <w:pStyle w:val="ConsPlusNormal"/>
              <w:jc w:val="center"/>
            </w:pPr>
            <w:r>
              <w:t>1,35</w:t>
            </w:r>
          </w:p>
        </w:tc>
      </w:tr>
      <w:tr w:rsidR="00E35632">
        <w:tc>
          <w:tcPr>
            <w:tcW w:w="1740" w:type="dxa"/>
            <w:vMerge w:val="restart"/>
          </w:tcPr>
          <w:p w:rsidR="00E35632" w:rsidRDefault="00E35632">
            <w:pPr>
              <w:pStyle w:val="ConsPlusNormal"/>
              <w:jc w:val="center"/>
            </w:pPr>
            <w:r>
              <w:t xml:space="preserve">0 &lt;= </w:t>
            </w:r>
            <w:r>
              <w:rPr>
                <w:i/>
              </w:rPr>
              <w:t>I</w:t>
            </w:r>
            <w:r>
              <w:rPr>
                <w:i/>
                <w:vertAlign w:val="subscript"/>
              </w:rPr>
              <w:t>L</w:t>
            </w:r>
            <w:r>
              <w:t xml:space="preserve"> &lt;= 0,25</w:t>
            </w:r>
          </w:p>
        </w:tc>
        <w:tc>
          <w:tcPr>
            <w:tcW w:w="1560" w:type="dxa"/>
          </w:tcPr>
          <w:p w:rsidR="00E35632" w:rsidRDefault="00E35632">
            <w:pPr>
              <w:pStyle w:val="ConsPlusNormal"/>
              <w:jc w:val="center"/>
            </w:pPr>
            <w:r>
              <w:rPr>
                <w:i/>
              </w:rPr>
              <w:t>E</w:t>
            </w:r>
          </w:p>
        </w:tc>
        <w:tc>
          <w:tcPr>
            <w:tcW w:w="725" w:type="dxa"/>
          </w:tcPr>
          <w:p w:rsidR="00E35632" w:rsidRDefault="00E35632">
            <w:pPr>
              <w:pStyle w:val="ConsPlusNormal"/>
              <w:jc w:val="center"/>
            </w:pPr>
            <w:r>
              <w:t>13,0</w:t>
            </w:r>
          </w:p>
        </w:tc>
        <w:tc>
          <w:tcPr>
            <w:tcW w:w="735" w:type="dxa"/>
          </w:tcPr>
          <w:p w:rsidR="00E35632" w:rsidRDefault="00E35632">
            <w:pPr>
              <w:pStyle w:val="ConsPlusNormal"/>
              <w:jc w:val="center"/>
            </w:pPr>
            <w:r>
              <w:t>12</w:t>
            </w:r>
          </w:p>
        </w:tc>
        <w:tc>
          <w:tcPr>
            <w:tcW w:w="725" w:type="dxa"/>
          </w:tcPr>
          <w:p w:rsidR="00E35632" w:rsidRDefault="00E35632">
            <w:pPr>
              <w:pStyle w:val="ConsPlusNormal"/>
              <w:jc w:val="center"/>
            </w:pPr>
            <w:r>
              <w:t>11</w:t>
            </w:r>
          </w:p>
        </w:tc>
        <w:tc>
          <w:tcPr>
            <w:tcW w:w="722" w:type="dxa"/>
          </w:tcPr>
          <w:p w:rsidR="00E35632" w:rsidRDefault="00E35632">
            <w:pPr>
              <w:pStyle w:val="ConsPlusNormal"/>
              <w:jc w:val="center"/>
            </w:pPr>
            <w:r>
              <w:t>10</w:t>
            </w:r>
          </w:p>
        </w:tc>
        <w:tc>
          <w:tcPr>
            <w:tcW w:w="725" w:type="dxa"/>
          </w:tcPr>
          <w:p w:rsidR="00E35632" w:rsidRDefault="00E35632">
            <w:pPr>
              <w:pStyle w:val="ConsPlusNormal"/>
              <w:jc w:val="center"/>
            </w:pPr>
            <w:r>
              <w:t>8,5</w:t>
            </w:r>
          </w:p>
        </w:tc>
        <w:tc>
          <w:tcPr>
            <w:tcW w:w="722" w:type="dxa"/>
          </w:tcPr>
          <w:p w:rsidR="00E35632" w:rsidRDefault="00E35632">
            <w:pPr>
              <w:pStyle w:val="ConsPlusNormal"/>
              <w:jc w:val="center"/>
            </w:pPr>
            <w:r>
              <w:t>8</w:t>
            </w:r>
          </w:p>
        </w:tc>
        <w:tc>
          <w:tcPr>
            <w:tcW w:w="706" w:type="dxa"/>
          </w:tcPr>
          <w:p w:rsidR="00E35632" w:rsidRDefault="00E35632">
            <w:pPr>
              <w:pStyle w:val="ConsPlusNormal"/>
              <w:jc w:val="center"/>
            </w:pPr>
            <w:r>
              <w:t>7</w:t>
            </w:r>
          </w:p>
        </w:tc>
        <w:tc>
          <w:tcPr>
            <w:tcW w:w="700" w:type="dxa"/>
          </w:tcPr>
          <w:p w:rsidR="00E35632" w:rsidRDefault="00E35632">
            <w:pPr>
              <w:pStyle w:val="ConsPlusNormal"/>
              <w:jc w:val="center"/>
            </w:pPr>
            <w:r>
              <w:t>5,0</w:t>
            </w:r>
          </w:p>
        </w:tc>
      </w:tr>
      <w:tr w:rsidR="00E35632">
        <w:tc>
          <w:tcPr>
            <w:tcW w:w="0" w:type="auto"/>
            <w:vMerge/>
          </w:tcPr>
          <w:p w:rsidR="00E35632" w:rsidRDefault="00E35632">
            <w:pPr>
              <w:pStyle w:val="ConsPlusNormal"/>
            </w:pPr>
          </w:p>
        </w:tc>
        <w:tc>
          <w:tcPr>
            <w:tcW w:w="1560" w:type="dxa"/>
          </w:tcPr>
          <w:p w:rsidR="00E35632" w:rsidRDefault="00E35632">
            <w:pPr>
              <w:pStyle w:val="ConsPlusNormal"/>
              <w:jc w:val="center"/>
            </w:pPr>
            <w:r>
              <w:rPr>
                <w:noProof/>
                <w:position w:val="-4"/>
              </w:rPr>
              <w:drawing>
                <wp:inline distT="0" distB="0" distL="0" distR="0">
                  <wp:extent cx="160020" cy="192405"/>
                  <wp:effectExtent l="0" t="0" r="0" b="0"/>
                  <wp:docPr id="6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725" w:type="dxa"/>
          </w:tcPr>
          <w:p w:rsidR="00E35632" w:rsidRDefault="00E35632">
            <w:pPr>
              <w:pStyle w:val="ConsPlusNormal"/>
              <w:jc w:val="center"/>
            </w:pPr>
            <w:r>
              <w:t>21</w:t>
            </w:r>
          </w:p>
        </w:tc>
        <w:tc>
          <w:tcPr>
            <w:tcW w:w="735" w:type="dxa"/>
          </w:tcPr>
          <w:p w:rsidR="00E35632" w:rsidRDefault="00E35632">
            <w:pPr>
              <w:pStyle w:val="ConsPlusNormal"/>
              <w:jc w:val="center"/>
            </w:pPr>
            <w:r>
              <w:t>20</w:t>
            </w:r>
          </w:p>
        </w:tc>
        <w:tc>
          <w:tcPr>
            <w:tcW w:w="725" w:type="dxa"/>
          </w:tcPr>
          <w:p w:rsidR="00E35632" w:rsidRDefault="00E35632">
            <w:pPr>
              <w:pStyle w:val="ConsPlusNormal"/>
              <w:jc w:val="center"/>
            </w:pPr>
            <w:r>
              <w:t>18</w:t>
            </w:r>
          </w:p>
        </w:tc>
        <w:tc>
          <w:tcPr>
            <w:tcW w:w="722" w:type="dxa"/>
          </w:tcPr>
          <w:p w:rsidR="00E35632" w:rsidRDefault="00E35632">
            <w:pPr>
              <w:pStyle w:val="ConsPlusNormal"/>
              <w:jc w:val="center"/>
            </w:pPr>
            <w:r>
              <w:t>16</w:t>
            </w:r>
          </w:p>
        </w:tc>
        <w:tc>
          <w:tcPr>
            <w:tcW w:w="725" w:type="dxa"/>
          </w:tcPr>
          <w:p w:rsidR="00E35632" w:rsidRDefault="00E35632">
            <w:pPr>
              <w:pStyle w:val="ConsPlusNormal"/>
              <w:jc w:val="center"/>
            </w:pPr>
            <w:r>
              <w:t>15</w:t>
            </w:r>
          </w:p>
        </w:tc>
        <w:tc>
          <w:tcPr>
            <w:tcW w:w="722" w:type="dxa"/>
          </w:tcPr>
          <w:p w:rsidR="00E35632" w:rsidRDefault="00E35632">
            <w:pPr>
              <w:pStyle w:val="ConsPlusNormal"/>
              <w:jc w:val="center"/>
            </w:pPr>
            <w:r>
              <w:t>-</w:t>
            </w:r>
          </w:p>
        </w:tc>
        <w:tc>
          <w:tcPr>
            <w:tcW w:w="706" w:type="dxa"/>
          </w:tcPr>
          <w:p w:rsidR="00E35632" w:rsidRDefault="00E35632">
            <w:pPr>
              <w:pStyle w:val="ConsPlusNormal"/>
              <w:jc w:val="center"/>
            </w:pPr>
            <w:r>
              <w:t>-</w:t>
            </w:r>
          </w:p>
        </w:tc>
        <w:tc>
          <w:tcPr>
            <w:tcW w:w="700" w:type="dxa"/>
          </w:tcPr>
          <w:p w:rsidR="00E35632" w:rsidRDefault="00E35632">
            <w:pPr>
              <w:pStyle w:val="ConsPlusNormal"/>
              <w:jc w:val="center"/>
            </w:pPr>
            <w:r>
              <w:t>-</w:t>
            </w:r>
          </w:p>
        </w:tc>
      </w:tr>
      <w:tr w:rsidR="00E35632">
        <w:tc>
          <w:tcPr>
            <w:tcW w:w="0" w:type="auto"/>
            <w:vMerge/>
          </w:tcPr>
          <w:p w:rsidR="00E35632" w:rsidRDefault="00E35632">
            <w:pPr>
              <w:pStyle w:val="ConsPlusNormal"/>
            </w:pPr>
          </w:p>
        </w:tc>
        <w:tc>
          <w:tcPr>
            <w:tcW w:w="1560" w:type="dxa"/>
          </w:tcPr>
          <w:p w:rsidR="00E35632" w:rsidRDefault="00E35632">
            <w:pPr>
              <w:pStyle w:val="ConsPlusNormal"/>
              <w:jc w:val="center"/>
            </w:pPr>
            <w:r>
              <w:rPr>
                <w:i/>
              </w:rPr>
              <w:t>c</w:t>
            </w:r>
          </w:p>
        </w:tc>
        <w:tc>
          <w:tcPr>
            <w:tcW w:w="725" w:type="dxa"/>
          </w:tcPr>
          <w:p w:rsidR="00E35632" w:rsidRDefault="00E35632">
            <w:pPr>
              <w:pStyle w:val="ConsPlusNormal"/>
              <w:jc w:val="center"/>
            </w:pPr>
            <w:r>
              <w:t>29</w:t>
            </w:r>
          </w:p>
        </w:tc>
        <w:tc>
          <w:tcPr>
            <w:tcW w:w="735" w:type="dxa"/>
          </w:tcPr>
          <w:p w:rsidR="00E35632" w:rsidRDefault="00E35632">
            <w:pPr>
              <w:pStyle w:val="ConsPlusNormal"/>
              <w:jc w:val="center"/>
            </w:pPr>
            <w:r>
              <w:t>33</w:t>
            </w:r>
          </w:p>
        </w:tc>
        <w:tc>
          <w:tcPr>
            <w:tcW w:w="725" w:type="dxa"/>
          </w:tcPr>
          <w:p w:rsidR="00E35632" w:rsidRDefault="00E35632">
            <w:pPr>
              <w:pStyle w:val="ConsPlusNormal"/>
              <w:jc w:val="center"/>
            </w:pPr>
            <w:r>
              <w:t>37</w:t>
            </w:r>
          </w:p>
        </w:tc>
        <w:tc>
          <w:tcPr>
            <w:tcW w:w="722" w:type="dxa"/>
          </w:tcPr>
          <w:p w:rsidR="00E35632" w:rsidRDefault="00E35632">
            <w:pPr>
              <w:pStyle w:val="ConsPlusNormal"/>
              <w:jc w:val="center"/>
            </w:pPr>
            <w:r>
              <w:t>45</w:t>
            </w:r>
          </w:p>
        </w:tc>
        <w:tc>
          <w:tcPr>
            <w:tcW w:w="725" w:type="dxa"/>
          </w:tcPr>
          <w:p w:rsidR="00E35632" w:rsidRDefault="00E35632">
            <w:pPr>
              <w:pStyle w:val="ConsPlusNormal"/>
              <w:jc w:val="center"/>
            </w:pPr>
            <w:r>
              <w:t>48</w:t>
            </w:r>
          </w:p>
        </w:tc>
        <w:tc>
          <w:tcPr>
            <w:tcW w:w="722" w:type="dxa"/>
          </w:tcPr>
          <w:p w:rsidR="00E35632" w:rsidRDefault="00E35632">
            <w:pPr>
              <w:pStyle w:val="ConsPlusNormal"/>
              <w:jc w:val="center"/>
            </w:pPr>
            <w:r>
              <w:t>-</w:t>
            </w:r>
          </w:p>
        </w:tc>
        <w:tc>
          <w:tcPr>
            <w:tcW w:w="706" w:type="dxa"/>
          </w:tcPr>
          <w:p w:rsidR="00E35632" w:rsidRDefault="00E35632">
            <w:pPr>
              <w:pStyle w:val="ConsPlusNormal"/>
              <w:jc w:val="center"/>
            </w:pPr>
            <w:r>
              <w:t>-</w:t>
            </w:r>
          </w:p>
        </w:tc>
        <w:tc>
          <w:tcPr>
            <w:tcW w:w="700" w:type="dxa"/>
          </w:tcPr>
          <w:p w:rsidR="00E35632" w:rsidRDefault="00E35632">
            <w:pPr>
              <w:pStyle w:val="ConsPlusNormal"/>
              <w:jc w:val="center"/>
            </w:pPr>
            <w:r>
              <w:t>-</w:t>
            </w:r>
          </w:p>
        </w:tc>
      </w:tr>
      <w:tr w:rsidR="00E35632">
        <w:tc>
          <w:tcPr>
            <w:tcW w:w="1740" w:type="dxa"/>
            <w:vMerge w:val="restart"/>
          </w:tcPr>
          <w:p w:rsidR="00E35632" w:rsidRDefault="00E35632">
            <w:pPr>
              <w:pStyle w:val="ConsPlusNormal"/>
              <w:jc w:val="center"/>
            </w:pPr>
            <w:r>
              <w:t xml:space="preserve">0,25 &lt; </w:t>
            </w:r>
            <w:r>
              <w:rPr>
                <w:i/>
              </w:rPr>
              <w:t>I</w:t>
            </w:r>
            <w:r>
              <w:rPr>
                <w:i/>
                <w:vertAlign w:val="subscript"/>
              </w:rPr>
              <w:t>L</w:t>
            </w:r>
            <w:r>
              <w:t xml:space="preserve"> &lt;= 0,5</w:t>
            </w:r>
          </w:p>
        </w:tc>
        <w:tc>
          <w:tcPr>
            <w:tcW w:w="1560" w:type="dxa"/>
          </w:tcPr>
          <w:p w:rsidR="00E35632" w:rsidRDefault="00E35632">
            <w:pPr>
              <w:pStyle w:val="ConsPlusNormal"/>
              <w:jc w:val="center"/>
            </w:pPr>
            <w:r>
              <w:rPr>
                <w:i/>
              </w:rPr>
              <w:t>E</w:t>
            </w:r>
          </w:p>
        </w:tc>
        <w:tc>
          <w:tcPr>
            <w:tcW w:w="725" w:type="dxa"/>
          </w:tcPr>
          <w:p w:rsidR="00E35632" w:rsidRDefault="00E35632">
            <w:pPr>
              <w:pStyle w:val="ConsPlusNormal"/>
              <w:jc w:val="center"/>
            </w:pPr>
            <w:r>
              <w:t>11</w:t>
            </w:r>
          </w:p>
        </w:tc>
        <w:tc>
          <w:tcPr>
            <w:tcW w:w="735" w:type="dxa"/>
          </w:tcPr>
          <w:p w:rsidR="00E35632" w:rsidRDefault="00E35632">
            <w:pPr>
              <w:pStyle w:val="ConsPlusNormal"/>
              <w:jc w:val="center"/>
            </w:pPr>
            <w:r>
              <w:t>10</w:t>
            </w:r>
          </w:p>
        </w:tc>
        <w:tc>
          <w:tcPr>
            <w:tcW w:w="725" w:type="dxa"/>
          </w:tcPr>
          <w:p w:rsidR="00E35632" w:rsidRDefault="00E35632">
            <w:pPr>
              <w:pStyle w:val="ConsPlusNormal"/>
              <w:jc w:val="center"/>
            </w:pPr>
            <w:r>
              <w:t>8,5</w:t>
            </w:r>
          </w:p>
        </w:tc>
        <w:tc>
          <w:tcPr>
            <w:tcW w:w="722" w:type="dxa"/>
          </w:tcPr>
          <w:p w:rsidR="00E35632" w:rsidRDefault="00E35632">
            <w:pPr>
              <w:pStyle w:val="ConsPlusNormal"/>
              <w:jc w:val="center"/>
            </w:pPr>
            <w:r>
              <w:t>7,5</w:t>
            </w:r>
          </w:p>
        </w:tc>
        <w:tc>
          <w:tcPr>
            <w:tcW w:w="725" w:type="dxa"/>
          </w:tcPr>
          <w:p w:rsidR="00E35632" w:rsidRDefault="00E35632">
            <w:pPr>
              <w:pStyle w:val="ConsPlusNormal"/>
              <w:jc w:val="center"/>
            </w:pPr>
            <w:r>
              <w:t>7</w:t>
            </w:r>
          </w:p>
        </w:tc>
        <w:tc>
          <w:tcPr>
            <w:tcW w:w="722" w:type="dxa"/>
          </w:tcPr>
          <w:p w:rsidR="00E35632" w:rsidRDefault="00E35632">
            <w:pPr>
              <w:pStyle w:val="ConsPlusNormal"/>
              <w:jc w:val="center"/>
            </w:pPr>
            <w:r>
              <w:t>6</w:t>
            </w:r>
          </w:p>
        </w:tc>
        <w:tc>
          <w:tcPr>
            <w:tcW w:w="706" w:type="dxa"/>
          </w:tcPr>
          <w:p w:rsidR="00E35632" w:rsidRDefault="00E35632">
            <w:pPr>
              <w:pStyle w:val="ConsPlusNormal"/>
              <w:jc w:val="center"/>
            </w:pPr>
            <w:r>
              <w:t>5,5</w:t>
            </w:r>
          </w:p>
        </w:tc>
        <w:tc>
          <w:tcPr>
            <w:tcW w:w="700" w:type="dxa"/>
          </w:tcPr>
          <w:p w:rsidR="00E35632" w:rsidRDefault="00E35632">
            <w:pPr>
              <w:pStyle w:val="ConsPlusNormal"/>
              <w:jc w:val="center"/>
            </w:pPr>
            <w:r>
              <w:t>5</w:t>
            </w:r>
          </w:p>
        </w:tc>
      </w:tr>
      <w:tr w:rsidR="00E35632">
        <w:tc>
          <w:tcPr>
            <w:tcW w:w="0" w:type="auto"/>
            <w:vMerge/>
          </w:tcPr>
          <w:p w:rsidR="00E35632" w:rsidRDefault="00E35632">
            <w:pPr>
              <w:pStyle w:val="ConsPlusNormal"/>
            </w:pPr>
          </w:p>
        </w:tc>
        <w:tc>
          <w:tcPr>
            <w:tcW w:w="1560" w:type="dxa"/>
          </w:tcPr>
          <w:p w:rsidR="00E35632" w:rsidRDefault="00E35632">
            <w:pPr>
              <w:pStyle w:val="ConsPlusNormal"/>
              <w:jc w:val="center"/>
            </w:pPr>
            <w:r>
              <w:rPr>
                <w:noProof/>
                <w:position w:val="-4"/>
              </w:rPr>
              <w:drawing>
                <wp:inline distT="0" distB="0" distL="0" distR="0">
                  <wp:extent cx="160020" cy="192405"/>
                  <wp:effectExtent l="0" t="0" r="0" b="0"/>
                  <wp:docPr id="6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725" w:type="dxa"/>
          </w:tcPr>
          <w:p w:rsidR="00E35632" w:rsidRDefault="00E35632">
            <w:pPr>
              <w:pStyle w:val="ConsPlusNormal"/>
              <w:jc w:val="center"/>
            </w:pPr>
            <w:r>
              <w:t>21</w:t>
            </w:r>
          </w:p>
        </w:tc>
        <w:tc>
          <w:tcPr>
            <w:tcW w:w="735" w:type="dxa"/>
          </w:tcPr>
          <w:p w:rsidR="00E35632" w:rsidRDefault="00E35632">
            <w:pPr>
              <w:pStyle w:val="ConsPlusNormal"/>
              <w:jc w:val="center"/>
            </w:pPr>
            <w:r>
              <w:t>20</w:t>
            </w:r>
          </w:p>
        </w:tc>
        <w:tc>
          <w:tcPr>
            <w:tcW w:w="725" w:type="dxa"/>
          </w:tcPr>
          <w:p w:rsidR="00E35632" w:rsidRDefault="00E35632">
            <w:pPr>
              <w:pStyle w:val="ConsPlusNormal"/>
              <w:jc w:val="center"/>
            </w:pPr>
            <w:r>
              <w:t>18</w:t>
            </w:r>
          </w:p>
        </w:tc>
        <w:tc>
          <w:tcPr>
            <w:tcW w:w="722" w:type="dxa"/>
          </w:tcPr>
          <w:p w:rsidR="00E35632" w:rsidRDefault="00E35632">
            <w:pPr>
              <w:pStyle w:val="ConsPlusNormal"/>
              <w:jc w:val="center"/>
            </w:pPr>
            <w:r>
              <w:t>16</w:t>
            </w:r>
          </w:p>
        </w:tc>
        <w:tc>
          <w:tcPr>
            <w:tcW w:w="725" w:type="dxa"/>
          </w:tcPr>
          <w:p w:rsidR="00E35632" w:rsidRDefault="00E35632">
            <w:pPr>
              <w:pStyle w:val="ConsPlusNormal"/>
              <w:jc w:val="center"/>
            </w:pPr>
            <w:r>
              <w:t>15</w:t>
            </w:r>
          </w:p>
        </w:tc>
        <w:tc>
          <w:tcPr>
            <w:tcW w:w="722" w:type="dxa"/>
          </w:tcPr>
          <w:p w:rsidR="00E35632" w:rsidRDefault="00E35632">
            <w:pPr>
              <w:pStyle w:val="ConsPlusNormal"/>
              <w:jc w:val="center"/>
            </w:pPr>
            <w:r>
              <w:t>14</w:t>
            </w:r>
          </w:p>
        </w:tc>
        <w:tc>
          <w:tcPr>
            <w:tcW w:w="706" w:type="dxa"/>
          </w:tcPr>
          <w:p w:rsidR="00E35632" w:rsidRDefault="00E35632">
            <w:pPr>
              <w:pStyle w:val="ConsPlusNormal"/>
              <w:jc w:val="center"/>
            </w:pPr>
            <w:r>
              <w:t>13</w:t>
            </w:r>
          </w:p>
        </w:tc>
        <w:tc>
          <w:tcPr>
            <w:tcW w:w="700" w:type="dxa"/>
          </w:tcPr>
          <w:p w:rsidR="00E35632" w:rsidRDefault="00E35632">
            <w:pPr>
              <w:pStyle w:val="ConsPlusNormal"/>
              <w:jc w:val="center"/>
            </w:pPr>
            <w:r>
              <w:t>12</w:t>
            </w:r>
          </w:p>
        </w:tc>
      </w:tr>
      <w:tr w:rsidR="00E35632">
        <w:tc>
          <w:tcPr>
            <w:tcW w:w="0" w:type="auto"/>
            <w:vMerge/>
          </w:tcPr>
          <w:p w:rsidR="00E35632" w:rsidRDefault="00E35632">
            <w:pPr>
              <w:pStyle w:val="ConsPlusNormal"/>
            </w:pPr>
          </w:p>
        </w:tc>
        <w:tc>
          <w:tcPr>
            <w:tcW w:w="1560" w:type="dxa"/>
          </w:tcPr>
          <w:p w:rsidR="00E35632" w:rsidRDefault="00E35632">
            <w:pPr>
              <w:pStyle w:val="ConsPlusNormal"/>
              <w:jc w:val="center"/>
            </w:pPr>
            <w:r>
              <w:rPr>
                <w:i/>
              </w:rPr>
              <w:t>c</w:t>
            </w:r>
          </w:p>
        </w:tc>
        <w:tc>
          <w:tcPr>
            <w:tcW w:w="725" w:type="dxa"/>
          </w:tcPr>
          <w:p w:rsidR="00E35632" w:rsidRDefault="00E35632">
            <w:pPr>
              <w:pStyle w:val="ConsPlusNormal"/>
              <w:jc w:val="center"/>
            </w:pPr>
            <w:r>
              <w:t>21</w:t>
            </w:r>
          </w:p>
        </w:tc>
        <w:tc>
          <w:tcPr>
            <w:tcW w:w="735" w:type="dxa"/>
          </w:tcPr>
          <w:p w:rsidR="00E35632" w:rsidRDefault="00E35632">
            <w:pPr>
              <w:pStyle w:val="ConsPlusNormal"/>
              <w:jc w:val="center"/>
            </w:pPr>
            <w:r>
              <w:t>22</w:t>
            </w:r>
          </w:p>
        </w:tc>
        <w:tc>
          <w:tcPr>
            <w:tcW w:w="725" w:type="dxa"/>
          </w:tcPr>
          <w:p w:rsidR="00E35632" w:rsidRDefault="00E35632">
            <w:pPr>
              <w:pStyle w:val="ConsPlusNormal"/>
              <w:jc w:val="center"/>
            </w:pPr>
            <w:r>
              <w:t>24</w:t>
            </w:r>
          </w:p>
        </w:tc>
        <w:tc>
          <w:tcPr>
            <w:tcW w:w="722" w:type="dxa"/>
          </w:tcPr>
          <w:p w:rsidR="00E35632" w:rsidRDefault="00E35632">
            <w:pPr>
              <w:pStyle w:val="ConsPlusNormal"/>
              <w:jc w:val="center"/>
            </w:pPr>
            <w:r>
              <w:t>31</w:t>
            </w:r>
          </w:p>
        </w:tc>
        <w:tc>
          <w:tcPr>
            <w:tcW w:w="725" w:type="dxa"/>
          </w:tcPr>
          <w:p w:rsidR="00E35632" w:rsidRDefault="00E35632">
            <w:pPr>
              <w:pStyle w:val="ConsPlusNormal"/>
              <w:jc w:val="center"/>
            </w:pPr>
            <w:r>
              <w:t>33</w:t>
            </w:r>
          </w:p>
        </w:tc>
        <w:tc>
          <w:tcPr>
            <w:tcW w:w="722" w:type="dxa"/>
          </w:tcPr>
          <w:p w:rsidR="00E35632" w:rsidRDefault="00E35632">
            <w:pPr>
              <w:pStyle w:val="ConsPlusNormal"/>
              <w:jc w:val="center"/>
            </w:pPr>
            <w:r>
              <w:t>36</w:t>
            </w:r>
          </w:p>
        </w:tc>
        <w:tc>
          <w:tcPr>
            <w:tcW w:w="706" w:type="dxa"/>
          </w:tcPr>
          <w:p w:rsidR="00E35632" w:rsidRDefault="00E35632">
            <w:pPr>
              <w:pStyle w:val="ConsPlusNormal"/>
              <w:jc w:val="center"/>
            </w:pPr>
            <w:r>
              <w:t>39</w:t>
            </w:r>
          </w:p>
        </w:tc>
        <w:tc>
          <w:tcPr>
            <w:tcW w:w="700" w:type="dxa"/>
          </w:tcPr>
          <w:p w:rsidR="00E35632" w:rsidRDefault="00E35632">
            <w:pPr>
              <w:pStyle w:val="ConsPlusNormal"/>
              <w:jc w:val="center"/>
            </w:pPr>
            <w:r>
              <w:t>42</w:t>
            </w:r>
          </w:p>
        </w:tc>
      </w:tr>
      <w:tr w:rsidR="00E35632">
        <w:tc>
          <w:tcPr>
            <w:tcW w:w="1740" w:type="dxa"/>
            <w:vMerge w:val="restart"/>
          </w:tcPr>
          <w:p w:rsidR="00E35632" w:rsidRDefault="00E35632">
            <w:pPr>
              <w:pStyle w:val="ConsPlusNormal"/>
              <w:jc w:val="center"/>
            </w:pPr>
            <w:r>
              <w:t xml:space="preserve">0,5 &lt; </w:t>
            </w:r>
            <w:r>
              <w:rPr>
                <w:i/>
              </w:rPr>
              <w:t>I</w:t>
            </w:r>
            <w:r>
              <w:rPr>
                <w:i/>
                <w:vertAlign w:val="subscript"/>
              </w:rPr>
              <w:t>L</w:t>
            </w:r>
            <w:r>
              <w:t xml:space="preserve"> &lt;= 0,75</w:t>
            </w:r>
          </w:p>
        </w:tc>
        <w:tc>
          <w:tcPr>
            <w:tcW w:w="1560" w:type="dxa"/>
          </w:tcPr>
          <w:p w:rsidR="00E35632" w:rsidRDefault="00E35632">
            <w:pPr>
              <w:pStyle w:val="ConsPlusNormal"/>
              <w:jc w:val="center"/>
            </w:pPr>
            <w:r>
              <w:rPr>
                <w:i/>
              </w:rPr>
              <w:t>E</w:t>
            </w:r>
          </w:p>
        </w:tc>
        <w:tc>
          <w:tcPr>
            <w:tcW w:w="725" w:type="dxa"/>
          </w:tcPr>
          <w:p w:rsidR="00E35632" w:rsidRDefault="00E35632">
            <w:pPr>
              <w:pStyle w:val="ConsPlusNormal"/>
              <w:jc w:val="center"/>
            </w:pPr>
            <w:r>
              <w:t>8,0</w:t>
            </w:r>
          </w:p>
        </w:tc>
        <w:tc>
          <w:tcPr>
            <w:tcW w:w="735" w:type="dxa"/>
          </w:tcPr>
          <w:p w:rsidR="00E35632" w:rsidRDefault="00E35632">
            <w:pPr>
              <w:pStyle w:val="ConsPlusNormal"/>
              <w:jc w:val="center"/>
            </w:pPr>
            <w:r>
              <w:t>7</w:t>
            </w:r>
          </w:p>
        </w:tc>
        <w:tc>
          <w:tcPr>
            <w:tcW w:w="725" w:type="dxa"/>
          </w:tcPr>
          <w:p w:rsidR="00E35632" w:rsidRDefault="00E35632">
            <w:pPr>
              <w:pStyle w:val="ConsPlusNormal"/>
              <w:jc w:val="center"/>
            </w:pPr>
            <w:r>
              <w:t>6,0</w:t>
            </w:r>
          </w:p>
        </w:tc>
        <w:tc>
          <w:tcPr>
            <w:tcW w:w="722" w:type="dxa"/>
          </w:tcPr>
          <w:p w:rsidR="00E35632" w:rsidRDefault="00E35632">
            <w:pPr>
              <w:pStyle w:val="ConsPlusNormal"/>
              <w:jc w:val="center"/>
            </w:pPr>
            <w:r>
              <w:t>5,5</w:t>
            </w:r>
          </w:p>
        </w:tc>
        <w:tc>
          <w:tcPr>
            <w:tcW w:w="725" w:type="dxa"/>
          </w:tcPr>
          <w:p w:rsidR="00E35632" w:rsidRDefault="00E35632">
            <w:pPr>
              <w:pStyle w:val="ConsPlusNormal"/>
              <w:jc w:val="center"/>
            </w:pPr>
            <w:r>
              <w:t>5</w:t>
            </w:r>
          </w:p>
        </w:tc>
        <w:tc>
          <w:tcPr>
            <w:tcW w:w="722" w:type="dxa"/>
          </w:tcPr>
          <w:p w:rsidR="00E35632" w:rsidRDefault="00E35632">
            <w:pPr>
              <w:pStyle w:val="ConsPlusNormal"/>
              <w:jc w:val="center"/>
            </w:pPr>
            <w:r>
              <w:t>5</w:t>
            </w:r>
          </w:p>
        </w:tc>
        <w:tc>
          <w:tcPr>
            <w:tcW w:w="706" w:type="dxa"/>
          </w:tcPr>
          <w:p w:rsidR="00E35632" w:rsidRDefault="00E35632">
            <w:pPr>
              <w:pStyle w:val="ConsPlusNormal"/>
              <w:jc w:val="center"/>
            </w:pPr>
            <w:r>
              <w:t>4,5</w:t>
            </w:r>
          </w:p>
        </w:tc>
        <w:tc>
          <w:tcPr>
            <w:tcW w:w="700" w:type="dxa"/>
          </w:tcPr>
          <w:p w:rsidR="00E35632" w:rsidRDefault="00E35632">
            <w:pPr>
              <w:pStyle w:val="ConsPlusNormal"/>
              <w:jc w:val="center"/>
            </w:pPr>
            <w:r>
              <w:t>4</w:t>
            </w:r>
          </w:p>
        </w:tc>
      </w:tr>
      <w:tr w:rsidR="00E35632">
        <w:tc>
          <w:tcPr>
            <w:tcW w:w="0" w:type="auto"/>
            <w:vMerge/>
          </w:tcPr>
          <w:p w:rsidR="00E35632" w:rsidRDefault="00E35632">
            <w:pPr>
              <w:pStyle w:val="ConsPlusNormal"/>
            </w:pPr>
          </w:p>
        </w:tc>
        <w:tc>
          <w:tcPr>
            <w:tcW w:w="1560" w:type="dxa"/>
          </w:tcPr>
          <w:p w:rsidR="00E35632" w:rsidRDefault="00E35632">
            <w:pPr>
              <w:pStyle w:val="ConsPlusNormal"/>
              <w:jc w:val="center"/>
            </w:pPr>
            <w:r>
              <w:rPr>
                <w:noProof/>
                <w:position w:val="-4"/>
              </w:rPr>
              <w:drawing>
                <wp:inline distT="0" distB="0" distL="0" distR="0">
                  <wp:extent cx="160020" cy="192405"/>
                  <wp:effectExtent l="0" t="0" r="0" b="0"/>
                  <wp:docPr id="6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725" w:type="dxa"/>
          </w:tcPr>
          <w:p w:rsidR="00E35632" w:rsidRDefault="00E35632">
            <w:pPr>
              <w:pStyle w:val="ConsPlusNormal"/>
              <w:jc w:val="center"/>
            </w:pPr>
            <w:r>
              <w:t>21</w:t>
            </w:r>
          </w:p>
        </w:tc>
        <w:tc>
          <w:tcPr>
            <w:tcW w:w="735" w:type="dxa"/>
          </w:tcPr>
          <w:p w:rsidR="00E35632" w:rsidRDefault="00E35632">
            <w:pPr>
              <w:pStyle w:val="ConsPlusNormal"/>
              <w:jc w:val="center"/>
            </w:pPr>
            <w:r>
              <w:t>20</w:t>
            </w:r>
          </w:p>
        </w:tc>
        <w:tc>
          <w:tcPr>
            <w:tcW w:w="725" w:type="dxa"/>
          </w:tcPr>
          <w:p w:rsidR="00E35632" w:rsidRDefault="00E35632">
            <w:pPr>
              <w:pStyle w:val="ConsPlusNormal"/>
              <w:jc w:val="center"/>
            </w:pPr>
            <w:r>
              <w:t>18</w:t>
            </w:r>
          </w:p>
        </w:tc>
        <w:tc>
          <w:tcPr>
            <w:tcW w:w="722" w:type="dxa"/>
          </w:tcPr>
          <w:p w:rsidR="00E35632" w:rsidRDefault="00E35632">
            <w:pPr>
              <w:pStyle w:val="ConsPlusNormal"/>
              <w:jc w:val="center"/>
            </w:pPr>
            <w:r>
              <w:t>16</w:t>
            </w:r>
          </w:p>
        </w:tc>
        <w:tc>
          <w:tcPr>
            <w:tcW w:w="725" w:type="dxa"/>
          </w:tcPr>
          <w:p w:rsidR="00E35632" w:rsidRDefault="00E35632">
            <w:pPr>
              <w:pStyle w:val="ConsPlusNormal"/>
              <w:jc w:val="center"/>
            </w:pPr>
            <w:r>
              <w:t>15</w:t>
            </w:r>
          </w:p>
        </w:tc>
        <w:tc>
          <w:tcPr>
            <w:tcW w:w="722" w:type="dxa"/>
          </w:tcPr>
          <w:p w:rsidR="00E35632" w:rsidRDefault="00E35632">
            <w:pPr>
              <w:pStyle w:val="ConsPlusNormal"/>
              <w:jc w:val="center"/>
            </w:pPr>
            <w:r>
              <w:t>14</w:t>
            </w:r>
          </w:p>
        </w:tc>
        <w:tc>
          <w:tcPr>
            <w:tcW w:w="706" w:type="dxa"/>
          </w:tcPr>
          <w:p w:rsidR="00E35632" w:rsidRDefault="00E35632">
            <w:pPr>
              <w:pStyle w:val="ConsPlusNormal"/>
              <w:jc w:val="center"/>
            </w:pPr>
            <w:r>
              <w:t>13</w:t>
            </w:r>
          </w:p>
        </w:tc>
        <w:tc>
          <w:tcPr>
            <w:tcW w:w="700" w:type="dxa"/>
          </w:tcPr>
          <w:p w:rsidR="00E35632" w:rsidRDefault="00E35632">
            <w:pPr>
              <w:pStyle w:val="ConsPlusNormal"/>
              <w:jc w:val="center"/>
            </w:pPr>
            <w:r>
              <w:t>12</w:t>
            </w:r>
          </w:p>
        </w:tc>
      </w:tr>
      <w:tr w:rsidR="00E35632">
        <w:tc>
          <w:tcPr>
            <w:tcW w:w="0" w:type="auto"/>
            <w:vMerge/>
          </w:tcPr>
          <w:p w:rsidR="00E35632" w:rsidRDefault="00E35632">
            <w:pPr>
              <w:pStyle w:val="ConsPlusNormal"/>
            </w:pPr>
          </w:p>
        </w:tc>
        <w:tc>
          <w:tcPr>
            <w:tcW w:w="1560" w:type="dxa"/>
          </w:tcPr>
          <w:p w:rsidR="00E35632" w:rsidRDefault="00E35632">
            <w:pPr>
              <w:pStyle w:val="ConsPlusNormal"/>
              <w:jc w:val="center"/>
            </w:pPr>
            <w:r>
              <w:rPr>
                <w:i/>
              </w:rPr>
              <w:t>c</w:t>
            </w:r>
          </w:p>
        </w:tc>
        <w:tc>
          <w:tcPr>
            <w:tcW w:w="725" w:type="dxa"/>
          </w:tcPr>
          <w:p w:rsidR="00E35632" w:rsidRDefault="00E35632">
            <w:pPr>
              <w:pStyle w:val="ConsPlusNormal"/>
              <w:jc w:val="center"/>
            </w:pPr>
            <w:r>
              <w:t>18</w:t>
            </w:r>
          </w:p>
        </w:tc>
        <w:tc>
          <w:tcPr>
            <w:tcW w:w="735" w:type="dxa"/>
          </w:tcPr>
          <w:p w:rsidR="00E35632" w:rsidRDefault="00E35632">
            <w:pPr>
              <w:pStyle w:val="ConsPlusNormal"/>
              <w:jc w:val="center"/>
            </w:pPr>
            <w:r>
              <w:t>19</w:t>
            </w:r>
          </w:p>
        </w:tc>
        <w:tc>
          <w:tcPr>
            <w:tcW w:w="725" w:type="dxa"/>
          </w:tcPr>
          <w:p w:rsidR="00E35632" w:rsidRDefault="00E35632">
            <w:pPr>
              <w:pStyle w:val="ConsPlusNormal"/>
              <w:jc w:val="center"/>
            </w:pPr>
            <w:r>
              <w:t>20</w:t>
            </w:r>
          </w:p>
        </w:tc>
        <w:tc>
          <w:tcPr>
            <w:tcW w:w="722" w:type="dxa"/>
          </w:tcPr>
          <w:p w:rsidR="00E35632" w:rsidRDefault="00E35632">
            <w:pPr>
              <w:pStyle w:val="ConsPlusNormal"/>
              <w:jc w:val="center"/>
            </w:pPr>
            <w:r>
              <w:t>21</w:t>
            </w:r>
          </w:p>
        </w:tc>
        <w:tc>
          <w:tcPr>
            <w:tcW w:w="725" w:type="dxa"/>
          </w:tcPr>
          <w:p w:rsidR="00E35632" w:rsidRDefault="00E35632">
            <w:pPr>
              <w:pStyle w:val="ConsPlusNormal"/>
              <w:jc w:val="center"/>
            </w:pPr>
            <w:r>
              <w:t>23</w:t>
            </w:r>
          </w:p>
        </w:tc>
        <w:tc>
          <w:tcPr>
            <w:tcW w:w="722" w:type="dxa"/>
          </w:tcPr>
          <w:p w:rsidR="00E35632" w:rsidRDefault="00E35632">
            <w:pPr>
              <w:pStyle w:val="ConsPlusNormal"/>
              <w:jc w:val="center"/>
            </w:pPr>
            <w:r>
              <w:t>24</w:t>
            </w:r>
          </w:p>
        </w:tc>
        <w:tc>
          <w:tcPr>
            <w:tcW w:w="706" w:type="dxa"/>
          </w:tcPr>
          <w:p w:rsidR="00E35632" w:rsidRDefault="00E35632">
            <w:pPr>
              <w:pStyle w:val="ConsPlusNormal"/>
              <w:jc w:val="center"/>
            </w:pPr>
            <w:r>
              <w:t>26</w:t>
            </w:r>
          </w:p>
        </w:tc>
        <w:tc>
          <w:tcPr>
            <w:tcW w:w="700" w:type="dxa"/>
          </w:tcPr>
          <w:p w:rsidR="00E35632" w:rsidRDefault="00E35632">
            <w:pPr>
              <w:pStyle w:val="ConsPlusNormal"/>
              <w:jc w:val="center"/>
            </w:pPr>
            <w:r>
              <w:t>28</w:t>
            </w:r>
          </w:p>
        </w:tc>
      </w:tr>
      <w:tr w:rsidR="00E35632">
        <w:tc>
          <w:tcPr>
            <w:tcW w:w="1740" w:type="dxa"/>
            <w:vMerge w:val="restart"/>
          </w:tcPr>
          <w:p w:rsidR="00E35632" w:rsidRDefault="00E35632">
            <w:pPr>
              <w:pStyle w:val="ConsPlusNormal"/>
              <w:jc w:val="center"/>
            </w:pPr>
            <w:r>
              <w:t xml:space="preserve">0,75 &lt; </w:t>
            </w:r>
            <w:r>
              <w:rPr>
                <w:i/>
              </w:rPr>
              <w:t>I</w:t>
            </w:r>
            <w:r>
              <w:rPr>
                <w:i/>
                <w:vertAlign w:val="subscript"/>
              </w:rPr>
              <w:t>L</w:t>
            </w:r>
            <w:r>
              <w:t xml:space="preserve"> &lt;= 1</w:t>
            </w:r>
          </w:p>
        </w:tc>
        <w:tc>
          <w:tcPr>
            <w:tcW w:w="1560" w:type="dxa"/>
          </w:tcPr>
          <w:p w:rsidR="00E35632" w:rsidRDefault="00E35632">
            <w:pPr>
              <w:pStyle w:val="ConsPlusNormal"/>
              <w:jc w:val="center"/>
            </w:pPr>
            <w:r>
              <w:rPr>
                <w:i/>
              </w:rPr>
              <w:t>E</w:t>
            </w:r>
          </w:p>
        </w:tc>
        <w:tc>
          <w:tcPr>
            <w:tcW w:w="725" w:type="dxa"/>
          </w:tcPr>
          <w:p w:rsidR="00E35632" w:rsidRDefault="00E35632">
            <w:pPr>
              <w:pStyle w:val="ConsPlusNormal"/>
              <w:jc w:val="center"/>
            </w:pPr>
            <w:r>
              <w:t>6</w:t>
            </w:r>
          </w:p>
        </w:tc>
        <w:tc>
          <w:tcPr>
            <w:tcW w:w="735" w:type="dxa"/>
          </w:tcPr>
          <w:p w:rsidR="00E35632" w:rsidRDefault="00E35632">
            <w:pPr>
              <w:pStyle w:val="ConsPlusNormal"/>
              <w:jc w:val="center"/>
            </w:pPr>
            <w:r>
              <w:t>5</w:t>
            </w:r>
          </w:p>
        </w:tc>
        <w:tc>
          <w:tcPr>
            <w:tcW w:w="725" w:type="dxa"/>
          </w:tcPr>
          <w:p w:rsidR="00E35632" w:rsidRDefault="00E35632">
            <w:pPr>
              <w:pStyle w:val="ConsPlusNormal"/>
              <w:jc w:val="center"/>
            </w:pPr>
            <w:r>
              <w:t>4,5</w:t>
            </w:r>
          </w:p>
        </w:tc>
        <w:tc>
          <w:tcPr>
            <w:tcW w:w="722" w:type="dxa"/>
          </w:tcPr>
          <w:p w:rsidR="00E35632" w:rsidRDefault="00E35632">
            <w:pPr>
              <w:pStyle w:val="ConsPlusNormal"/>
              <w:jc w:val="center"/>
            </w:pPr>
            <w:r>
              <w:t>4,0</w:t>
            </w:r>
          </w:p>
        </w:tc>
        <w:tc>
          <w:tcPr>
            <w:tcW w:w="725" w:type="dxa"/>
          </w:tcPr>
          <w:p w:rsidR="00E35632" w:rsidRDefault="00E35632">
            <w:pPr>
              <w:pStyle w:val="ConsPlusNormal"/>
              <w:jc w:val="center"/>
            </w:pPr>
            <w:r>
              <w:t>3,5</w:t>
            </w:r>
          </w:p>
        </w:tc>
        <w:tc>
          <w:tcPr>
            <w:tcW w:w="722" w:type="dxa"/>
          </w:tcPr>
          <w:p w:rsidR="00E35632" w:rsidRDefault="00E35632">
            <w:pPr>
              <w:pStyle w:val="ConsPlusNormal"/>
              <w:jc w:val="center"/>
            </w:pPr>
            <w:r>
              <w:t>3</w:t>
            </w:r>
          </w:p>
        </w:tc>
        <w:tc>
          <w:tcPr>
            <w:tcW w:w="706" w:type="dxa"/>
          </w:tcPr>
          <w:p w:rsidR="00E35632" w:rsidRDefault="00E35632">
            <w:pPr>
              <w:pStyle w:val="ConsPlusNormal"/>
              <w:jc w:val="center"/>
            </w:pPr>
            <w:r>
              <w:t>2,5</w:t>
            </w:r>
          </w:p>
        </w:tc>
        <w:tc>
          <w:tcPr>
            <w:tcW w:w="700" w:type="dxa"/>
          </w:tcPr>
          <w:p w:rsidR="00E35632" w:rsidRDefault="00E35632">
            <w:pPr>
              <w:pStyle w:val="ConsPlusNormal"/>
              <w:jc w:val="center"/>
            </w:pPr>
            <w:r>
              <w:t>-</w:t>
            </w:r>
          </w:p>
        </w:tc>
      </w:tr>
      <w:tr w:rsidR="00E35632">
        <w:tc>
          <w:tcPr>
            <w:tcW w:w="0" w:type="auto"/>
            <w:vMerge/>
          </w:tcPr>
          <w:p w:rsidR="00E35632" w:rsidRDefault="00E35632">
            <w:pPr>
              <w:pStyle w:val="ConsPlusNormal"/>
            </w:pPr>
          </w:p>
        </w:tc>
        <w:tc>
          <w:tcPr>
            <w:tcW w:w="1560" w:type="dxa"/>
          </w:tcPr>
          <w:p w:rsidR="00E35632" w:rsidRDefault="00E35632">
            <w:pPr>
              <w:pStyle w:val="ConsPlusNormal"/>
              <w:jc w:val="center"/>
            </w:pPr>
            <w:r>
              <w:rPr>
                <w:noProof/>
                <w:position w:val="-4"/>
              </w:rPr>
              <w:drawing>
                <wp:inline distT="0" distB="0" distL="0" distR="0">
                  <wp:extent cx="160020" cy="192405"/>
                  <wp:effectExtent l="0" t="0" r="0" b="0"/>
                  <wp:docPr id="6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725" w:type="dxa"/>
          </w:tcPr>
          <w:p w:rsidR="00E35632" w:rsidRDefault="00E35632">
            <w:pPr>
              <w:pStyle w:val="ConsPlusNormal"/>
              <w:jc w:val="center"/>
            </w:pPr>
            <w:r>
              <w:t>-</w:t>
            </w:r>
          </w:p>
        </w:tc>
        <w:tc>
          <w:tcPr>
            <w:tcW w:w="735" w:type="dxa"/>
          </w:tcPr>
          <w:p w:rsidR="00E35632" w:rsidRDefault="00E35632">
            <w:pPr>
              <w:pStyle w:val="ConsPlusNormal"/>
              <w:jc w:val="center"/>
            </w:pPr>
            <w:r>
              <w:t>-</w:t>
            </w:r>
          </w:p>
        </w:tc>
        <w:tc>
          <w:tcPr>
            <w:tcW w:w="725" w:type="dxa"/>
          </w:tcPr>
          <w:p w:rsidR="00E35632" w:rsidRDefault="00E35632">
            <w:pPr>
              <w:pStyle w:val="ConsPlusNormal"/>
              <w:jc w:val="center"/>
            </w:pPr>
            <w:r>
              <w:t>-</w:t>
            </w:r>
          </w:p>
        </w:tc>
        <w:tc>
          <w:tcPr>
            <w:tcW w:w="722" w:type="dxa"/>
          </w:tcPr>
          <w:p w:rsidR="00E35632" w:rsidRDefault="00E35632">
            <w:pPr>
              <w:pStyle w:val="ConsPlusNormal"/>
              <w:jc w:val="center"/>
            </w:pPr>
            <w:r>
              <w:t>18</w:t>
            </w:r>
          </w:p>
        </w:tc>
        <w:tc>
          <w:tcPr>
            <w:tcW w:w="725" w:type="dxa"/>
          </w:tcPr>
          <w:p w:rsidR="00E35632" w:rsidRDefault="00E35632">
            <w:pPr>
              <w:pStyle w:val="ConsPlusNormal"/>
              <w:jc w:val="center"/>
            </w:pPr>
            <w:r>
              <w:t>18</w:t>
            </w:r>
          </w:p>
        </w:tc>
        <w:tc>
          <w:tcPr>
            <w:tcW w:w="722" w:type="dxa"/>
          </w:tcPr>
          <w:p w:rsidR="00E35632" w:rsidRDefault="00E35632">
            <w:pPr>
              <w:pStyle w:val="ConsPlusNormal"/>
              <w:jc w:val="center"/>
            </w:pPr>
            <w:r>
              <w:t>18</w:t>
            </w:r>
          </w:p>
        </w:tc>
        <w:tc>
          <w:tcPr>
            <w:tcW w:w="706" w:type="dxa"/>
          </w:tcPr>
          <w:p w:rsidR="00E35632" w:rsidRDefault="00E35632">
            <w:pPr>
              <w:pStyle w:val="ConsPlusNormal"/>
              <w:jc w:val="center"/>
            </w:pPr>
            <w:r>
              <w:t>17</w:t>
            </w:r>
          </w:p>
        </w:tc>
        <w:tc>
          <w:tcPr>
            <w:tcW w:w="700" w:type="dxa"/>
          </w:tcPr>
          <w:p w:rsidR="00E35632" w:rsidRDefault="00E35632">
            <w:pPr>
              <w:pStyle w:val="ConsPlusNormal"/>
              <w:jc w:val="center"/>
            </w:pPr>
            <w:r>
              <w:t>-</w:t>
            </w:r>
          </w:p>
        </w:tc>
      </w:tr>
      <w:tr w:rsidR="00E35632">
        <w:tc>
          <w:tcPr>
            <w:tcW w:w="0" w:type="auto"/>
            <w:vMerge/>
          </w:tcPr>
          <w:p w:rsidR="00E35632" w:rsidRDefault="00E35632">
            <w:pPr>
              <w:pStyle w:val="ConsPlusNormal"/>
            </w:pPr>
          </w:p>
        </w:tc>
        <w:tc>
          <w:tcPr>
            <w:tcW w:w="1560" w:type="dxa"/>
          </w:tcPr>
          <w:p w:rsidR="00E35632" w:rsidRDefault="00E35632">
            <w:pPr>
              <w:pStyle w:val="ConsPlusNormal"/>
              <w:jc w:val="center"/>
            </w:pPr>
            <w:r>
              <w:rPr>
                <w:i/>
              </w:rPr>
              <w:t>c</w:t>
            </w:r>
          </w:p>
        </w:tc>
        <w:tc>
          <w:tcPr>
            <w:tcW w:w="725" w:type="dxa"/>
          </w:tcPr>
          <w:p w:rsidR="00E35632" w:rsidRDefault="00E35632">
            <w:pPr>
              <w:pStyle w:val="ConsPlusNormal"/>
              <w:jc w:val="center"/>
            </w:pPr>
            <w:r>
              <w:t>-</w:t>
            </w:r>
          </w:p>
        </w:tc>
        <w:tc>
          <w:tcPr>
            <w:tcW w:w="735" w:type="dxa"/>
          </w:tcPr>
          <w:p w:rsidR="00E35632" w:rsidRDefault="00E35632">
            <w:pPr>
              <w:pStyle w:val="ConsPlusNormal"/>
              <w:jc w:val="center"/>
            </w:pPr>
            <w:r>
              <w:t>-</w:t>
            </w:r>
          </w:p>
        </w:tc>
        <w:tc>
          <w:tcPr>
            <w:tcW w:w="725" w:type="dxa"/>
          </w:tcPr>
          <w:p w:rsidR="00E35632" w:rsidRDefault="00E35632">
            <w:pPr>
              <w:pStyle w:val="ConsPlusNormal"/>
              <w:jc w:val="center"/>
            </w:pPr>
            <w:r>
              <w:t>-</w:t>
            </w:r>
          </w:p>
        </w:tc>
        <w:tc>
          <w:tcPr>
            <w:tcW w:w="722" w:type="dxa"/>
          </w:tcPr>
          <w:p w:rsidR="00E35632" w:rsidRDefault="00E35632">
            <w:pPr>
              <w:pStyle w:val="ConsPlusNormal"/>
              <w:jc w:val="center"/>
            </w:pPr>
            <w:r>
              <w:t>15</w:t>
            </w:r>
          </w:p>
        </w:tc>
        <w:tc>
          <w:tcPr>
            <w:tcW w:w="725" w:type="dxa"/>
          </w:tcPr>
          <w:p w:rsidR="00E35632" w:rsidRDefault="00E35632">
            <w:pPr>
              <w:pStyle w:val="ConsPlusNormal"/>
              <w:jc w:val="center"/>
            </w:pPr>
            <w:r>
              <w:t>16</w:t>
            </w:r>
          </w:p>
        </w:tc>
        <w:tc>
          <w:tcPr>
            <w:tcW w:w="722" w:type="dxa"/>
          </w:tcPr>
          <w:p w:rsidR="00E35632" w:rsidRDefault="00E35632">
            <w:pPr>
              <w:pStyle w:val="ConsPlusNormal"/>
              <w:jc w:val="center"/>
            </w:pPr>
            <w:r>
              <w:t>17</w:t>
            </w:r>
          </w:p>
        </w:tc>
        <w:tc>
          <w:tcPr>
            <w:tcW w:w="706" w:type="dxa"/>
          </w:tcPr>
          <w:p w:rsidR="00E35632" w:rsidRDefault="00E35632">
            <w:pPr>
              <w:pStyle w:val="ConsPlusNormal"/>
              <w:jc w:val="center"/>
            </w:pPr>
            <w:r>
              <w:t>18</w:t>
            </w:r>
          </w:p>
        </w:tc>
        <w:tc>
          <w:tcPr>
            <w:tcW w:w="700" w:type="dxa"/>
          </w:tcPr>
          <w:p w:rsidR="00E35632" w:rsidRDefault="00E35632">
            <w:pPr>
              <w:pStyle w:val="ConsPlusNormal"/>
              <w:jc w:val="center"/>
            </w:pPr>
            <w:r>
              <w:t>-</w:t>
            </w:r>
          </w:p>
        </w:tc>
      </w:tr>
    </w:tbl>
    <w:p w:rsidR="00E35632" w:rsidRDefault="00E35632">
      <w:pPr>
        <w:pStyle w:val="ConsPlusNormal"/>
        <w:jc w:val="both"/>
      </w:pPr>
    </w:p>
    <w:p w:rsidR="00E35632" w:rsidRDefault="00E35632">
      <w:pPr>
        <w:pStyle w:val="ConsPlusNormal"/>
        <w:jc w:val="right"/>
      </w:pPr>
      <w:r>
        <w:t>Таблица А.5</w:t>
      </w:r>
    </w:p>
    <w:p w:rsidR="00E35632" w:rsidRDefault="00E35632">
      <w:pPr>
        <w:pStyle w:val="ConsPlusNormal"/>
        <w:jc w:val="both"/>
      </w:pPr>
    </w:p>
    <w:p w:rsidR="00E35632" w:rsidRDefault="00E35632">
      <w:pPr>
        <w:pStyle w:val="ConsPlusNormal"/>
        <w:jc w:val="center"/>
      </w:pPr>
      <w:bookmarkStart w:id="278" w:name="P5723"/>
      <w:bookmarkEnd w:id="278"/>
      <w:r>
        <w:rPr>
          <w:b/>
        </w:rPr>
        <w:t>Нормативные значения удельного сцепления</w:t>
      </w:r>
      <w:r>
        <w:t xml:space="preserve"> </w:t>
      </w:r>
      <w:r>
        <w:rPr>
          <w:b/>
          <w:i/>
        </w:rPr>
        <w:t>c</w:t>
      </w:r>
      <w:r>
        <w:rPr>
          <w:b/>
          <w:i/>
          <w:vertAlign w:val="subscript"/>
        </w:rPr>
        <w:t>n</w:t>
      </w:r>
      <w:r>
        <w:rPr>
          <w:b/>
        </w:rPr>
        <w:t>, кПа,</w:t>
      </w:r>
    </w:p>
    <w:p w:rsidR="00E35632" w:rsidRDefault="00E35632">
      <w:pPr>
        <w:pStyle w:val="ConsPlusNormal"/>
        <w:jc w:val="center"/>
      </w:pPr>
      <w:r>
        <w:rPr>
          <w:b/>
        </w:rPr>
        <w:t xml:space="preserve">угла внутреннего трения </w:t>
      </w:r>
      <w:r>
        <w:rPr>
          <w:noProof/>
          <w:position w:val="-8"/>
        </w:rPr>
        <w:drawing>
          <wp:inline distT="0" distB="0" distL="0" distR="0">
            <wp:extent cx="182880" cy="250825"/>
            <wp:effectExtent l="0" t="0" r="0" b="0"/>
            <wp:docPr id="6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rPr>
          <w:b/>
        </w:rPr>
        <w:t>, град., и модуля</w:t>
      </w:r>
    </w:p>
    <w:p w:rsidR="00E35632" w:rsidRDefault="00E35632">
      <w:pPr>
        <w:pStyle w:val="ConsPlusNormal"/>
        <w:jc w:val="center"/>
      </w:pPr>
      <w:r>
        <w:rPr>
          <w:b/>
        </w:rPr>
        <w:t>деформации</w:t>
      </w:r>
      <w:r>
        <w:t xml:space="preserve"> </w:t>
      </w:r>
      <w:r>
        <w:rPr>
          <w:b/>
          <w:i/>
        </w:rPr>
        <w:t>E</w:t>
      </w:r>
      <w:r>
        <w:rPr>
          <w:b/>
        </w:rPr>
        <w:t>, МПа, элювиальных песков</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20"/>
        <w:gridCol w:w="1644"/>
        <w:gridCol w:w="876"/>
        <w:gridCol w:w="840"/>
        <w:gridCol w:w="840"/>
        <w:gridCol w:w="840"/>
        <w:gridCol w:w="840"/>
        <w:gridCol w:w="840"/>
        <w:gridCol w:w="720"/>
      </w:tblGrid>
      <w:tr w:rsidR="00E35632">
        <w:tc>
          <w:tcPr>
            <w:tcW w:w="1620" w:type="dxa"/>
            <w:vMerge w:val="restart"/>
            <w:tcBorders>
              <w:top w:val="single" w:sz="4" w:space="0" w:color="auto"/>
              <w:bottom w:val="single" w:sz="4" w:space="0" w:color="auto"/>
            </w:tcBorders>
            <w:vAlign w:val="center"/>
          </w:tcPr>
          <w:p w:rsidR="00E35632" w:rsidRDefault="00E35632">
            <w:pPr>
              <w:pStyle w:val="ConsPlusNormal"/>
              <w:jc w:val="center"/>
            </w:pPr>
            <w:r>
              <w:t>Пески</w:t>
            </w:r>
          </w:p>
        </w:tc>
        <w:tc>
          <w:tcPr>
            <w:tcW w:w="1644" w:type="dxa"/>
            <w:vMerge w:val="restart"/>
            <w:tcBorders>
              <w:top w:val="single" w:sz="4" w:space="0" w:color="auto"/>
              <w:bottom w:val="single" w:sz="4" w:space="0" w:color="auto"/>
            </w:tcBorders>
            <w:vAlign w:val="center"/>
          </w:tcPr>
          <w:p w:rsidR="00E35632" w:rsidRDefault="00E35632">
            <w:pPr>
              <w:pStyle w:val="ConsPlusNormal"/>
              <w:jc w:val="center"/>
            </w:pPr>
            <w:r>
              <w:t>Обозначение характеристик</w:t>
            </w:r>
          </w:p>
        </w:tc>
        <w:tc>
          <w:tcPr>
            <w:tcW w:w="5796" w:type="dxa"/>
            <w:gridSpan w:val="7"/>
            <w:tcBorders>
              <w:top w:val="single" w:sz="4" w:space="0" w:color="auto"/>
              <w:bottom w:val="single" w:sz="4" w:space="0" w:color="auto"/>
            </w:tcBorders>
            <w:vAlign w:val="center"/>
          </w:tcPr>
          <w:p w:rsidR="00E35632" w:rsidRDefault="00E35632">
            <w:pPr>
              <w:pStyle w:val="ConsPlusNormal"/>
              <w:jc w:val="center"/>
            </w:pPr>
            <w:r>
              <w:t xml:space="preserve">Характеристики песков при коэффициенте пористости </w:t>
            </w:r>
            <w:r>
              <w:rPr>
                <w:i/>
              </w:rPr>
              <w:t>e</w:t>
            </w:r>
            <w:r>
              <w:t>, равном</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876" w:type="dxa"/>
            <w:tcBorders>
              <w:top w:val="single" w:sz="4" w:space="0" w:color="auto"/>
              <w:bottom w:val="single" w:sz="4" w:space="0" w:color="auto"/>
            </w:tcBorders>
            <w:vAlign w:val="center"/>
          </w:tcPr>
          <w:p w:rsidR="00E35632" w:rsidRDefault="00E35632">
            <w:pPr>
              <w:pStyle w:val="ConsPlusNormal"/>
              <w:jc w:val="center"/>
            </w:pPr>
            <w:r>
              <w:t>0,45</w:t>
            </w:r>
          </w:p>
        </w:tc>
        <w:tc>
          <w:tcPr>
            <w:tcW w:w="840" w:type="dxa"/>
            <w:tcBorders>
              <w:top w:val="single" w:sz="4" w:space="0" w:color="auto"/>
              <w:bottom w:val="single" w:sz="4" w:space="0" w:color="auto"/>
            </w:tcBorders>
            <w:vAlign w:val="center"/>
          </w:tcPr>
          <w:p w:rsidR="00E35632" w:rsidRDefault="00E35632">
            <w:pPr>
              <w:pStyle w:val="ConsPlusNormal"/>
              <w:jc w:val="center"/>
            </w:pPr>
            <w:r>
              <w:t>0,55</w:t>
            </w:r>
          </w:p>
        </w:tc>
        <w:tc>
          <w:tcPr>
            <w:tcW w:w="840" w:type="dxa"/>
            <w:tcBorders>
              <w:top w:val="single" w:sz="4" w:space="0" w:color="auto"/>
              <w:bottom w:val="single" w:sz="4" w:space="0" w:color="auto"/>
            </w:tcBorders>
            <w:vAlign w:val="center"/>
          </w:tcPr>
          <w:p w:rsidR="00E35632" w:rsidRDefault="00E35632">
            <w:pPr>
              <w:pStyle w:val="ConsPlusNormal"/>
              <w:jc w:val="center"/>
            </w:pPr>
            <w:r>
              <w:t>0,65</w:t>
            </w:r>
          </w:p>
        </w:tc>
        <w:tc>
          <w:tcPr>
            <w:tcW w:w="840" w:type="dxa"/>
            <w:tcBorders>
              <w:top w:val="single" w:sz="4" w:space="0" w:color="auto"/>
              <w:bottom w:val="single" w:sz="4" w:space="0" w:color="auto"/>
            </w:tcBorders>
            <w:vAlign w:val="center"/>
          </w:tcPr>
          <w:p w:rsidR="00E35632" w:rsidRDefault="00E35632">
            <w:pPr>
              <w:pStyle w:val="ConsPlusNormal"/>
              <w:jc w:val="center"/>
            </w:pPr>
            <w:r>
              <w:t>0,75</w:t>
            </w:r>
          </w:p>
        </w:tc>
        <w:tc>
          <w:tcPr>
            <w:tcW w:w="840" w:type="dxa"/>
            <w:tcBorders>
              <w:top w:val="single" w:sz="4" w:space="0" w:color="auto"/>
              <w:bottom w:val="single" w:sz="4" w:space="0" w:color="auto"/>
            </w:tcBorders>
            <w:vAlign w:val="center"/>
          </w:tcPr>
          <w:p w:rsidR="00E35632" w:rsidRDefault="00E35632">
            <w:pPr>
              <w:pStyle w:val="ConsPlusNormal"/>
              <w:jc w:val="center"/>
            </w:pPr>
            <w:r>
              <w:t>0,85</w:t>
            </w:r>
          </w:p>
        </w:tc>
        <w:tc>
          <w:tcPr>
            <w:tcW w:w="840" w:type="dxa"/>
            <w:tcBorders>
              <w:top w:val="single" w:sz="4" w:space="0" w:color="auto"/>
              <w:bottom w:val="single" w:sz="4" w:space="0" w:color="auto"/>
            </w:tcBorders>
            <w:vAlign w:val="center"/>
          </w:tcPr>
          <w:p w:rsidR="00E35632" w:rsidRDefault="00E35632">
            <w:pPr>
              <w:pStyle w:val="ConsPlusNormal"/>
              <w:jc w:val="center"/>
            </w:pPr>
            <w:r>
              <w:t>1,0</w:t>
            </w:r>
          </w:p>
        </w:tc>
        <w:tc>
          <w:tcPr>
            <w:tcW w:w="720" w:type="dxa"/>
            <w:tcBorders>
              <w:top w:val="single" w:sz="4" w:space="0" w:color="auto"/>
              <w:bottom w:val="single" w:sz="4" w:space="0" w:color="auto"/>
            </w:tcBorders>
            <w:vAlign w:val="center"/>
          </w:tcPr>
          <w:p w:rsidR="00E35632" w:rsidRDefault="00E35632">
            <w:pPr>
              <w:pStyle w:val="ConsPlusNormal"/>
              <w:jc w:val="center"/>
            </w:pPr>
            <w:r>
              <w:t>1,2</w:t>
            </w:r>
          </w:p>
        </w:tc>
      </w:tr>
      <w:tr w:rsidR="00E35632">
        <w:tc>
          <w:tcPr>
            <w:tcW w:w="1620" w:type="dxa"/>
            <w:vMerge w:val="restart"/>
            <w:tcBorders>
              <w:top w:val="single" w:sz="4" w:space="0" w:color="auto"/>
              <w:bottom w:val="single" w:sz="4" w:space="0" w:color="auto"/>
            </w:tcBorders>
          </w:tcPr>
          <w:p w:rsidR="00E35632" w:rsidRDefault="00E35632">
            <w:pPr>
              <w:pStyle w:val="ConsPlusNormal"/>
            </w:pPr>
            <w:r>
              <w:t>Дресвянистые</w:t>
            </w:r>
          </w:p>
        </w:tc>
        <w:tc>
          <w:tcPr>
            <w:tcW w:w="1644" w:type="dxa"/>
            <w:tcBorders>
              <w:top w:val="single" w:sz="4" w:space="0" w:color="auto"/>
              <w:bottom w:val="nil"/>
            </w:tcBorders>
          </w:tcPr>
          <w:p w:rsidR="00E35632" w:rsidRDefault="00E35632">
            <w:pPr>
              <w:pStyle w:val="ConsPlusNormal"/>
              <w:jc w:val="center"/>
            </w:pPr>
            <w:r>
              <w:rPr>
                <w:i/>
              </w:rPr>
              <w:t>c</w:t>
            </w:r>
          </w:p>
        </w:tc>
        <w:tc>
          <w:tcPr>
            <w:tcW w:w="876" w:type="dxa"/>
            <w:tcBorders>
              <w:top w:val="single" w:sz="4" w:space="0" w:color="auto"/>
              <w:bottom w:val="nil"/>
            </w:tcBorders>
          </w:tcPr>
          <w:p w:rsidR="00E35632" w:rsidRDefault="00E35632">
            <w:pPr>
              <w:pStyle w:val="ConsPlusNormal"/>
              <w:jc w:val="center"/>
            </w:pPr>
            <w:r>
              <w:t>45</w:t>
            </w:r>
          </w:p>
        </w:tc>
        <w:tc>
          <w:tcPr>
            <w:tcW w:w="840" w:type="dxa"/>
            <w:tcBorders>
              <w:top w:val="single" w:sz="4" w:space="0" w:color="auto"/>
              <w:bottom w:val="nil"/>
            </w:tcBorders>
          </w:tcPr>
          <w:p w:rsidR="00E35632" w:rsidRDefault="00E35632">
            <w:pPr>
              <w:pStyle w:val="ConsPlusNormal"/>
              <w:jc w:val="center"/>
            </w:pPr>
            <w:r>
              <w:t>41</w:t>
            </w:r>
          </w:p>
        </w:tc>
        <w:tc>
          <w:tcPr>
            <w:tcW w:w="840" w:type="dxa"/>
            <w:tcBorders>
              <w:top w:val="single" w:sz="4" w:space="0" w:color="auto"/>
              <w:bottom w:val="nil"/>
            </w:tcBorders>
          </w:tcPr>
          <w:p w:rsidR="00E35632" w:rsidRDefault="00E35632">
            <w:pPr>
              <w:pStyle w:val="ConsPlusNormal"/>
              <w:jc w:val="center"/>
            </w:pPr>
            <w:r>
              <w:t>39</w:t>
            </w:r>
          </w:p>
        </w:tc>
        <w:tc>
          <w:tcPr>
            <w:tcW w:w="840" w:type="dxa"/>
            <w:tcBorders>
              <w:top w:val="single" w:sz="4" w:space="0" w:color="auto"/>
              <w:bottom w:val="nil"/>
            </w:tcBorders>
          </w:tcPr>
          <w:p w:rsidR="00E35632" w:rsidRDefault="00E35632">
            <w:pPr>
              <w:pStyle w:val="ConsPlusNormal"/>
              <w:jc w:val="center"/>
            </w:pPr>
            <w:r>
              <w:t>37</w:t>
            </w:r>
          </w:p>
        </w:tc>
        <w:tc>
          <w:tcPr>
            <w:tcW w:w="840" w:type="dxa"/>
            <w:tcBorders>
              <w:top w:val="single" w:sz="4" w:space="0" w:color="auto"/>
              <w:bottom w:val="nil"/>
            </w:tcBorders>
          </w:tcPr>
          <w:p w:rsidR="00E35632" w:rsidRDefault="00E35632">
            <w:pPr>
              <w:pStyle w:val="ConsPlusNormal"/>
              <w:jc w:val="center"/>
            </w:pPr>
            <w:r>
              <w:t>35</w:t>
            </w:r>
          </w:p>
        </w:tc>
        <w:tc>
          <w:tcPr>
            <w:tcW w:w="840" w:type="dxa"/>
            <w:tcBorders>
              <w:top w:val="single" w:sz="4" w:space="0" w:color="auto"/>
              <w:bottom w:val="nil"/>
            </w:tcBorders>
          </w:tcPr>
          <w:p w:rsidR="00E35632" w:rsidRDefault="00E35632">
            <w:pPr>
              <w:pStyle w:val="ConsPlusNormal"/>
              <w:jc w:val="center"/>
            </w:pPr>
            <w:r>
              <w:t>34</w:t>
            </w:r>
          </w:p>
        </w:tc>
        <w:tc>
          <w:tcPr>
            <w:tcW w:w="720" w:type="dxa"/>
            <w:tcBorders>
              <w:top w:val="single" w:sz="4" w:space="0" w:color="auto"/>
              <w:bottom w:val="nil"/>
            </w:tcBorders>
          </w:tcPr>
          <w:p w:rsidR="00E35632" w:rsidRDefault="00E35632">
            <w:pPr>
              <w:pStyle w:val="ConsPlusNormal"/>
              <w:jc w:val="center"/>
            </w:pPr>
            <w:r>
              <w:t>-</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644" w:type="dxa"/>
            <w:tcBorders>
              <w:top w:val="nil"/>
              <w:bottom w:val="nil"/>
            </w:tcBorders>
          </w:tcPr>
          <w:p w:rsidR="00E35632" w:rsidRDefault="00E35632">
            <w:pPr>
              <w:pStyle w:val="ConsPlusNormal"/>
              <w:jc w:val="center"/>
            </w:pPr>
            <w:r>
              <w:rPr>
                <w:noProof/>
                <w:position w:val="-4"/>
              </w:rPr>
              <w:drawing>
                <wp:inline distT="0" distB="0" distL="0" distR="0">
                  <wp:extent cx="160020" cy="192405"/>
                  <wp:effectExtent l="0" t="0" r="0" b="0"/>
                  <wp:docPr id="6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876" w:type="dxa"/>
            <w:tcBorders>
              <w:top w:val="nil"/>
              <w:bottom w:val="nil"/>
            </w:tcBorders>
          </w:tcPr>
          <w:p w:rsidR="00E35632" w:rsidRDefault="00E35632">
            <w:pPr>
              <w:pStyle w:val="ConsPlusNormal"/>
              <w:jc w:val="center"/>
            </w:pPr>
            <w:r>
              <w:t>34</w:t>
            </w:r>
          </w:p>
        </w:tc>
        <w:tc>
          <w:tcPr>
            <w:tcW w:w="840" w:type="dxa"/>
            <w:tcBorders>
              <w:top w:val="nil"/>
              <w:bottom w:val="nil"/>
            </w:tcBorders>
          </w:tcPr>
          <w:p w:rsidR="00E35632" w:rsidRDefault="00E35632">
            <w:pPr>
              <w:pStyle w:val="ConsPlusNormal"/>
              <w:jc w:val="center"/>
            </w:pPr>
            <w:r>
              <w:t>31</w:t>
            </w:r>
          </w:p>
        </w:tc>
        <w:tc>
          <w:tcPr>
            <w:tcW w:w="840" w:type="dxa"/>
            <w:tcBorders>
              <w:top w:val="nil"/>
              <w:bottom w:val="nil"/>
            </w:tcBorders>
          </w:tcPr>
          <w:p w:rsidR="00E35632" w:rsidRDefault="00E35632">
            <w:pPr>
              <w:pStyle w:val="ConsPlusNormal"/>
              <w:jc w:val="center"/>
            </w:pPr>
            <w:r>
              <w:t>28</w:t>
            </w:r>
          </w:p>
        </w:tc>
        <w:tc>
          <w:tcPr>
            <w:tcW w:w="840" w:type="dxa"/>
            <w:tcBorders>
              <w:top w:val="nil"/>
              <w:bottom w:val="nil"/>
            </w:tcBorders>
          </w:tcPr>
          <w:p w:rsidR="00E35632" w:rsidRDefault="00E35632">
            <w:pPr>
              <w:pStyle w:val="ConsPlusNormal"/>
              <w:jc w:val="center"/>
            </w:pPr>
            <w:r>
              <w:t>25</w:t>
            </w:r>
          </w:p>
        </w:tc>
        <w:tc>
          <w:tcPr>
            <w:tcW w:w="840" w:type="dxa"/>
            <w:tcBorders>
              <w:top w:val="nil"/>
              <w:bottom w:val="nil"/>
            </w:tcBorders>
          </w:tcPr>
          <w:p w:rsidR="00E35632" w:rsidRDefault="00E35632">
            <w:pPr>
              <w:pStyle w:val="ConsPlusNormal"/>
              <w:jc w:val="center"/>
            </w:pPr>
            <w:r>
              <w:t>23</w:t>
            </w:r>
          </w:p>
        </w:tc>
        <w:tc>
          <w:tcPr>
            <w:tcW w:w="840" w:type="dxa"/>
            <w:tcBorders>
              <w:top w:val="nil"/>
              <w:bottom w:val="nil"/>
            </w:tcBorders>
          </w:tcPr>
          <w:p w:rsidR="00E35632" w:rsidRDefault="00E35632">
            <w:pPr>
              <w:pStyle w:val="ConsPlusNormal"/>
              <w:jc w:val="center"/>
            </w:pPr>
            <w:r>
              <w:t>21</w:t>
            </w:r>
          </w:p>
        </w:tc>
        <w:tc>
          <w:tcPr>
            <w:tcW w:w="720" w:type="dxa"/>
            <w:tcBorders>
              <w:top w:val="nil"/>
              <w:bottom w:val="nil"/>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644" w:type="dxa"/>
            <w:tcBorders>
              <w:top w:val="nil"/>
              <w:bottom w:val="single" w:sz="4" w:space="0" w:color="auto"/>
            </w:tcBorders>
          </w:tcPr>
          <w:p w:rsidR="00E35632" w:rsidRDefault="00E35632">
            <w:pPr>
              <w:pStyle w:val="ConsPlusNormal"/>
              <w:jc w:val="center"/>
            </w:pPr>
            <w:r>
              <w:rPr>
                <w:i/>
              </w:rPr>
              <w:t>E</w:t>
            </w:r>
          </w:p>
        </w:tc>
        <w:tc>
          <w:tcPr>
            <w:tcW w:w="876" w:type="dxa"/>
            <w:tcBorders>
              <w:top w:val="nil"/>
              <w:bottom w:val="single" w:sz="4" w:space="0" w:color="auto"/>
            </w:tcBorders>
          </w:tcPr>
          <w:p w:rsidR="00E35632" w:rsidRDefault="00E35632">
            <w:pPr>
              <w:pStyle w:val="ConsPlusNormal"/>
              <w:jc w:val="center"/>
            </w:pPr>
            <w:r>
              <w:t>44</w:t>
            </w:r>
          </w:p>
        </w:tc>
        <w:tc>
          <w:tcPr>
            <w:tcW w:w="840" w:type="dxa"/>
            <w:tcBorders>
              <w:top w:val="nil"/>
              <w:bottom w:val="single" w:sz="4" w:space="0" w:color="auto"/>
            </w:tcBorders>
          </w:tcPr>
          <w:p w:rsidR="00E35632" w:rsidRDefault="00E35632">
            <w:pPr>
              <w:pStyle w:val="ConsPlusNormal"/>
              <w:jc w:val="center"/>
            </w:pPr>
            <w:r>
              <w:t>33</w:t>
            </w:r>
          </w:p>
        </w:tc>
        <w:tc>
          <w:tcPr>
            <w:tcW w:w="840" w:type="dxa"/>
            <w:tcBorders>
              <w:top w:val="nil"/>
              <w:bottom w:val="single" w:sz="4" w:space="0" w:color="auto"/>
            </w:tcBorders>
          </w:tcPr>
          <w:p w:rsidR="00E35632" w:rsidRDefault="00E35632">
            <w:pPr>
              <w:pStyle w:val="ConsPlusNormal"/>
              <w:jc w:val="center"/>
            </w:pPr>
            <w:r>
              <w:t>24</w:t>
            </w:r>
          </w:p>
        </w:tc>
        <w:tc>
          <w:tcPr>
            <w:tcW w:w="840" w:type="dxa"/>
            <w:tcBorders>
              <w:top w:val="nil"/>
              <w:bottom w:val="single" w:sz="4" w:space="0" w:color="auto"/>
            </w:tcBorders>
          </w:tcPr>
          <w:p w:rsidR="00E35632" w:rsidRDefault="00E35632">
            <w:pPr>
              <w:pStyle w:val="ConsPlusNormal"/>
              <w:jc w:val="center"/>
            </w:pPr>
            <w:r>
              <w:t>18</w:t>
            </w:r>
          </w:p>
        </w:tc>
        <w:tc>
          <w:tcPr>
            <w:tcW w:w="840" w:type="dxa"/>
            <w:tcBorders>
              <w:top w:val="nil"/>
              <w:bottom w:val="single" w:sz="4" w:space="0" w:color="auto"/>
            </w:tcBorders>
          </w:tcPr>
          <w:p w:rsidR="00E35632" w:rsidRDefault="00E35632">
            <w:pPr>
              <w:pStyle w:val="ConsPlusNormal"/>
              <w:jc w:val="center"/>
            </w:pPr>
            <w:r>
              <w:t>15</w:t>
            </w:r>
          </w:p>
        </w:tc>
        <w:tc>
          <w:tcPr>
            <w:tcW w:w="840" w:type="dxa"/>
            <w:tcBorders>
              <w:top w:val="nil"/>
              <w:bottom w:val="single" w:sz="4" w:space="0" w:color="auto"/>
            </w:tcBorders>
          </w:tcPr>
          <w:p w:rsidR="00E35632" w:rsidRDefault="00E35632">
            <w:pPr>
              <w:pStyle w:val="ConsPlusNormal"/>
              <w:jc w:val="center"/>
            </w:pPr>
            <w:r>
              <w:t>14</w:t>
            </w:r>
          </w:p>
        </w:tc>
        <w:tc>
          <w:tcPr>
            <w:tcW w:w="720" w:type="dxa"/>
            <w:tcBorders>
              <w:top w:val="nil"/>
              <w:bottom w:val="single" w:sz="4" w:space="0" w:color="auto"/>
            </w:tcBorders>
          </w:tcPr>
          <w:p w:rsidR="00E35632" w:rsidRDefault="00E35632">
            <w:pPr>
              <w:pStyle w:val="ConsPlusNormal"/>
              <w:jc w:val="center"/>
            </w:pPr>
            <w:r>
              <w:t>-</w:t>
            </w:r>
          </w:p>
        </w:tc>
      </w:tr>
      <w:tr w:rsidR="00E35632">
        <w:tc>
          <w:tcPr>
            <w:tcW w:w="1620" w:type="dxa"/>
            <w:vMerge w:val="restart"/>
            <w:tcBorders>
              <w:top w:val="single" w:sz="4" w:space="0" w:color="auto"/>
              <w:bottom w:val="single" w:sz="4" w:space="0" w:color="auto"/>
            </w:tcBorders>
          </w:tcPr>
          <w:p w:rsidR="00E35632" w:rsidRDefault="00E35632">
            <w:pPr>
              <w:pStyle w:val="ConsPlusNormal"/>
            </w:pPr>
            <w:r>
              <w:t>Крупные и средней крупности</w:t>
            </w:r>
          </w:p>
        </w:tc>
        <w:tc>
          <w:tcPr>
            <w:tcW w:w="1644" w:type="dxa"/>
            <w:tcBorders>
              <w:top w:val="single" w:sz="4" w:space="0" w:color="auto"/>
              <w:bottom w:val="nil"/>
            </w:tcBorders>
          </w:tcPr>
          <w:p w:rsidR="00E35632" w:rsidRDefault="00E35632">
            <w:pPr>
              <w:pStyle w:val="ConsPlusNormal"/>
              <w:jc w:val="center"/>
            </w:pPr>
            <w:r>
              <w:rPr>
                <w:i/>
              </w:rPr>
              <w:t>c</w:t>
            </w:r>
          </w:p>
        </w:tc>
        <w:tc>
          <w:tcPr>
            <w:tcW w:w="876" w:type="dxa"/>
            <w:tcBorders>
              <w:top w:val="single" w:sz="4" w:space="0" w:color="auto"/>
              <w:bottom w:val="nil"/>
            </w:tcBorders>
          </w:tcPr>
          <w:p w:rsidR="00E35632" w:rsidRDefault="00E35632">
            <w:pPr>
              <w:pStyle w:val="ConsPlusNormal"/>
              <w:jc w:val="center"/>
            </w:pPr>
            <w:r>
              <w:t>41</w:t>
            </w:r>
          </w:p>
        </w:tc>
        <w:tc>
          <w:tcPr>
            <w:tcW w:w="840" w:type="dxa"/>
            <w:tcBorders>
              <w:top w:val="single" w:sz="4" w:space="0" w:color="auto"/>
              <w:bottom w:val="nil"/>
            </w:tcBorders>
          </w:tcPr>
          <w:p w:rsidR="00E35632" w:rsidRDefault="00E35632">
            <w:pPr>
              <w:pStyle w:val="ConsPlusNormal"/>
              <w:jc w:val="center"/>
            </w:pPr>
            <w:r>
              <w:t>35</w:t>
            </w:r>
          </w:p>
        </w:tc>
        <w:tc>
          <w:tcPr>
            <w:tcW w:w="840" w:type="dxa"/>
            <w:tcBorders>
              <w:top w:val="single" w:sz="4" w:space="0" w:color="auto"/>
              <w:bottom w:val="nil"/>
            </w:tcBorders>
          </w:tcPr>
          <w:p w:rsidR="00E35632" w:rsidRDefault="00E35632">
            <w:pPr>
              <w:pStyle w:val="ConsPlusNormal"/>
              <w:jc w:val="center"/>
            </w:pPr>
            <w:r>
              <w:t>29</w:t>
            </w:r>
          </w:p>
        </w:tc>
        <w:tc>
          <w:tcPr>
            <w:tcW w:w="840" w:type="dxa"/>
            <w:tcBorders>
              <w:top w:val="single" w:sz="4" w:space="0" w:color="auto"/>
              <w:bottom w:val="nil"/>
            </w:tcBorders>
          </w:tcPr>
          <w:p w:rsidR="00E35632" w:rsidRDefault="00E35632">
            <w:pPr>
              <w:pStyle w:val="ConsPlusNormal"/>
              <w:jc w:val="center"/>
            </w:pPr>
            <w:r>
              <w:t>23</w:t>
            </w:r>
          </w:p>
        </w:tc>
        <w:tc>
          <w:tcPr>
            <w:tcW w:w="840" w:type="dxa"/>
            <w:tcBorders>
              <w:top w:val="single" w:sz="4" w:space="0" w:color="auto"/>
              <w:bottom w:val="nil"/>
            </w:tcBorders>
          </w:tcPr>
          <w:p w:rsidR="00E35632" w:rsidRDefault="00E35632">
            <w:pPr>
              <w:pStyle w:val="ConsPlusNormal"/>
              <w:jc w:val="center"/>
            </w:pPr>
            <w:r>
              <w:t>19</w:t>
            </w:r>
          </w:p>
        </w:tc>
        <w:tc>
          <w:tcPr>
            <w:tcW w:w="840" w:type="dxa"/>
            <w:tcBorders>
              <w:top w:val="single" w:sz="4" w:space="0" w:color="auto"/>
              <w:bottom w:val="nil"/>
            </w:tcBorders>
          </w:tcPr>
          <w:p w:rsidR="00E35632" w:rsidRDefault="00E35632">
            <w:pPr>
              <w:pStyle w:val="ConsPlusNormal"/>
              <w:jc w:val="center"/>
            </w:pPr>
            <w:r>
              <w:t>-</w:t>
            </w:r>
          </w:p>
        </w:tc>
        <w:tc>
          <w:tcPr>
            <w:tcW w:w="720" w:type="dxa"/>
            <w:tcBorders>
              <w:top w:val="single" w:sz="4" w:space="0" w:color="auto"/>
              <w:bottom w:val="nil"/>
            </w:tcBorders>
          </w:tcPr>
          <w:p w:rsidR="00E35632" w:rsidRDefault="00E35632">
            <w:pPr>
              <w:pStyle w:val="ConsPlusNormal"/>
              <w:jc w:val="center"/>
            </w:pPr>
            <w:r>
              <w:t>-</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644" w:type="dxa"/>
            <w:tcBorders>
              <w:top w:val="nil"/>
              <w:bottom w:val="nil"/>
            </w:tcBorders>
          </w:tcPr>
          <w:p w:rsidR="00E35632" w:rsidRDefault="00E35632">
            <w:pPr>
              <w:pStyle w:val="ConsPlusNormal"/>
              <w:jc w:val="center"/>
            </w:pPr>
            <w:r>
              <w:rPr>
                <w:noProof/>
                <w:position w:val="-4"/>
              </w:rPr>
              <w:drawing>
                <wp:inline distT="0" distB="0" distL="0" distR="0">
                  <wp:extent cx="160020" cy="192405"/>
                  <wp:effectExtent l="0" t="0" r="0" b="0"/>
                  <wp:docPr id="6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876" w:type="dxa"/>
            <w:tcBorders>
              <w:top w:val="nil"/>
              <w:bottom w:val="nil"/>
            </w:tcBorders>
          </w:tcPr>
          <w:p w:rsidR="00E35632" w:rsidRDefault="00E35632">
            <w:pPr>
              <w:pStyle w:val="ConsPlusNormal"/>
              <w:jc w:val="center"/>
            </w:pPr>
            <w:r>
              <w:t>32</w:t>
            </w:r>
          </w:p>
        </w:tc>
        <w:tc>
          <w:tcPr>
            <w:tcW w:w="840" w:type="dxa"/>
            <w:tcBorders>
              <w:top w:val="nil"/>
              <w:bottom w:val="nil"/>
            </w:tcBorders>
          </w:tcPr>
          <w:p w:rsidR="00E35632" w:rsidRDefault="00E35632">
            <w:pPr>
              <w:pStyle w:val="ConsPlusNormal"/>
              <w:jc w:val="center"/>
            </w:pPr>
            <w:r>
              <w:t>30</w:t>
            </w:r>
          </w:p>
        </w:tc>
        <w:tc>
          <w:tcPr>
            <w:tcW w:w="840" w:type="dxa"/>
            <w:tcBorders>
              <w:top w:val="nil"/>
              <w:bottom w:val="nil"/>
            </w:tcBorders>
          </w:tcPr>
          <w:p w:rsidR="00E35632" w:rsidRDefault="00E35632">
            <w:pPr>
              <w:pStyle w:val="ConsPlusNormal"/>
              <w:jc w:val="center"/>
            </w:pPr>
            <w:r>
              <w:t>27</w:t>
            </w:r>
          </w:p>
        </w:tc>
        <w:tc>
          <w:tcPr>
            <w:tcW w:w="840" w:type="dxa"/>
            <w:tcBorders>
              <w:top w:val="nil"/>
              <w:bottom w:val="nil"/>
            </w:tcBorders>
          </w:tcPr>
          <w:p w:rsidR="00E35632" w:rsidRDefault="00E35632">
            <w:pPr>
              <w:pStyle w:val="ConsPlusNormal"/>
              <w:jc w:val="center"/>
            </w:pPr>
            <w:r>
              <w:t>24</w:t>
            </w:r>
          </w:p>
        </w:tc>
        <w:tc>
          <w:tcPr>
            <w:tcW w:w="840" w:type="dxa"/>
            <w:tcBorders>
              <w:top w:val="nil"/>
              <w:bottom w:val="nil"/>
            </w:tcBorders>
          </w:tcPr>
          <w:p w:rsidR="00E35632" w:rsidRDefault="00E35632">
            <w:pPr>
              <w:pStyle w:val="ConsPlusNormal"/>
              <w:jc w:val="center"/>
            </w:pPr>
            <w:r>
              <w:t>22</w:t>
            </w:r>
          </w:p>
        </w:tc>
        <w:tc>
          <w:tcPr>
            <w:tcW w:w="840" w:type="dxa"/>
            <w:tcBorders>
              <w:top w:val="nil"/>
              <w:bottom w:val="nil"/>
            </w:tcBorders>
          </w:tcPr>
          <w:p w:rsidR="00E35632" w:rsidRDefault="00E35632">
            <w:pPr>
              <w:pStyle w:val="ConsPlusNormal"/>
              <w:jc w:val="center"/>
            </w:pPr>
            <w:r>
              <w:t>-</w:t>
            </w:r>
          </w:p>
        </w:tc>
        <w:tc>
          <w:tcPr>
            <w:tcW w:w="720" w:type="dxa"/>
            <w:tcBorders>
              <w:top w:val="nil"/>
              <w:bottom w:val="nil"/>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644" w:type="dxa"/>
            <w:tcBorders>
              <w:top w:val="nil"/>
              <w:bottom w:val="single" w:sz="4" w:space="0" w:color="auto"/>
            </w:tcBorders>
          </w:tcPr>
          <w:p w:rsidR="00E35632" w:rsidRDefault="00E35632">
            <w:pPr>
              <w:pStyle w:val="ConsPlusNormal"/>
              <w:jc w:val="center"/>
            </w:pPr>
            <w:r>
              <w:rPr>
                <w:i/>
              </w:rPr>
              <w:t>E</w:t>
            </w:r>
          </w:p>
        </w:tc>
        <w:tc>
          <w:tcPr>
            <w:tcW w:w="876" w:type="dxa"/>
            <w:tcBorders>
              <w:top w:val="nil"/>
              <w:bottom w:val="single" w:sz="4" w:space="0" w:color="auto"/>
            </w:tcBorders>
          </w:tcPr>
          <w:p w:rsidR="00E35632" w:rsidRDefault="00E35632">
            <w:pPr>
              <w:pStyle w:val="ConsPlusNormal"/>
              <w:jc w:val="center"/>
            </w:pPr>
            <w:r>
              <w:t>44</w:t>
            </w:r>
          </w:p>
        </w:tc>
        <w:tc>
          <w:tcPr>
            <w:tcW w:w="840" w:type="dxa"/>
            <w:tcBorders>
              <w:top w:val="nil"/>
              <w:bottom w:val="single" w:sz="4" w:space="0" w:color="auto"/>
            </w:tcBorders>
          </w:tcPr>
          <w:p w:rsidR="00E35632" w:rsidRDefault="00E35632">
            <w:pPr>
              <w:pStyle w:val="ConsPlusNormal"/>
              <w:jc w:val="center"/>
            </w:pPr>
            <w:r>
              <w:t>31</w:t>
            </w:r>
          </w:p>
        </w:tc>
        <w:tc>
          <w:tcPr>
            <w:tcW w:w="840" w:type="dxa"/>
            <w:tcBorders>
              <w:top w:val="nil"/>
              <w:bottom w:val="single" w:sz="4" w:space="0" w:color="auto"/>
            </w:tcBorders>
          </w:tcPr>
          <w:p w:rsidR="00E35632" w:rsidRDefault="00E35632">
            <w:pPr>
              <w:pStyle w:val="ConsPlusNormal"/>
              <w:jc w:val="center"/>
            </w:pPr>
            <w:r>
              <w:t>22</w:t>
            </w:r>
          </w:p>
        </w:tc>
        <w:tc>
          <w:tcPr>
            <w:tcW w:w="840" w:type="dxa"/>
            <w:tcBorders>
              <w:top w:val="nil"/>
              <w:bottom w:val="single" w:sz="4" w:space="0" w:color="auto"/>
            </w:tcBorders>
          </w:tcPr>
          <w:p w:rsidR="00E35632" w:rsidRDefault="00E35632">
            <w:pPr>
              <w:pStyle w:val="ConsPlusNormal"/>
              <w:jc w:val="center"/>
            </w:pPr>
            <w:r>
              <w:t>14</w:t>
            </w:r>
          </w:p>
        </w:tc>
        <w:tc>
          <w:tcPr>
            <w:tcW w:w="840" w:type="dxa"/>
            <w:tcBorders>
              <w:top w:val="nil"/>
              <w:bottom w:val="single" w:sz="4" w:space="0" w:color="auto"/>
            </w:tcBorders>
          </w:tcPr>
          <w:p w:rsidR="00E35632" w:rsidRDefault="00E35632">
            <w:pPr>
              <w:pStyle w:val="ConsPlusNormal"/>
              <w:jc w:val="center"/>
            </w:pPr>
            <w:r>
              <w:t>13</w:t>
            </w:r>
          </w:p>
        </w:tc>
        <w:tc>
          <w:tcPr>
            <w:tcW w:w="840" w:type="dxa"/>
            <w:tcBorders>
              <w:top w:val="nil"/>
              <w:bottom w:val="single" w:sz="4" w:space="0" w:color="auto"/>
            </w:tcBorders>
          </w:tcPr>
          <w:p w:rsidR="00E35632" w:rsidRDefault="00E35632">
            <w:pPr>
              <w:pStyle w:val="ConsPlusNormal"/>
              <w:jc w:val="center"/>
            </w:pPr>
            <w:r>
              <w:t>-</w:t>
            </w:r>
          </w:p>
        </w:tc>
        <w:tc>
          <w:tcPr>
            <w:tcW w:w="720" w:type="dxa"/>
            <w:tcBorders>
              <w:top w:val="nil"/>
              <w:bottom w:val="single" w:sz="4" w:space="0" w:color="auto"/>
            </w:tcBorders>
          </w:tcPr>
          <w:p w:rsidR="00E35632" w:rsidRDefault="00E35632">
            <w:pPr>
              <w:pStyle w:val="ConsPlusNormal"/>
              <w:jc w:val="center"/>
            </w:pPr>
            <w:r>
              <w:t>-</w:t>
            </w:r>
          </w:p>
        </w:tc>
      </w:tr>
      <w:tr w:rsidR="00E35632">
        <w:tc>
          <w:tcPr>
            <w:tcW w:w="1620" w:type="dxa"/>
            <w:vMerge w:val="restart"/>
            <w:tcBorders>
              <w:top w:val="single" w:sz="4" w:space="0" w:color="auto"/>
              <w:bottom w:val="single" w:sz="4" w:space="0" w:color="auto"/>
            </w:tcBorders>
          </w:tcPr>
          <w:p w:rsidR="00E35632" w:rsidRDefault="00E35632">
            <w:pPr>
              <w:pStyle w:val="ConsPlusNormal"/>
            </w:pPr>
            <w:r>
              <w:t>Пылеватые</w:t>
            </w:r>
          </w:p>
        </w:tc>
        <w:tc>
          <w:tcPr>
            <w:tcW w:w="1644" w:type="dxa"/>
            <w:tcBorders>
              <w:top w:val="single" w:sz="4" w:space="0" w:color="auto"/>
              <w:bottom w:val="nil"/>
            </w:tcBorders>
          </w:tcPr>
          <w:p w:rsidR="00E35632" w:rsidRDefault="00E35632">
            <w:pPr>
              <w:pStyle w:val="ConsPlusNormal"/>
              <w:jc w:val="center"/>
            </w:pPr>
            <w:r>
              <w:rPr>
                <w:i/>
              </w:rPr>
              <w:t>c</w:t>
            </w:r>
          </w:p>
        </w:tc>
        <w:tc>
          <w:tcPr>
            <w:tcW w:w="876" w:type="dxa"/>
            <w:tcBorders>
              <w:top w:val="single" w:sz="4" w:space="0" w:color="auto"/>
              <w:bottom w:val="nil"/>
            </w:tcBorders>
          </w:tcPr>
          <w:p w:rsidR="00E35632" w:rsidRDefault="00E35632">
            <w:pPr>
              <w:pStyle w:val="ConsPlusNormal"/>
              <w:jc w:val="center"/>
            </w:pPr>
            <w:r>
              <w:t>58</w:t>
            </w:r>
          </w:p>
        </w:tc>
        <w:tc>
          <w:tcPr>
            <w:tcW w:w="840" w:type="dxa"/>
            <w:tcBorders>
              <w:top w:val="single" w:sz="4" w:space="0" w:color="auto"/>
              <w:bottom w:val="nil"/>
            </w:tcBorders>
          </w:tcPr>
          <w:p w:rsidR="00E35632" w:rsidRDefault="00E35632">
            <w:pPr>
              <w:pStyle w:val="ConsPlusNormal"/>
              <w:jc w:val="center"/>
            </w:pPr>
            <w:r>
              <w:t>51</w:t>
            </w:r>
          </w:p>
        </w:tc>
        <w:tc>
          <w:tcPr>
            <w:tcW w:w="840" w:type="dxa"/>
            <w:tcBorders>
              <w:top w:val="single" w:sz="4" w:space="0" w:color="auto"/>
              <w:bottom w:val="nil"/>
            </w:tcBorders>
          </w:tcPr>
          <w:p w:rsidR="00E35632" w:rsidRDefault="00E35632">
            <w:pPr>
              <w:pStyle w:val="ConsPlusNormal"/>
              <w:jc w:val="center"/>
            </w:pPr>
            <w:r>
              <w:t>44</w:t>
            </w:r>
          </w:p>
        </w:tc>
        <w:tc>
          <w:tcPr>
            <w:tcW w:w="840" w:type="dxa"/>
            <w:tcBorders>
              <w:top w:val="single" w:sz="4" w:space="0" w:color="auto"/>
              <w:bottom w:val="nil"/>
            </w:tcBorders>
          </w:tcPr>
          <w:p w:rsidR="00E35632" w:rsidRDefault="00E35632">
            <w:pPr>
              <w:pStyle w:val="ConsPlusNormal"/>
              <w:jc w:val="center"/>
            </w:pPr>
            <w:r>
              <w:t>39</w:t>
            </w:r>
          </w:p>
        </w:tc>
        <w:tc>
          <w:tcPr>
            <w:tcW w:w="840" w:type="dxa"/>
            <w:tcBorders>
              <w:top w:val="single" w:sz="4" w:space="0" w:color="auto"/>
              <w:bottom w:val="nil"/>
            </w:tcBorders>
          </w:tcPr>
          <w:p w:rsidR="00E35632" w:rsidRDefault="00E35632">
            <w:pPr>
              <w:pStyle w:val="ConsPlusNormal"/>
              <w:jc w:val="center"/>
            </w:pPr>
            <w:r>
              <w:t>33</w:t>
            </w:r>
          </w:p>
        </w:tc>
        <w:tc>
          <w:tcPr>
            <w:tcW w:w="840" w:type="dxa"/>
            <w:tcBorders>
              <w:top w:val="single" w:sz="4" w:space="0" w:color="auto"/>
              <w:bottom w:val="nil"/>
            </w:tcBorders>
          </w:tcPr>
          <w:p w:rsidR="00E35632" w:rsidRDefault="00E35632">
            <w:pPr>
              <w:pStyle w:val="ConsPlusNormal"/>
              <w:jc w:val="center"/>
            </w:pPr>
            <w:r>
              <w:t>29</w:t>
            </w:r>
          </w:p>
        </w:tc>
        <w:tc>
          <w:tcPr>
            <w:tcW w:w="720" w:type="dxa"/>
            <w:tcBorders>
              <w:top w:val="single" w:sz="4" w:space="0" w:color="auto"/>
              <w:bottom w:val="nil"/>
            </w:tcBorders>
          </w:tcPr>
          <w:p w:rsidR="00E35632" w:rsidRDefault="00E35632">
            <w:pPr>
              <w:pStyle w:val="ConsPlusNormal"/>
              <w:jc w:val="center"/>
            </w:pPr>
            <w:r>
              <w:t>24</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644" w:type="dxa"/>
            <w:tcBorders>
              <w:top w:val="nil"/>
              <w:bottom w:val="nil"/>
            </w:tcBorders>
          </w:tcPr>
          <w:p w:rsidR="00E35632" w:rsidRDefault="00E35632">
            <w:pPr>
              <w:pStyle w:val="ConsPlusNormal"/>
              <w:jc w:val="center"/>
            </w:pPr>
            <w:r>
              <w:rPr>
                <w:noProof/>
                <w:position w:val="-4"/>
              </w:rPr>
              <w:drawing>
                <wp:inline distT="0" distB="0" distL="0" distR="0">
                  <wp:extent cx="160020" cy="192405"/>
                  <wp:effectExtent l="0" t="0" r="0" b="0"/>
                  <wp:docPr id="6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876" w:type="dxa"/>
            <w:tcBorders>
              <w:top w:val="nil"/>
              <w:bottom w:val="nil"/>
            </w:tcBorders>
          </w:tcPr>
          <w:p w:rsidR="00E35632" w:rsidRDefault="00E35632">
            <w:pPr>
              <w:pStyle w:val="ConsPlusNormal"/>
              <w:jc w:val="center"/>
            </w:pPr>
            <w:r>
              <w:t>32</w:t>
            </w:r>
          </w:p>
        </w:tc>
        <w:tc>
          <w:tcPr>
            <w:tcW w:w="840" w:type="dxa"/>
            <w:tcBorders>
              <w:top w:val="nil"/>
              <w:bottom w:val="nil"/>
            </w:tcBorders>
          </w:tcPr>
          <w:p w:rsidR="00E35632" w:rsidRDefault="00E35632">
            <w:pPr>
              <w:pStyle w:val="ConsPlusNormal"/>
              <w:jc w:val="center"/>
            </w:pPr>
            <w:r>
              <w:t>30</w:t>
            </w:r>
          </w:p>
        </w:tc>
        <w:tc>
          <w:tcPr>
            <w:tcW w:w="840" w:type="dxa"/>
            <w:tcBorders>
              <w:top w:val="nil"/>
              <w:bottom w:val="nil"/>
            </w:tcBorders>
          </w:tcPr>
          <w:p w:rsidR="00E35632" w:rsidRDefault="00E35632">
            <w:pPr>
              <w:pStyle w:val="ConsPlusNormal"/>
              <w:jc w:val="center"/>
            </w:pPr>
            <w:r>
              <w:t>27</w:t>
            </w:r>
          </w:p>
        </w:tc>
        <w:tc>
          <w:tcPr>
            <w:tcW w:w="840" w:type="dxa"/>
            <w:tcBorders>
              <w:top w:val="nil"/>
              <w:bottom w:val="nil"/>
            </w:tcBorders>
          </w:tcPr>
          <w:p w:rsidR="00E35632" w:rsidRDefault="00E35632">
            <w:pPr>
              <w:pStyle w:val="ConsPlusNormal"/>
              <w:jc w:val="center"/>
            </w:pPr>
            <w:r>
              <w:t>24</w:t>
            </w:r>
          </w:p>
        </w:tc>
        <w:tc>
          <w:tcPr>
            <w:tcW w:w="840" w:type="dxa"/>
            <w:tcBorders>
              <w:top w:val="nil"/>
              <w:bottom w:val="nil"/>
            </w:tcBorders>
          </w:tcPr>
          <w:p w:rsidR="00E35632" w:rsidRDefault="00E35632">
            <w:pPr>
              <w:pStyle w:val="ConsPlusNormal"/>
              <w:jc w:val="center"/>
            </w:pPr>
            <w:r>
              <w:t>22</w:t>
            </w:r>
          </w:p>
        </w:tc>
        <w:tc>
          <w:tcPr>
            <w:tcW w:w="840" w:type="dxa"/>
            <w:tcBorders>
              <w:top w:val="nil"/>
              <w:bottom w:val="nil"/>
            </w:tcBorders>
          </w:tcPr>
          <w:p w:rsidR="00E35632" w:rsidRDefault="00E35632">
            <w:pPr>
              <w:pStyle w:val="ConsPlusNormal"/>
              <w:jc w:val="center"/>
            </w:pPr>
            <w:r>
              <w:t>20</w:t>
            </w:r>
          </w:p>
        </w:tc>
        <w:tc>
          <w:tcPr>
            <w:tcW w:w="720" w:type="dxa"/>
            <w:tcBorders>
              <w:top w:val="nil"/>
              <w:bottom w:val="nil"/>
            </w:tcBorders>
          </w:tcPr>
          <w:p w:rsidR="00E35632" w:rsidRDefault="00E35632">
            <w:pPr>
              <w:pStyle w:val="ConsPlusNormal"/>
              <w:jc w:val="center"/>
            </w:pPr>
            <w:r>
              <w:t>18</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644" w:type="dxa"/>
            <w:tcBorders>
              <w:top w:val="nil"/>
              <w:bottom w:val="single" w:sz="4" w:space="0" w:color="auto"/>
            </w:tcBorders>
          </w:tcPr>
          <w:p w:rsidR="00E35632" w:rsidRDefault="00E35632">
            <w:pPr>
              <w:pStyle w:val="ConsPlusNormal"/>
              <w:jc w:val="center"/>
            </w:pPr>
            <w:r>
              <w:rPr>
                <w:i/>
              </w:rPr>
              <w:t>E</w:t>
            </w:r>
          </w:p>
        </w:tc>
        <w:tc>
          <w:tcPr>
            <w:tcW w:w="876" w:type="dxa"/>
            <w:tcBorders>
              <w:top w:val="nil"/>
              <w:bottom w:val="single" w:sz="4" w:space="0" w:color="auto"/>
            </w:tcBorders>
          </w:tcPr>
          <w:p w:rsidR="00E35632" w:rsidRDefault="00E35632">
            <w:pPr>
              <w:pStyle w:val="ConsPlusNormal"/>
              <w:jc w:val="center"/>
            </w:pPr>
            <w:r>
              <w:t>48</w:t>
            </w:r>
          </w:p>
        </w:tc>
        <w:tc>
          <w:tcPr>
            <w:tcW w:w="840" w:type="dxa"/>
            <w:tcBorders>
              <w:top w:val="nil"/>
              <w:bottom w:val="single" w:sz="4" w:space="0" w:color="auto"/>
            </w:tcBorders>
          </w:tcPr>
          <w:p w:rsidR="00E35632" w:rsidRDefault="00E35632">
            <w:pPr>
              <w:pStyle w:val="ConsPlusNormal"/>
              <w:jc w:val="center"/>
            </w:pPr>
            <w:r>
              <w:t>38</w:t>
            </w:r>
          </w:p>
        </w:tc>
        <w:tc>
          <w:tcPr>
            <w:tcW w:w="840" w:type="dxa"/>
            <w:tcBorders>
              <w:top w:val="nil"/>
              <w:bottom w:val="single" w:sz="4" w:space="0" w:color="auto"/>
            </w:tcBorders>
          </w:tcPr>
          <w:p w:rsidR="00E35632" w:rsidRDefault="00E35632">
            <w:pPr>
              <w:pStyle w:val="ConsPlusNormal"/>
              <w:jc w:val="center"/>
            </w:pPr>
            <w:r>
              <w:t>29</w:t>
            </w:r>
          </w:p>
        </w:tc>
        <w:tc>
          <w:tcPr>
            <w:tcW w:w="840" w:type="dxa"/>
            <w:tcBorders>
              <w:top w:val="nil"/>
              <w:bottom w:val="single" w:sz="4" w:space="0" w:color="auto"/>
            </w:tcBorders>
          </w:tcPr>
          <w:p w:rsidR="00E35632" w:rsidRDefault="00E35632">
            <w:pPr>
              <w:pStyle w:val="ConsPlusNormal"/>
              <w:jc w:val="center"/>
            </w:pPr>
            <w:r>
              <w:t>21</w:t>
            </w:r>
          </w:p>
        </w:tc>
        <w:tc>
          <w:tcPr>
            <w:tcW w:w="840" w:type="dxa"/>
            <w:tcBorders>
              <w:top w:val="nil"/>
              <w:bottom w:val="single" w:sz="4" w:space="0" w:color="auto"/>
            </w:tcBorders>
          </w:tcPr>
          <w:p w:rsidR="00E35632" w:rsidRDefault="00E35632">
            <w:pPr>
              <w:pStyle w:val="ConsPlusNormal"/>
              <w:jc w:val="center"/>
            </w:pPr>
            <w:r>
              <w:t>16</w:t>
            </w:r>
          </w:p>
        </w:tc>
        <w:tc>
          <w:tcPr>
            <w:tcW w:w="840" w:type="dxa"/>
            <w:tcBorders>
              <w:top w:val="nil"/>
              <w:bottom w:val="single" w:sz="4" w:space="0" w:color="auto"/>
            </w:tcBorders>
          </w:tcPr>
          <w:p w:rsidR="00E35632" w:rsidRDefault="00E35632">
            <w:pPr>
              <w:pStyle w:val="ConsPlusNormal"/>
              <w:jc w:val="center"/>
            </w:pPr>
            <w:r>
              <w:t>12</w:t>
            </w:r>
          </w:p>
        </w:tc>
        <w:tc>
          <w:tcPr>
            <w:tcW w:w="720" w:type="dxa"/>
            <w:tcBorders>
              <w:top w:val="nil"/>
              <w:bottom w:val="single" w:sz="4" w:space="0" w:color="auto"/>
            </w:tcBorders>
          </w:tcPr>
          <w:p w:rsidR="00E35632" w:rsidRDefault="00E35632">
            <w:pPr>
              <w:pStyle w:val="ConsPlusNormal"/>
              <w:jc w:val="center"/>
            </w:pPr>
            <w:r>
              <w:t>10</w:t>
            </w:r>
          </w:p>
        </w:tc>
      </w:tr>
      <w:tr w:rsidR="00E35632">
        <w:tc>
          <w:tcPr>
            <w:tcW w:w="9060" w:type="dxa"/>
            <w:gridSpan w:val="9"/>
            <w:tcBorders>
              <w:top w:val="single" w:sz="4" w:space="0" w:color="auto"/>
              <w:bottom w:val="single" w:sz="4" w:space="0" w:color="auto"/>
            </w:tcBorders>
          </w:tcPr>
          <w:p w:rsidR="00E35632" w:rsidRDefault="00E35632">
            <w:pPr>
              <w:pStyle w:val="ConsPlusNormal"/>
              <w:ind w:firstLine="283"/>
              <w:jc w:val="both"/>
            </w:pPr>
            <w:r>
              <w:t>Примечание - Данные таблицы распространяются на элювиальные пески, образованные при выветривании кварцесодержащих магматических пород.</w:t>
            </w:r>
          </w:p>
        </w:tc>
      </w:tr>
    </w:tbl>
    <w:p w:rsidR="00E35632" w:rsidRDefault="00E35632">
      <w:pPr>
        <w:pStyle w:val="ConsPlusNormal"/>
        <w:jc w:val="both"/>
      </w:pPr>
    </w:p>
    <w:p w:rsidR="00E35632" w:rsidRDefault="00E35632">
      <w:pPr>
        <w:pStyle w:val="ConsPlusNormal"/>
        <w:jc w:val="right"/>
      </w:pPr>
      <w:r>
        <w:t>Таблица А.6</w:t>
      </w:r>
    </w:p>
    <w:p w:rsidR="00E35632" w:rsidRDefault="00E35632">
      <w:pPr>
        <w:pStyle w:val="ConsPlusNormal"/>
        <w:jc w:val="both"/>
      </w:pPr>
    </w:p>
    <w:p w:rsidR="00E35632" w:rsidRDefault="00E35632">
      <w:pPr>
        <w:pStyle w:val="ConsPlusNormal"/>
        <w:jc w:val="center"/>
      </w:pPr>
      <w:bookmarkStart w:id="279" w:name="P5816"/>
      <w:bookmarkEnd w:id="279"/>
      <w:r>
        <w:rPr>
          <w:b/>
        </w:rPr>
        <w:t>Нормативные значения удельного сцепления</w:t>
      </w:r>
      <w:r>
        <w:t xml:space="preserve"> </w:t>
      </w:r>
      <w:r>
        <w:rPr>
          <w:b/>
          <w:i/>
        </w:rPr>
        <w:t>c</w:t>
      </w:r>
      <w:r>
        <w:rPr>
          <w:b/>
          <w:i/>
          <w:vertAlign w:val="subscript"/>
        </w:rPr>
        <w:t>n</w:t>
      </w:r>
      <w:r>
        <w:rPr>
          <w:b/>
        </w:rPr>
        <w:t>, кПа,</w:t>
      </w:r>
    </w:p>
    <w:p w:rsidR="00E35632" w:rsidRDefault="00E35632">
      <w:pPr>
        <w:pStyle w:val="ConsPlusNormal"/>
        <w:jc w:val="center"/>
      </w:pPr>
      <w:r>
        <w:rPr>
          <w:b/>
        </w:rPr>
        <w:t xml:space="preserve">угла внутреннего трения </w:t>
      </w:r>
      <w:r>
        <w:rPr>
          <w:noProof/>
          <w:position w:val="-8"/>
        </w:rPr>
        <w:drawing>
          <wp:inline distT="0" distB="0" distL="0" distR="0">
            <wp:extent cx="182880" cy="250825"/>
            <wp:effectExtent l="0" t="0" r="0" b="0"/>
            <wp:docPr id="6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rPr>
          <w:b/>
        </w:rPr>
        <w:t>, град., и модуля</w:t>
      </w:r>
    </w:p>
    <w:p w:rsidR="00E35632" w:rsidRDefault="00E35632">
      <w:pPr>
        <w:pStyle w:val="ConsPlusNormal"/>
        <w:jc w:val="center"/>
      </w:pPr>
      <w:r>
        <w:rPr>
          <w:b/>
        </w:rPr>
        <w:t>деформации</w:t>
      </w:r>
      <w:r>
        <w:t xml:space="preserve"> </w:t>
      </w:r>
      <w:r>
        <w:rPr>
          <w:b/>
          <w:i/>
        </w:rPr>
        <w:t>E</w:t>
      </w:r>
      <w:r>
        <w:rPr>
          <w:b/>
        </w:rPr>
        <w:t>, МПа, элювиальных глинистых грунтов</w:t>
      </w:r>
    </w:p>
    <w:p w:rsidR="00E35632" w:rsidRDefault="00E35632">
      <w:pPr>
        <w:pStyle w:val="ConsPlusNormal"/>
        <w:jc w:val="center"/>
      </w:pPr>
      <w:r>
        <w:rPr>
          <w:b/>
        </w:rPr>
        <w:t>магматических и метаморфических пород</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380"/>
        <w:gridCol w:w="1800"/>
        <w:gridCol w:w="1680"/>
        <w:gridCol w:w="600"/>
        <w:gridCol w:w="600"/>
        <w:gridCol w:w="600"/>
        <w:gridCol w:w="600"/>
        <w:gridCol w:w="600"/>
        <w:gridCol w:w="600"/>
        <w:gridCol w:w="600"/>
      </w:tblGrid>
      <w:tr w:rsidR="00E35632">
        <w:tc>
          <w:tcPr>
            <w:tcW w:w="3180" w:type="dxa"/>
            <w:gridSpan w:val="2"/>
            <w:vMerge w:val="restart"/>
            <w:tcBorders>
              <w:top w:val="single" w:sz="4" w:space="0" w:color="auto"/>
              <w:bottom w:val="single" w:sz="4" w:space="0" w:color="auto"/>
            </w:tcBorders>
            <w:vAlign w:val="center"/>
          </w:tcPr>
          <w:p w:rsidR="00E35632" w:rsidRDefault="00E35632">
            <w:pPr>
              <w:pStyle w:val="ConsPlusNormal"/>
              <w:jc w:val="center"/>
            </w:pPr>
            <w:r>
              <w:t xml:space="preserve">Наименование грунтов и пределы нормативных значений их показателя текучести </w:t>
            </w:r>
            <w:r>
              <w:rPr>
                <w:i/>
              </w:rPr>
              <w:t>I</w:t>
            </w:r>
            <w:r>
              <w:rPr>
                <w:i/>
                <w:vertAlign w:val="subscript"/>
              </w:rPr>
              <w:t>L</w:t>
            </w:r>
          </w:p>
        </w:tc>
        <w:tc>
          <w:tcPr>
            <w:tcW w:w="1680" w:type="dxa"/>
            <w:vMerge w:val="restart"/>
            <w:tcBorders>
              <w:top w:val="single" w:sz="4" w:space="0" w:color="auto"/>
              <w:bottom w:val="single" w:sz="4" w:space="0" w:color="auto"/>
            </w:tcBorders>
            <w:vAlign w:val="center"/>
          </w:tcPr>
          <w:p w:rsidR="00E35632" w:rsidRDefault="00E35632">
            <w:pPr>
              <w:pStyle w:val="ConsPlusNormal"/>
              <w:jc w:val="center"/>
            </w:pPr>
            <w:r>
              <w:t>Обозначение характеристик грунтов</w:t>
            </w:r>
          </w:p>
        </w:tc>
        <w:tc>
          <w:tcPr>
            <w:tcW w:w="4200" w:type="dxa"/>
            <w:gridSpan w:val="7"/>
            <w:tcBorders>
              <w:top w:val="single" w:sz="4" w:space="0" w:color="auto"/>
              <w:bottom w:val="single" w:sz="4" w:space="0" w:color="auto"/>
            </w:tcBorders>
            <w:vAlign w:val="center"/>
          </w:tcPr>
          <w:p w:rsidR="00E35632" w:rsidRDefault="00E35632">
            <w:pPr>
              <w:pStyle w:val="ConsPlusNormal"/>
              <w:jc w:val="center"/>
            </w:pPr>
            <w:r>
              <w:t xml:space="preserve">Характеристики грунтов при коэффициенте пористости </w:t>
            </w:r>
            <w:r>
              <w:rPr>
                <w:i/>
              </w:rPr>
              <w:t>e</w:t>
            </w:r>
            <w:r>
              <w:t>, равном</w:t>
            </w:r>
          </w:p>
        </w:tc>
      </w:tr>
      <w:tr w:rsidR="00E35632">
        <w:tc>
          <w:tcPr>
            <w:tcW w:w="0" w:type="auto"/>
            <w:gridSpan w:val="2"/>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600" w:type="dxa"/>
            <w:tcBorders>
              <w:top w:val="single" w:sz="4" w:space="0" w:color="auto"/>
              <w:bottom w:val="single" w:sz="4" w:space="0" w:color="auto"/>
            </w:tcBorders>
            <w:vAlign w:val="center"/>
          </w:tcPr>
          <w:p w:rsidR="00E35632" w:rsidRDefault="00E35632">
            <w:pPr>
              <w:pStyle w:val="ConsPlusNormal"/>
              <w:jc w:val="center"/>
            </w:pPr>
            <w:r>
              <w:t>0,55</w:t>
            </w:r>
          </w:p>
        </w:tc>
        <w:tc>
          <w:tcPr>
            <w:tcW w:w="600" w:type="dxa"/>
            <w:tcBorders>
              <w:top w:val="single" w:sz="4" w:space="0" w:color="auto"/>
              <w:bottom w:val="single" w:sz="4" w:space="0" w:color="auto"/>
            </w:tcBorders>
            <w:vAlign w:val="center"/>
          </w:tcPr>
          <w:p w:rsidR="00E35632" w:rsidRDefault="00E35632">
            <w:pPr>
              <w:pStyle w:val="ConsPlusNormal"/>
              <w:jc w:val="center"/>
            </w:pPr>
            <w:r>
              <w:t>0,65</w:t>
            </w:r>
          </w:p>
        </w:tc>
        <w:tc>
          <w:tcPr>
            <w:tcW w:w="600" w:type="dxa"/>
            <w:tcBorders>
              <w:top w:val="single" w:sz="4" w:space="0" w:color="auto"/>
              <w:bottom w:val="single" w:sz="4" w:space="0" w:color="auto"/>
            </w:tcBorders>
            <w:vAlign w:val="center"/>
          </w:tcPr>
          <w:p w:rsidR="00E35632" w:rsidRDefault="00E35632">
            <w:pPr>
              <w:pStyle w:val="ConsPlusNormal"/>
              <w:jc w:val="center"/>
            </w:pPr>
            <w:r>
              <w:t>0,75</w:t>
            </w:r>
          </w:p>
        </w:tc>
        <w:tc>
          <w:tcPr>
            <w:tcW w:w="600" w:type="dxa"/>
            <w:tcBorders>
              <w:top w:val="single" w:sz="4" w:space="0" w:color="auto"/>
              <w:bottom w:val="single" w:sz="4" w:space="0" w:color="auto"/>
            </w:tcBorders>
            <w:vAlign w:val="center"/>
          </w:tcPr>
          <w:p w:rsidR="00E35632" w:rsidRDefault="00E35632">
            <w:pPr>
              <w:pStyle w:val="ConsPlusNormal"/>
              <w:jc w:val="center"/>
            </w:pPr>
            <w:r>
              <w:t>0,85</w:t>
            </w:r>
          </w:p>
        </w:tc>
        <w:tc>
          <w:tcPr>
            <w:tcW w:w="600" w:type="dxa"/>
            <w:tcBorders>
              <w:top w:val="single" w:sz="4" w:space="0" w:color="auto"/>
              <w:bottom w:val="single" w:sz="4" w:space="0" w:color="auto"/>
            </w:tcBorders>
            <w:vAlign w:val="center"/>
          </w:tcPr>
          <w:p w:rsidR="00E35632" w:rsidRDefault="00E35632">
            <w:pPr>
              <w:pStyle w:val="ConsPlusNormal"/>
              <w:jc w:val="center"/>
            </w:pPr>
            <w:r>
              <w:t>0,95</w:t>
            </w:r>
          </w:p>
        </w:tc>
        <w:tc>
          <w:tcPr>
            <w:tcW w:w="600" w:type="dxa"/>
            <w:tcBorders>
              <w:top w:val="single" w:sz="4" w:space="0" w:color="auto"/>
              <w:bottom w:val="single" w:sz="4" w:space="0" w:color="auto"/>
            </w:tcBorders>
            <w:vAlign w:val="center"/>
          </w:tcPr>
          <w:p w:rsidR="00E35632" w:rsidRDefault="00E35632">
            <w:pPr>
              <w:pStyle w:val="ConsPlusNormal"/>
              <w:jc w:val="center"/>
            </w:pPr>
            <w:r>
              <w:t>1,05</w:t>
            </w:r>
          </w:p>
        </w:tc>
        <w:tc>
          <w:tcPr>
            <w:tcW w:w="600" w:type="dxa"/>
            <w:tcBorders>
              <w:top w:val="single" w:sz="4" w:space="0" w:color="auto"/>
              <w:bottom w:val="single" w:sz="4" w:space="0" w:color="auto"/>
            </w:tcBorders>
            <w:vAlign w:val="center"/>
          </w:tcPr>
          <w:p w:rsidR="00E35632" w:rsidRDefault="00E35632">
            <w:pPr>
              <w:pStyle w:val="ConsPlusNormal"/>
              <w:jc w:val="center"/>
            </w:pPr>
            <w:r>
              <w:t>1,2</w:t>
            </w:r>
          </w:p>
        </w:tc>
      </w:tr>
      <w:tr w:rsidR="00E35632">
        <w:tc>
          <w:tcPr>
            <w:tcW w:w="1380" w:type="dxa"/>
            <w:vMerge w:val="restart"/>
            <w:tcBorders>
              <w:top w:val="single" w:sz="4" w:space="0" w:color="auto"/>
              <w:bottom w:val="single" w:sz="4" w:space="0" w:color="auto"/>
            </w:tcBorders>
          </w:tcPr>
          <w:p w:rsidR="00E35632" w:rsidRDefault="00E35632">
            <w:pPr>
              <w:pStyle w:val="ConsPlusNormal"/>
            </w:pPr>
            <w:r>
              <w:t>Супеси</w:t>
            </w:r>
          </w:p>
        </w:tc>
        <w:tc>
          <w:tcPr>
            <w:tcW w:w="1800" w:type="dxa"/>
            <w:vMerge w:val="restart"/>
            <w:tcBorders>
              <w:top w:val="single" w:sz="4" w:space="0" w:color="auto"/>
              <w:bottom w:val="single" w:sz="4" w:space="0" w:color="auto"/>
            </w:tcBorders>
          </w:tcPr>
          <w:p w:rsidR="00E35632" w:rsidRDefault="00E35632">
            <w:pPr>
              <w:pStyle w:val="ConsPlusNormal"/>
              <w:jc w:val="center"/>
            </w:pPr>
            <w:r>
              <w:rPr>
                <w:i/>
              </w:rPr>
              <w:t>I</w:t>
            </w:r>
            <w:r>
              <w:rPr>
                <w:i/>
                <w:vertAlign w:val="subscript"/>
              </w:rPr>
              <w:t>L</w:t>
            </w:r>
            <w:r>
              <w:t xml:space="preserve"> &lt; 0</w:t>
            </w:r>
          </w:p>
        </w:tc>
        <w:tc>
          <w:tcPr>
            <w:tcW w:w="1680" w:type="dxa"/>
            <w:tcBorders>
              <w:top w:val="single" w:sz="4" w:space="0" w:color="auto"/>
              <w:bottom w:val="nil"/>
            </w:tcBorders>
          </w:tcPr>
          <w:p w:rsidR="00E35632" w:rsidRDefault="00E35632">
            <w:pPr>
              <w:pStyle w:val="ConsPlusNormal"/>
              <w:jc w:val="center"/>
            </w:pPr>
            <w:r>
              <w:rPr>
                <w:i/>
              </w:rPr>
              <w:t>c</w:t>
            </w:r>
          </w:p>
        </w:tc>
        <w:tc>
          <w:tcPr>
            <w:tcW w:w="600" w:type="dxa"/>
            <w:tcBorders>
              <w:top w:val="single" w:sz="4" w:space="0" w:color="auto"/>
              <w:bottom w:val="nil"/>
            </w:tcBorders>
          </w:tcPr>
          <w:p w:rsidR="00E35632" w:rsidRDefault="00E35632">
            <w:pPr>
              <w:pStyle w:val="ConsPlusNormal"/>
              <w:jc w:val="center"/>
            </w:pPr>
            <w:r>
              <w:t>47</w:t>
            </w:r>
          </w:p>
        </w:tc>
        <w:tc>
          <w:tcPr>
            <w:tcW w:w="600" w:type="dxa"/>
            <w:tcBorders>
              <w:top w:val="single" w:sz="4" w:space="0" w:color="auto"/>
              <w:bottom w:val="nil"/>
            </w:tcBorders>
          </w:tcPr>
          <w:p w:rsidR="00E35632" w:rsidRDefault="00E35632">
            <w:pPr>
              <w:pStyle w:val="ConsPlusNormal"/>
              <w:jc w:val="center"/>
            </w:pPr>
            <w:r>
              <w:t>44</w:t>
            </w:r>
          </w:p>
        </w:tc>
        <w:tc>
          <w:tcPr>
            <w:tcW w:w="600" w:type="dxa"/>
            <w:tcBorders>
              <w:top w:val="single" w:sz="4" w:space="0" w:color="auto"/>
              <w:bottom w:val="nil"/>
            </w:tcBorders>
          </w:tcPr>
          <w:p w:rsidR="00E35632" w:rsidRDefault="00E35632">
            <w:pPr>
              <w:pStyle w:val="ConsPlusNormal"/>
              <w:jc w:val="center"/>
            </w:pPr>
            <w:r>
              <w:t>42</w:t>
            </w:r>
          </w:p>
        </w:tc>
        <w:tc>
          <w:tcPr>
            <w:tcW w:w="600" w:type="dxa"/>
            <w:tcBorders>
              <w:top w:val="single" w:sz="4" w:space="0" w:color="auto"/>
              <w:bottom w:val="nil"/>
            </w:tcBorders>
          </w:tcPr>
          <w:p w:rsidR="00E35632" w:rsidRDefault="00E35632">
            <w:pPr>
              <w:pStyle w:val="ConsPlusNormal"/>
              <w:jc w:val="center"/>
            </w:pPr>
            <w:r>
              <w:t>41</w:t>
            </w:r>
          </w:p>
        </w:tc>
        <w:tc>
          <w:tcPr>
            <w:tcW w:w="600" w:type="dxa"/>
            <w:tcBorders>
              <w:top w:val="single" w:sz="4" w:space="0" w:color="auto"/>
              <w:bottom w:val="nil"/>
            </w:tcBorders>
          </w:tcPr>
          <w:p w:rsidR="00E35632" w:rsidRDefault="00E35632">
            <w:pPr>
              <w:pStyle w:val="ConsPlusNormal"/>
              <w:jc w:val="center"/>
            </w:pPr>
            <w:r>
              <w:t>40</w:t>
            </w:r>
          </w:p>
        </w:tc>
        <w:tc>
          <w:tcPr>
            <w:tcW w:w="600" w:type="dxa"/>
            <w:tcBorders>
              <w:top w:val="single" w:sz="4" w:space="0" w:color="auto"/>
              <w:bottom w:val="nil"/>
            </w:tcBorders>
          </w:tcPr>
          <w:p w:rsidR="00E35632" w:rsidRDefault="00E35632">
            <w:pPr>
              <w:pStyle w:val="ConsPlusNormal"/>
              <w:jc w:val="center"/>
            </w:pPr>
            <w:r>
              <w:t>39</w:t>
            </w:r>
          </w:p>
        </w:tc>
        <w:tc>
          <w:tcPr>
            <w:tcW w:w="600" w:type="dxa"/>
            <w:tcBorders>
              <w:top w:val="single" w:sz="4" w:space="0" w:color="auto"/>
              <w:bottom w:val="nil"/>
            </w:tcBorders>
          </w:tcPr>
          <w:p w:rsidR="00E35632" w:rsidRDefault="00E35632">
            <w:pPr>
              <w:pStyle w:val="ConsPlusNormal"/>
              <w:jc w:val="center"/>
            </w:pPr>
            <w:r>
              <w:t>-</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680" w:type="dxa"/>
            <w:tcBorders>
              <w:top w:val="nil"/>
              <w:bottom w:val="nil"/>
            </w:tcBorders>
          </w:tcPr>
          <w:p w:rsidR="00E35632" w:rsidRDefault="00E35632">
            <w:pPr>
              <w:pStyle w:val="ConsPlusNormal"/>
              <w:jc w:val="center"/>
            </w:pPr>
            <w:r>
              <w:rPr>
                <w:noProof/>
                <w:position w:val="-4"/>
              </w:rPr>
              <w:drawing>
                <wp:inline distT="0" distB="0" distL="0" distR="0">
                  <wp:extent cx="160020" cy="192405"/>
                  <wp:effectExtent l="0" t="0" r="0" b="0"/>
                  <wp:docPr id="6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600" w:type="dxa"/>
            <w:tcBorders>
              <w:top w:val="nil"/>
              <w:bottom w:val="nil"/>
            </w:tcBorders>
          </w:tcPr>
          <w:p w:rsidR="00E35632" w:rsidRDefault="00E35632">
            <w:pPr>
              <w:pStyle w:val="ConsPlusNormal"/>
              <w:jc w:val="center"/>
            </w:pPr>
            <w:r>
              <w:t>34</w:t>
            </w:r>
          </w:p>
        </w:tc>
        <w:tc>
          <w:tcPr>
            <w:tcW w:w="600" w:type="dxa"/>
            <w:tcBorders>
              <w:top w:val="nil"/>
              <w:bottom w:val="nil"/>
            </w:tcBorders>
          </w:tcPr>
          <w:p w:rsidR="00E35632" w:rsidRDefault="00E35632">
            <w:pPr>
              <w:pStyle w:val="ConsPlusNormal"/>
              <w:jc w:val="center"/>
            </w:pPr>
            <w:r>
              <w:t>31</w:t>
            </w:r>
          </w:p>
        </w:tc>
        <w:tc>
          <w:tcPr>
            <w:tcW w:w="600" w:type="dxa"/>
            <w:tcBorders>
              <w:top w:val="nil"/>
              <w:bottom w:val="nil"/>
            </w:tcBorders>
          </w:tcPr>
          <w:p w:rsidR="00E35632" w:rsidRDefault="00E35632">
            <w:pPr>
              <w:pStyle w:val="ConsPlusNormal"/>
              <w:jc w:val="center"/>
            </w:pPr>
            <w:r>
              <w:t>28</w:t>
            </w:r>
          </w:p>
        </w:tc>
        <w:tc>
          <w:tcPr>
            <w:tcW w:w="600" w:type="dxa"/>
            <w:tcBorders>
              <w:top w:val="nil"/>
              <w:bottom w:val="nil"/>
            </w:tcBorders>
          </w:tcPr>
          <w:p w:rsidR="00E35632" w:rsidRDefault="00E35632">
            <w:pPr>
              <w:pStyle w:val="ConsPlusNormal"/>
              <w:jc w:val="center"/>
            </w:pPr>
            <w:r>
              <w:t>26</w:t>
            </w:r>
          </w:p>
        </w:tc>
        <w:tc>
          <w:tcPr>
            <w:tcW w:w="600" w:type="dxa"/>
            <w:tcBorders>
              <w:top w:val="nil"/>
              <w:bottom w:val="nil"/>
            </w:tcBorders>
          </w:tcPr>
          <w:p w:rsidR="00E35632" w:rsidRDefault="00E35632">
            <w:pPr>
              <w:pStyle w:val="ConsPlusNormal"/>
              <w:jc w:val="center"/>
            </w:pPr>
            <w:r>
              <w:t>25</w:t>
            </w:r>
          </w:p>
        </w:tc>
        <w:tc>
          <w:tcPr>
            <w:tcW w:w="600" w:type="dxa"/>
            <w:tcBorders>
              <w:top w:val="nil"/>
              <w:bottom w:val="nil"/>
            </w:tcBorders>
          </w:tcPr>
          <w:p w:rsidR="00E35632" w:rsidRDefault="00E35632">
            <w:pPr>
              <w:pStyle w:val="ConsPlusNormal"/>
              <w:jc w:val="center"/>
            </w:pPr>
            <w:r>
              <w:t>24</w:t>
            </w:r>
          </w:p>
        </w:tc>
        <w:tc>
          <w:tcPr>
            <w:tcW w:w="600" w:type="dxa"/>
            <w:tcBorders>
              <w:top w:val="nil"/>
              <w:bottom w:val="nil"/>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680" w:type="dxa"/>
            <w:tcBorders>
              <w:top w:val="nil"/>
              <w:bottom w:val="single" w:sz="4" w:space="0" w:color="auto"/>
            </w:tcBorders>
          </w:tcPr>
          <w:p w:rsidR="00E35632" w:rsidRDefault="00E35632">
            <w:pPr>
              <w:pStyle w:val="ConsPlusNormal"/>
              <w:jc w:val="center"/>
            </w:pPr>
            <w:r>
              <w:rPr>
                <w:i/>
              </w:rPr>
              <w:t>E</w:t>
            </w:r>
          </w:p>
        </w:tc>
        <w:tc>
          <w:tcPr>
            <w:tcW w:w="600" w:type="dxa"/>
            <w:tcBorders>
              <w:top w:val="nil"/>
              <w:bottom w:val="single" w:sz="4" w:space="0" w:color="auto"/>
            </w:tcBorders>
          </w:tcPr>
          <w:p w:rsidR="00E35632" w:rsidRDefault="00E35632">
            <w:pPr>
              <w:pStyle w:val="ConsPlusNormal"/>
              <w:jc w:val="center"/>
            </w:pPr>
            <w:r>
              <w:t>37</w:t>
            </w:r>
          </w:p>
        </w:tc>
        <w:tc>
          <w:tcPr>
            <w:tcW w:w="600" w:type="dxa"/>
            <w:tcBorders>
              <w:top w:val="nil"/>
              <w:bottom w:val="single" w:sz="4" w:space="0" w:color="auto"/>
            </w:tcBorders>
          </w:tcPr>
          <w:p w:rsidR="00E35632" w:rsidRDefault="00E35632">
            <w:pPr>
              <w:pStyle w:val="ConsPlusNormal"/>
              <w:jc w:val="center"/>
            </w:pPr>
            <w:r>
              <w:t>30</w:t>
            </w:r>
          </w:p>
        </w:tc>
        <w:tc>
          <w:tcPr>
            <w:tcW w:w="600" w:type="dxa"/>
            <w:tcBorders>
              <w:top w:val="nil"/>
              <w:bottom w:val="single" w:sz="4" w:space="0" w:color="auto"/>
            </w:tcBorders>
          </w:tcPr>
          <w:p w:rsidR="00E35632" w:rsidRDefault="00E35632">
            <w:pPr>
              <w:pStyle w:val="ConsPlusNormal"/>
              <w:jc w:val="center"/>
            </w:pPr>
            <w:r>
              <w:t>25</w:t>
            </w:r>
          </w:p>
        </w:tc>
        <w:tc>
          <w:tcPr>
            <w:tcW w:w="600" w:type="dxa"/>
            <w:tcBorders>
              <w:top w:val="nil"/>
              <w:bottom w:val="single" w:sz="4" w:space="0" w:color="auto"/>
            </w:tcBorders>
          </w:tcPr>
          <w:p w:rsidR="00E35632" w:rsidRDefault="00E35632">
            <w:pPr>
              <w:pStyle w:val="ConsPlusNormal"/>
              <w:jc w:val="center"/>
            </w:pPr>
            <w:r>
              <w:t>20</w:t>
            </w:r>
          </w:p>
        </w:tc>
        <w:tc>
          <w:tcPr>
            <w:tcW w:w="600" w:type="dxa"/>
            <w:tcBorders>
              <w:top w:val="nil"/>
              <w:bottom w:val="single" w:sz="4" w:space="0" w:color="auto"/>
            </w:tcBorders>
          </w:tcPr>
          <w:p w:rsidR="00E35632" w:rsidRDefault="00E35632">
            <w:pPr>
              <w:pStyle w:val="ConsPlusNormal"/>
              <w:jc w:val="center"/>
            </w:pPr>
            <w:r>
              <w:t>15</w:t>
            </w:r>
          </w:p>
        </w:tc>
        <w:tc>
          <w:tcPr>
            <w:tcW w:w="600" w:type="dxa"/>
            <w:tcBorders>
              <w:top w:val="nil"/>
              <w:bottom w:val="single" w:sz="4" w:space="0" w:color="auto"/>
            </w:tcBorders>
          </w:tcPr>
          <w:p w:rsidR="00E35632" w:rsidRDefault="00E35632">
            <w:pPr>
              <w:pStyle w:val="ConsPlusNormal"/>
              <w:jc w:val="center"/>
            </w:pPr>
            <w:r>
              <w:t>10</w:t>
            </w:r>
          </w:p>
        </w:tc>
        <w:tc>
          <w:tcPr>
            <w:tcW w:w="600" w:type="dxa"/>
            <w:tcBorders>
              <w:top w:val="nil"/>
              <w:bottom w:val="single" w:sz="4" w:space="0" w:color="auto"/>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800" w:type="dxa"/>
            <w:vMerge w:val="restart"/>
            <w:tcBorders>
              <w:top w:val="single" w:sz="4" w:space="0" w:color="auto"/>
              <w:bottom w:val="single" w:sz="4" w:space="0" w:color="auto"/>
            </w:tcBorders>
          </w:tcPr>
          <w:p w:rsidR="00E35632" w:rsidRDefault="00E35632">
            <w:pPr>
              <w:pStyle w:val="ConsPlusNormal"/>
              <w:jc w:val="center"/>
            </w:pPr>
            <w:r>
              <w:t xml:space="preserve">0 &lt;= </w:t>
            </w:r>
            <w:r>
              <w:rPr>
                <w:i/>
              </w:rPr>
              <w:t>I</w:t>
            </w:r>
            <w:r>
              <w:rPr>
                <w:i/>
                <w:vertAlign w:val="subscript"/>
              </w:rPr>
              <w:t>L</w:t>
            </w:r>
            <w:r>
              <w:t xml:space="preserve"> &lt;= 0,75</w:t>
            </w:r>
          </w:p>
        </w:tc>
        <w:tc>
          <w:tcPr>
            <w:tcW w:w="1680" w:type="dxa"/>
            <w:tcBorders>
              <w:top w:val="single" w:sz="4" w:space="0" w:color="auto"/>
              <w:bottom w:val="nil"/>
            </w:tcBorders>
          </w:tcPr>
          <w:p w:rsidR="00E35632" w:rsidRDefault="00E35632">
            <w:pPr>
              <w:pStyle w:val="ConsPlusNormal"/>
              <w:jc w:val="center"/>
            </w:pPr>
            <w:r>
              <w:rPr>
                <w:i/>
              </w:rPr>
              <w:t>c</w:t>
            </w:r>
          </w:p>
        </w:tc>
        <w:tc>
          <w:tcPr>
            <w:tcW w:w="600" w:type="dxa"/>
            <w:tcBorders>
              <w:top w:val="single" w:sz="4" w:space="0" w:color="auto"/>
              <w:bottom w:val="nil"/>
            </w:tcBorders>
          </w:tcPr>
          <w:p w:rsidR="00E35632" w:rsidRDefault="00E35632">
            <w:pPr>
              <w:pStyle w:val="ConsPlusNormal"/>
              <w:jc w:val="center"/>
            </w:pPr>
            <w:r>
              <w:t>42</w:t>
            </w:r>
          </w:p>
        </w:tc>
        <w:tc>
          <w:tcPr>
            <w:tcW w:w="600" w:type="dxa"/>
            <w:tcBorders>
              <w:top w:val="single" w:sz="4" w:space="0" w:color="auto"/>
              <w:bottom w:val="nil"/>
            </w:tcBorders>
          </w:tcPr>
          <w:p w:rsidR="00E35632" w:rsidRDefault="00E35632">
            <w:pPr>
              <w:pStyle w:val="ConsPlusNormal"/>
              <w:jc w:val="center"/>
            </w:pPr>
            <w:r>
              <w:t>41</w:t>
            </w:r>
          </w:p>
        </w:tc>
        <w:tc>
          <w:tcPr>
            <w:tcW w:w="600" w:type="dxa"/>
            <w:tcBorders>
              <w:top w:val="single" w:sz="4" w:space="0" w:color="auto"/>
              <w:bottom w:val="nil"/>
            </w:tcBorders>
          </w:tcPr>
          <w:p w:rsidR="00E35632" w:rsidRDefault="00E35632">
            <w:pPr>
              <w:pStyle w:val="ConsPlusNormal"/>
              <w:jc w:val="center"/>
            </w:pPr>
            <w:r>
              <w:t>40</w:t>
            </w:r>
          </w:p>
        </w:tc>
        <w:tc>
          <w:tcPr>
            <w:tcW w:w="600" w:type="dxa"/>
            <w:tcBorders>
              <w:top w:val="single" w:sz="4" w:space="0" w:color="auto"/>
              <w:bottom w:val="nil"/>
            </w:tcBorders>
          </w:tcPr>
          <w:p w:rsidR="00E35632" w:rsidRDefault="00E35632">
            <w:pPr>
              <w:pStyle w:val="ConsPlusNormal"/>
              <w:jc w:val="center"/>
            </w:pPr>
            <w:r>
              <w:t>39</w:t>
            </w:r>
          </w:p>
        </w:tc>
        <w:tc>
          <w:tcPr>
            <w:tcW w:w="600" w:type="dxa"/>
            <w:tcBorders>
              <w:top w:val="single" w:sz="4" w:space="0" w:color="auto"/>
              <w:bottom w:val="nil"/>
            </w:tcBorders>
          </w:tcPr>
          <w:p w:rsidR="00E35632" w:rsidRDefault="00E35632">
            <w:pPr>
              <w:pStyle w:val="ConsPlusNormal"/>
              <w:jc w:val="center"/>
            </w:pPr>
            <w:r>
              <w:t>38</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680" w:type="dxa"/>
            <w:tcBorders>
              <w:top w:val="nil"/>
              <w:bottom w:val="nil"/>
            </w:tcBorders>
          </w:tcPr>
          <w:p w:rsidR="00E35632" w:rsidRDefault="00E35632">
            <w:pPr>
              <w:pStyle w:val="ConsPlusNormal"/>
              <w:jc w:val="center"/>
            </w:pPr>
            <w:r>
              <w:rPr>
                <w:noProof/>
                <w:position w:val="-4"/>
              </w:rPr>
              <w:drawing>
                <wp:inline distT="0" distB="0" distL="0" distR="0">
                  <wp:extent cx="160020" cy="192405"/>
                  <wp:effectExtent l="0" t="0" r="0" b="0"/>
                  <wp:docPr id="6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600" w:type="dxa"/>
            <w:tcBorders>
              <w:top w:val="nil"/>
              <w:bottom w:val="nil"/>
            </w:tcBorders>
          </w:tcPr>
          <w:p w:rsidR="00E35632" w:rsidRDefault="00E35632">
            <w:pPr>
              <w:pStyle w:val="ConsPlusNormal"/>
              <w:jc w:val="center"/>
            </w:pPr>
            <w:r>
              <w:t>31</w:t>
            </w:r>
          </w:p>
        </w:tc>
        <w:tc>
          <w:tcPr>
            <w:tcW w:w="600" w:type="dxa"/>
            <w:tcBorders>
              <w:top w:val="nil"/>
              <w:bottom w:val="nil"/>
            </w:tcBorders>
          </w:tcPr>
          <w:p w:rsidR="00E35632" w:rsidRDefault="00E35632">
            <w:pPr>
              <w:pStyle w:val="ConsPlusNormal"/>
              <w:jc w:val="center"/>
            </w:pPr>
            <w:r>
              <w:t>28</w:t>
            </w:r>
          </w:p>
        </w:tc>
        <w:tc>
          <w:tcPr>
            <w:tcW w:w="600" w:type="dxa"/>
            <w:tcBorders>
              <w:top w:val="nil"/>
              <w:bottom w:val="nil"/>
            </w:tcBorders>
          </w:tcPr>
          <w:p w:rsidR="00E35632" w:rsidRDefault="00E35632">
            <w:pPr>
              <w:pStyle w:val="ConsPlusNormal"/>
              <w:jc w:val="center"/>
            </w:pPr>
            <w:r>
              <w:t>26</w:t>
            </w:r>
          </w:p>
        </w:tc>
        <w:tc>
          <w:tcPr>
            <w:tcW w:w="600" w:type="dxa"/>
            <w:tcBorders>
              <w:top w:val="nil"/>
              <w:bottom w:val="nil"/>
            </w:tcBorders>
          </w:tcPr>
          <w:p w:rsidR="00E35632" w:rsidRDefault="00E35632">
            <w:pPr>
              <w:pStyle w:val="ConsPlusNormal"/>
              <w:jc w:val="center"/>
            </w:pPr>
            <w:r>
              <w:t>25</w:t>
            </w:r>
          </w:p>
        </w:tc>
        <w:tc>
          <w:tcPr>
            <w:tcW w:w="600" w:type="dxa"/>
            <w:tcBorders>
              <w:top w:val="nil"/>
              <w:bottom w:val="nil"/>
            </w:tcBorders>
          </w:tcPr>
          <w:p w:rsidR="00E35632" w:rsidRDefault="00E35632">
            <w:pPr>
              <w:pStyle w:val="ConsPlusNormal"/>
              <w:jc w:val="center"/>
            </w:pPr>
            <w:r>
              <w:t>24</w:t>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680" w:type="dxa"/>
            <w:tcBorders>
              <w:top w:val="nil"/>
              <w:bottom w:val="single" w:sz="4" w:space="0" w:color="auto"/>
            </w:tcBorders>
          </w:tcPr>
          <w:p w:rsidR="00E35632" w:rsidRDefault="00E35632">
            <w:pPr>
              <w:pStyle w:val="ConsPlusNormal"/>
              <w:jc w:val="center"/>
            </w:pPr>
            <w:r>
              <w:rPr>
                <w:i/>
              </w:rPr>
              <w:t>E</w:t>
            </w:r>
          </w:p>
        </w:tc>
        <w:tc>
          <w:tcPr>
            <w:tcW w:w="600" w:type="dxa"/>
            <w:tcBorders>
              <w:top w:val="nil"/>
              <w:bottom w:val="single" w:sz="4" w:space="0" w:color="auto"/>
            </w:tcBorders>
          </w:tcPr>
          <w:p w:rsidR="00E35632" w:rsidRDefault="00E35632">
            <w:pPr>
              <w:pStyle w:val="ConsPlusNormal"/>
              <w:jc w:val="center"/>
            </w:pPr>
            <w:r>
              <w:t>25</w:t>
            </w:r>
          </w:p>
        </w:tc>
        <w:tc>
          <w:tcPr>
            <w:tcW w:w="600" w:type="dxa"/>
            <w:tcBorders>
              <w:top w:val="nil"/>
              <w:bottom w:val="single" w:sz="4" w:space="0" w:color="auto"/>
            </w:tcBorders>
          </w:tcPr>
          <w:p w:rsidR="00E35632" w:rsidRDefault="00E35632">
            <w:pPr>
              <w:pStyle w:val="ConsPlusNormal"/>
              <w:jc w:val="center"/>
            </w:pPr>
            <w:r>
              <w:t>18</w:t>
            </w:r>
          </w:p>
        </w:tc>
        <w:tc>
          <w:tcPr>
            <w:tcW w:w="600" w:type="dxa"/>
            <w:tcBorders>
              <w:top w:val="nil"/>
              <w:bottom w:val="single" w:sz="4" w:space="0" w:color="auto"/>
            </w:tcBorders>
          </w:tcPr>
          <w:p w:rsidR="00E35632" w:rsidRDefault="00E35632">
            <w:pPr>
              <w:pStyle w:val="ConsPlusNormal"/>
              <w:jc w:val="center"/>
            </w:pPr>
            <w:r>
              <w:t>14</w:t>
            </w:r>
          </w:p>
        </w:tc>
        <w:tc>
          <w:tcPr>
            <w:tcW w:w="600" w:type="dxa"/>
            <w:tcBorders>
              <w:top w:val="nil"/>
              <w:bottom w:val="single" w:sz="4" w:space="0" w:color="auto"/>
            </w:tcBorders>
          </w:tcPr>
          <w:p w:rsidR="00E35632" w:rsidRDefault="00E35632">
            <w:pPr>
              <w:pStyle w:val="ConsPlusNormal"/>
              <w:jc w:val="center"/>
            </w:pPr>
            <w:r>
              <w:t>12</w:t>
            </w:r>
          </w:p>
        </w:tc>
        <w:tc>
          <w:tcPr>
            <w:tcW w:w="600" w:type="dxa"/>
            <w:tcBorders>
              <w:top w:val="nil"/>
              <w:bottom w:val="single" w:sz="4" w:space="0" w:color="auto"/>
            </w:tcBorders>
          </w:tcPr>
          <w:p w:rsidR="00E35632" w:rsidRDefault="00E35632">
            <w:pPr>
              <w:pStyle w:val="ConsPlusNormal"/>
              <w:jc w:val="center"/>
            </w:pPr>
            <w:r>
              <w:t>11</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w:t>
            </w:r>
          </w:p>
        </w:tc>
      </w:tr>
      <w:tr w:rsidR="00E35632">
        <w:tc>
          <w:tcPr>
            <w:tcW w:w="1380" w:type="dxa"/>
            <w:vMerge w:val="restart"/>
            <w:tcBorders>
              <w:top w:val="single" w:sz="4" w:space="0" w:color="auto"/>
              <w:bottom w:val="single" w:sz="4" w:space="0" w:color="auto"/>
            </w:tcBorders>
          </w:tcPr>
          <w:p w:rsidR="00E35632" w:rsidRDefault="00E35632">
            <w:pPr>
              <w:pStyle w:val="ConsPlusNormal"/>
            </w:pPr>
            <w:r>
              <w:t>Суглинки</w:t>
            </w:r>
          </w:p>
        </w:tc>
        <w:tc>
          <w:tcPr>
            <w:tcW w:w="1800" w:type="dxa"/>
            <w:vMerge w:val="restart"/>
            <w:tcBorders>
              <w:top w:val="single" w:sz="4" w:space="0" w:color="auto"/>
              <w:bottom w:val="single" w:sz="4" w:space="0" w:color="auto"/>
            </w:tcBorders>
          </w:tcPr>
          <w:p w:rsidR="00E35632" w:rsidRDefault="00E35632">
            <w:pPr>
              <w:pStyle w:val="ConsPlusNormal"/>
              <w:jc w:val="center"/>
            </w:pPr>
            <w:r>
              <w:t xml:space="preserve">0 &lt;= </w:t>
            </w:r>
            <w:r>
              <w:rPr>
                <w:i/>
              </w:rPr>
              <w:t>I</w:t>
            </w:r>
            <w:r>
              <w:rPr>
                <w:i/>
                <w:vertAlign w:val="subscript"/>
              </w:rPr>
              <w:t>L</w:t>
            </w:r>
            <w:r>
              <w:t xml:space="preserve"> &lt;= 0,25</w:t>
            </w:r>
          </w:p>
        </w:tc>
        <w:tc>
          <w:tcPr>
            <w:tcW w:w="1680" w:type="dxa"/>
            <w:tcBorders>
              <w:top w:val="single" w:sz="4" w:space="0" w:color="auto"/>
              <w:bottom w:val="nil"/>
            </w:tcBorders>
          </w:tcPr>
          <w:p w:rsidR="00E35632" w:rsidRDefault="00E35632">
            <w:pPr>
              <w:pStyle w:val="ConsPlusNormal"/>
              <w:jc w:val="center"/>
            </w:pPr>
            <w:r>
              <w:rPr>
                <w:i/>
              </w:rPr>
              <w:t>c</w:t>
            </w:r>
          </w:p>
        </w:tc>
        <w:tc>
          <w:tcPr>
            <w:tcW w:w="600" w:type="dxa"/>
            <w:tcBorders>
              <w:top w:val="single" w:sz="4" w:space="0" w:color="auto"/>
              <w:bottom w:val="nil"/>
            </w:tcBorders>
          </w:tcPr>
          <w:p w:rsidR="00E35632" w:rsidRDefault="00E35632">
            <w:pPr>
              <w:pStyle w:val="ConsPlusNormal"/>
              <w:jc w:val="center"/>
            </w:pPr>
            <w:r>
              <w:t>57</w:t>
            </w:r>
          </w:p>
        </w:tc>
        <w:tc>
          <w:tcPr>
            <w:tcW w:w="600" w:type="dxa"/>
            <w:tcBorders>
              <w:top w:val="single" w:sz="4" w:space="0" w:color="auto"/>
              <w:bottom w:val="nil"/>
            </w:tcBorders>
          </w:tcPr>
          <w:p w:rsidR="00E35632" w:rsidRDefault="00E35632">
            <w:pPr>
              <w:pStyle w:val="ConsPlusNormal"/>
              <w:jc w:val="center"/>
            </w:pPr>
            <w:r>
              <w:t>55</w:t>
            </w:r>
          </w:p>
        </w:tc>
        <w:tc>
          <w:tcPr>
            <w:tcW w:w="600" w:type="dxa"/>
            <w:tcBorders>
              <w:top w:val="single" w:sz="4" w:space="0" w:color="auto"/>
              <w:bottom w:val="nil"/>
            </w:tcBorders>
          </w:tcPr>
          <w:p w:rsidR="00E35632" w:rsidRDefault="00E35632">
            <w:pPr>
              <w:pStyle w:val="ConsPlusNormal"/>
              <w:jc w:val="center"/>
            </w:pPr>
            <w:r>
              <w:t>54</w:t>
            </w:r>
          </w:p>
        </w:tc>
        <w:tc>
          <w:tcPr>
            <w:tcW w:w="600" w:type="dxa"/>
            <w:tcBorders>
              <w:top w:val="single" w:sz="4" w:space="0" w:color="auto"/>
              <w:bottom w:val="nil"/>
            </w:tcBorders>
          </w:tcPr>
          <w:p w:rsidR="00E35632" w:rsidRDefault="00E35632">
            <w:pPr>
              <w:pStyle w:val="ConsPlusNormal"/>
              <w:jc w:val="center"/>
            </w:pPr>
            <w:r>
              <w:t>53</w:t>
            </w:r>
          </w:p>
        </w:tc>
        <w:tc>
          <w:tcPr>
            <w:tcW w:w="600" w:type="dxa"/>
            <w:tcBorders>
              <w:top w:val="single" w:sz="4" w:space="0" w:color="auto"/>
              <w:bottom w:val="nil"/>
            </w:tcBorders>
          </w:tcPr>
          <w:p w:rsidR="00E35632" w:rsidRDefault="00E35632">
            <w:pPr>
              <w:pStyle w:val="ConsPlusNormal"/>
              <w:jc w:val="center"/>
            </w:pPr>
            <w:r>
              <w:t>52</w:t>
            </w:r>
          </w:p>
        </w:tc>
        <w:tc>
          <w:tcPr>
            <w:tcW w:w="600" w:type="dxa"/>
            <w:tcBorders>
              <w:top w:val="single" w:sz="4" w:space="0" w:color="auto"/>
              <w:bottom w:val="nil"/>
            </w:tcBorders>
          </w:tcPr>
          <w:p w:rsidR="00E35632" w:rsidRDefault="00E35632">
            <w:pPr>
              <w:pStyle w:val="ConsPlusNormal"/>
              <w:jc w:val="center"/>
            </w:pPr>
            <w:r>
              <w:t>51</w:t>
            </w:r>
          </w:p>
        </w:tc>
        <w:tc>
          <w:tcPr>
            <w:tcW w:w="600" w:type="dxa"/>
            <w:tcBorders>
              <w:top w:val="single" w:sz="4" w:space="0" w:color="auto"/>
              <w:bottom w:val="nil"/>
            </w:tcBorders>
          </w:tcPr>
          <w:p w:rsidR="00E35632" w:rsidRDefault="00E35632">
            <w:pPr>
              <w:pStyle w:val="ConsPlusNormal"/>
              <w:jc w:val="center"/>
            </w:pPr>
            <w:r>
              <w:t>50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680" w:type="dxa"/>
            <w:tcBorders>
              <w:top w:val="nil"/>
              <w:bottom w:val="nil"/>
            </w:tcBorders>
          </w:tcPr>
          <w:p w:rsidR="00E35632" w:rsidRDefault="00E35632">
            <w:pPr>
              <w:pStyle w:val="ConsPlusNormal"/>
              <w:jc w:val="center"/>
            </w:pPr>
            <w:r>
              <w:rPr>
                <w:noProof/>
                <w:position w:val="-4"/>
              </w:rPr>
              <w:drawing>
                <wp:inline distT="0" distB="0" distL="0" distR="0">
                  <wp:extent cx="160020" cy="192405"/>
                  <wp:effectExtent l="0" t="0" r="0" b="0"/>
                  <wp:docPr id="6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600" w:type="dxa"/>
            <w:tcBorders>
              <w:top w:val="nil"/>
              <w:bottom w:val="nil"/>
            </w:tcBorders>
          </w:tcPr>
          <w:p w:rsidR="00E35632" w:rsidRDefault="00E35632">
            <w:pPr>
              <w:pStyle w:val="ConsPlusNormal"/>
              <w:jc w:val="center"/>
            </w:pPr>
            <w:r>
              <w:t>24</w:t>
            </w:r>
          </w:p>
        </w:tc>
        <w:tc>
          <w:tcPr>
            <w:tcW w:w="600" w:type="dxa"/>
            <w:tcBorders>
              <w:top w:val="nil"/>
              <w:bottom w:val="nil"/>
            </w:tcBorders>
          </w:tcPr>
          <w:p w:rsidR="00E35632" w:rsidRDefault="00E35632">
            <w:pPr>
              <w:pStyle w:val="ConsPlusNormal"/>
              <w:jc w:val="center"/>
            </w:pPr>
            <w:r>
              <w:t>23</w:t>
            </w:r>
          </w:p>
        </w:tc>
        <w:tc>
          <w:tcPr>
            <w:tcW w:w="600" w:type="dxa"/>
            <w:tcBorders>
              <w:top w:val="nil"/>
              <w:bottom w:val="nil"/>
            </w:tcBorders>
          </w:tcPr>
          <w:p w:rsidR="00E35632" w:rsidRDefault="00E35632">
            <w:pPr>
              <w:pStyle w:val="ConsPlusNormal"/>
              <w:jc w:val="center"/>
            </w:pPr>
            <w:r>
              <w:t>22</w:t>
            </w:r>
          </w:p>
        </w:tc>
        <w:tc>
          <w:tcPr>
            <w:tcW w:w="600" w:type="dxa"/>
            <w:tcBorders>
              <w:top w:val="nil"/>
              <w:bottom w:val="nil"/>
            </w:tcBorders>
          </w:tcPr>
          <w:p w:rsidR="00E35632" w:rsidRDefault="00E35632">
            <w:pPr>
              <w:pStyle w:val="ConsPlusNormal"/>
              <w:jc w:val="center"/>
            </w:pPr>
            <w:r>
              <w:t>21</w:t>
            </w:r>
          </w:p>
        </w:tc>
        <w:tc>
          <w:tcPr>
            <w:tcW w:w="600" w:type="dxa"/>
            <w:tcBorders>
              <w:top w:val="nil"/>
              <w:bottom w:val="nil"/>
            </w:tcBorders>
          </w:tcPr>
          <w:p w:rsidR="00E35632" w:rsidRDefault="00E35632">
            <w:pPr>
              <w:pStyle w:val="ConsPlusNormal"/>
              <w:jc w:val="center"/>
            </w:pPr>
            <w:r>
              <w:t>20</w:t>
            </w:r>
          </w:p>
        </w:tc>
        <w:tc>
          <w:tcPr>
            <w:tcW w:w="600" w:type="dxa"/>
            <w:tcBorders>
              <w:top w:val="nil"/>
              <w:bottom w:val="nil"/>
            </w:tcBorders>
          </w:tcPr>
          <w:p w:rsidR="00E35632" w:rsidRDefault="00E35632">
            <w:pPr>
              <w:pStyle w:val="ConsPlusNormal"/>
              <w:jc w:val="center"/>
            </w:pPr>
            <w:r>
              <w:t>19</w:t>
            </w:r>
          </w:p>
        </w:tc>
        <w:tc>
          <w:tcPr>
            <w:tcW w:w="600" w:type="dxa"/>
            <w:tcBorders>
              <w:top w:val="nil"/>
              <w:bottom w:val="nil"/>
            </w:tcBorders>
          </w:tcPr>
          <w:p w:rsidR="00E35632" w:rsidRDefault="00E35632">
            <w:pPr>
              <w:pStyle w:val="ConsPlusNormal"/>
              <w:jc w:val="center"/>
            </w:pPr>
            <w:r>
              <w:t>18</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680" w:type="dxa"/>
            <w:tcBorders>
              <w:top w:val="nil"/>
              <w:bottom w:val="single" w:sz="4" w:space="0" w:color="auto"/>
            </w:tcBorders>
          </w:tcPr>
          <w:p w:rsidR="00E35632" w:rsidRDefault="00E35632">
            <w:pPr>
              <w:pStyle w:val="ConsPlusNormal"/>
              <w:jc w:val="center"/>
            </w:pPr>
            <w:r>
              <w:rPr>
                <w:i/>
              </w:rPr>
              <w:t>E</w:t>
            </w:r>
          </w:p>
        </w:tc>
        <w:tc>
          <w:tcPr>
            <w:tcW w:w="600" w:type="dxa"/>
            <w:tcBorders>
              <w:top w:val="nil"/>
              <w:bottom w:val="single" w:sz="4" w:space="0" w:color="auto"/>
            </w:tcBorders>
          </w:tcPr>
          <w:p w:rsidR="00E35632" w:rsidRDefault="00E35632">
            <w:pPr>
              <w:pStyle w:val="ConsPlusNormal"/>
              <w:jc w:val="center"/>
            </w:pPr>
            <w:r>
              <w:t>27</w:t>
            </w:r>
          </w:p>
        </w:tc>
        <w:tc>
          <w:tcPr>
            <w:tcW w:w="600" w:type="dxa"/>
            <w:tcBorders>
              <w:top w:val="nil"/>
              <w:bottom w:val="single" w:sz="4" w:space="0" w:color="auto"/>
            </w:tcBorders>
          </w:tcPr>
          <w:p w:rsidR="00E35632" w:rsidRDefault="00E35632">
            <w:pPr>
              <w:pStyle w:val="ConsPlusNormal"/>
              <w:jc w:val="center"/>
            </w:pPr>
            <w:r>
              <w:t>25</w:t>
            </w:r>
          </w:p>
        </w:tc>
        <w:tc>
          <w:tcPr>
            <w:tcW w:w="600" w:type="dxa"/>
            <w:tcBorders>
              <w:top w:val="nil"/>
              <w:bottom w:val="single" w:sz="4" w:space="0" w:color="auto"/>
            </w:tcBorders>
          </w:tcPr>
          <w:p w:rsidR="00E35632" w:rsidRDefault="00E35632">
            <w:pPr>
              <w:pStyle w:val="ConsPlusNormal"/>
              <w:jc w:val="center"/>
            </w:pPr>
            <w:r>
              <w:t>23</w:t>
            </w:r>
          </w:p>
        </w:tc>
        <w:tc>
          <w:tcPr>
            <w:tcW w:w="600" w:type="dxa"/>
            <w:tcBorders>
              <w:top w:val="nil"/>
              <w:bottom w:val="single" w:sz="4" w:space="0" w:color="auto"/>
            </w:tcBorders>
          </w:tcPr>
          <w:p w:rsidR="00E35632" w:rsidRDefault="00E35632">
            <w:pPr>
              <w:pStyle w:val="ConsPlusNormal"/>
              <w:jc w:val="center"/>
            </w:pPr>
            <w:r>
              <w:t>21</w:t>
            </w:r>
          </w:p>
        </w:tc>
        <w:tc>
          <w:tcPr>
            <w:tcW w:w="600" w:type="dxa"/>
            <w:tcBorders>
              <w:top w:val="nil"/>
              <w:bottom w:val="single" w:sz="4" w:space="0" w:color="auto"/>
            </w:tcBorders>
          </w:tcPr>
          <w:p w:rsidR="00E35632" w:rsidRDefault="00E35632">
            <w:pPr>
              <w:pStyle w:val="ConsPlusNormal"/>
              <w:jc w:val="center"/>
            </w:pPr>
            <w:r>
              <w:t>19</w:t>
            </w:r>
          </w:p>
        </w:tc>
        <w:tc>
          <w:tcPr>
            <w:tcW w:w="600" w:type="dxa"/>
            <w:tcBorders>
              <w:top w:val="nil"/>
              <w:bottom w:val="single" w:sz="4" w:space="0" w:color="auto"/>
            </w:tcBorders>
          </w:tcPr>
          <w:p w:rsidR="00E35632" w:rsidRDefault="00E35632">
            <w:pPr>
              <w:pStyle w:val="ConsPlusNormal"/>
              <w:jc w:val="center"/>
            </w:pPr>
            <w:r>
              <w:t>17</w:t>
            </w:r>
          </w:p>
        </w:tc>
        <w:tc>
          <w:tcPr>
            <w:tcW w:w="600" w:type="dxa"/>
            <w:tcBorders>
              <w:top w:val="nil"/>
              <w:bottom w:val="single" w:sz="4" w:space="0" w:color="auto"/>
            </w:tcBorders>
          </w:tcPr>
          <w:p w:rsidR="00E35632" w:rsidRDefault="00E35632">
            <w:pPr>
              <w:pStyle w:val="ConsPlusNormal"/>
              <w:jc w:val="center"/>
            </w:pPr>
            <w:r>
              <w:t>14</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800" w:type="dxa"/>
            <w:vMerge w:val="restart"/>
            <w:tcBorders>
              <w:top w:val="single" w:sz="4" w:space="0" w:color="auto"/>
              <w:bottom w:val="single" w:sz="4" w:space="0" w:color="auto"/>
            </w:tcBorders>
          </w:tcPr>
          <w:p w:rsidR="00E35632" w:rsidRDefault="00E35632">
            <w:pPr>
              <w:pStyle w:val="ConsPlusNormal"/>
              <w:jc w:val="center"/>
            </w:pPr>
            <w:r>
              <w:t xml:space="preserve">0,25 &lt; </w:t>
            </w:r>
            <w:r>
              <w:rPr>
                <w:i/>
              </w:rPr>
              <w:t>I</w:t>
            </w:r>
            <w:r>
              <w:rPr>
                <w:i/>
                <w:vertAlign w:val="subscript"/>
              </w:rPr>
              <w:t>L</w:t>
            </w:r>
            <w:r>
              <w:t xml:space="preserve"> &lt;= 0,5</w:t>
            </w:r>
          </w:p>
        </w:tc>
        <w:tc>
          <w:tcPr>
            <w:tcW w:w="1680" w:type="dxa"/>
            <w:tcBorders>
              <w:top w:val="single" w:sz="4" w:space="0" w:color="auto"/>
              <w:bottom w:val="nil"/>
            </w:tcBorders>
          </w:tcPr>
          <w:p w:rsidR="00E35632" w:rsidRDefault="00E35632">
            <w:pPr>
              <w:pStyle w:val="ConsPlusNormal"/>
              <w:jc w:val="center"/>
            </w:pPr>
            <w:r>
              <w:rPr>
                <w:i/>
              </w:rPr>
              <w:t>c</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48</w:t>
            </w:r>
          </w:p>
        </w:tc>
        <w:tc>
          <w:tcPr>
            <w:tcW w:w="600" w:type="dxa"/>
            <w:tcBorders>
              <w:top w:val="single" w:sz="4" w:space="0" w:color="auto"/>
              <w:bottom w:val="nil"/>
            </w:tcBorders>
          </w:tcPr>
          <w:p w:rsidR="00E35632" w:rsidRDefault="00E35632">
            <w:pPr>
              <w:pStyle w:val="ConsPlusNormal"/>
              <w:jc w:val="center"/>
            </w:pPr>
            <w:r>
              <w:t>46</w:t>
            </w:r>
          </w:p>
        </w:tc>
        <w:tc>
          <w:tcPr>
            <w:tcW w:w="600" w:type="dxa"/>
            <w:tcBorders>
              <w:top w:val="single" w:sz="4" w:space="0" w:color="auto"/>
              <w:bottom w:val="nil"/>
            </w:tcBorders>
          </w:tcPr>
          <w:p w:rsidR="00E35632" w:rsidRDefault="00E35632">
            <w:pPr>
              <w:pStyle w:val="ConsPlusNormal"/>
              <w:jc w:val="center"/>
            </w:pPr>
            <w:r>
              <w:t>44</w:t>
            </w:r>
          </w:p>
        </w:tc>
        <w:tc>
          <w:tcPr>
            <w:tcW w:w="600" w:type="dxa"/>
            <w:tcBorders>
              <w:top w:val="single" w:sz="4" w:space="0" w:color="auto"/>
              <w:bottom w:val="nil"/>
            </w:tcBorders>
          </w:tcPr>
          <w:p w:rsidR="00E35632" w:rsidRDefault="00E35632">
            <w:pPr>
              <w:pStyle w:val="ConsPlusNormal"/>
              <w:jc w:val="center"/>
            </w:pPr>
            <w:r>
              <w:t>42</w:t>
            </w:r>
          </w:p>
        </w:tc>
        <w:tc>
          <w:tcPr>
            <w:tcW w:w="600" w:type="dxa"/>
            <w:tcBorders>
              <w:top w:val="single" w:sz="4" w:space="0" w:color="auto"/>
              <w:bottom w:val="nil"/>
            </w:tcBorders>
          </w:tcPr>
          <w:p w:rsidR="00E35632" w:rsidRDefault="00E35632">
            <w:pPr>
              <w:pStyle w:val="ConsPlusNormal"/>
              <w:jc w:val="center"/>
            </w:pPr>
            <w:r>
              <w:t>40</w:t>
            </w:r>
          </w:p>
        </w:tc>
        <w:tc>
          <w:tcPr>
            <w:tcW w:w="600" w:type="dxa"/>
            <w:tcBorders>
              <w:top w:val="single" w:sz="4" w:space="0" w:color="auto"/>
              <w:bottom w:val="nil"/>
            </w:tcBorders>
          </w:tcPr>
          <w:p w:rsidR="00E35632" w:rsidRDefault="00E35632">
            <w:pPr>
              <w:pStyle w:val="ConsPlusNormal"/>
              <w:jc w:val="center"/>
            </w:pPr>
            <w:r>
              <w:t>37</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680" w:type="dxa"/>
            <w:tcBorders>
              <w:top w:val="nil"/>
              <w:bottom w:val="nil"/>
            </w:tcBorders>
          </w:tcPr>
          <w:p w:rsidR="00E35632" w:rsidRDefault="00E35632">
            <w:pPr>
              <w:pStyle w:val="ConsPlusNormal"/>
              <w:jc w:val="center"/>
            </w:pPr>
            <w:r>
              <w:rPr>
                <w:noProof/>
                <w:position w:val="-4"/>
              </w:rPr>
              <w:drawing>
                <wp:inline distT="0" distB="0" distL="0" distR="0">
                  <wp:extent cx="160020" cy="192405"/>
                  <wp:effectExtent l="0" t="0" r="0" b="0"/>
                  <wp:docPr id="6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22</w:t>
            </w:r>
          </w:p>
        </w:tc>
        <w:tc>
          <w:tcPr>
            <w:tcW w:w="600" w:type="dxa"/>
            <w:tcBorders>
              <w:top w:val="nil"/>
              <w:bottom w:val="nil"/>
            </w:tcBorders>
          </w:tcPr>
          <w:p w:rsidR="00E35632" w:rsidRDefault="00E35632">
            <w:pPr>
              <w:pStyle w:val="ConsPlusNormal"/>
              <w:jc w:val="center"/>
            </w:pPr>
            <w:r>
              <w:t>21</w:t>
            </w:r>
          </w:p>
        </w:tc>
        <w:tc>
          <w:tcPr>
            <w:tcW w:w="600" w:type="dxa"/>
            <w:tcBorders>
              <w:top w:val="nil"/>
              <w:bottom w:val="nil"/>
            </w:tcBorders>
          </w:tcPr>
          <w:p w:rsidR="00E35632" w:rsidRDefault="00E35632">
            <w:pPr>
              <w:pStyle w:val="ConsPlusNormal"/>
              <w:jc w:val="center"/>
            </w:pPr>
            <w:r>
              <w:t>20</w:t>
            </w:r>
          </w:p>
        </w:tc>
        <w:tc>
          <w:tcPr>
            <w:tcW w:w="600" w:type="dxa"/>
            <w:tcBorders>
              <w:top w:val="nil"/>
              <w:bottom w:val="nil"/>
            </w:tcBorders>
          </w:tcPr>
          <w:p w:rsidR="00E35632" w:rsidRDefault="00E35632">
            <w:pPr>
              <w:pStyle w:val="ConsPlusNormal"/>
              <w:jc w:val="center"/>
            </w:pPr>
            <w:r>
              <w:t>19</w:t>
            </w:r>
          </w:p>
        </w:tc>
        <w:tc>
          <w:tcPr>
            <w:tcW w:w="600" w:type="dxa"/>
            <w:tcBorders>
              <w:top w:val="nil"/>
              <w:bottom w:val="nil"/>
            </w:tcBorders>
          </w:tcPr>
          <w:p w:rsidR="00E35632" w:rsidRDefault="00E35632">
            <w:pPr>
              <w:pStyle w:val="ConsPlusNormal"/>
              <w:jc w:val="center"/>
            </w:pPr>
            <w:r>
              <w:t>18</w:t>
            </w:r>
          </w:p>
        </w:tc>
        <w:tc>
          <w:tcPr>
            <w:tcW w:w="600" w:type="dxa"/>
            <w:tcBorders>
              <w:top w:val="nil"/>
              <w:bottom w:val="nil"/>
            </w:tcBorders>
          </w:tcPr>
          <w:p w:rsidR="00E35632" w:rsidRDefault="00E35632">
            <w:pPr>
              <w:pStyle w:val="ConsPlusNormal"/>
              <w:jc w:val="center"/>
            </w:pPr>
            <w:r>
              <w:t>17</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680" w:type="dxa"/>
            <w:tcBorders>
              <w:top w:val="nil"/>
              <w:bottom w:val="single" w:sz="4" w:space="0" w:color="auto"/>
            </w:tcBorders>
          </w:tcPr>
          <w:p w:rsidR="00E35632" w:rsidRDefault="00E35632">
            <w:pPr>
              <w:pStyle w:val="ConsPlusNormal"/>
              <w:jc w:val="center"/>
            </w:pPr>
            <w:r>
              <w:rPr>
                <w:i/>
              </w:rPr>
              <w:t>E</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19</w:t>
            </w:r>
          </w:p>
        </w:tc>
        <w:tc>
          <w:tcPr>
            <w:tcW w:w="600" w:type="dxa"/>
            <w:tcBorders>
              <w:top w:val="nil"/>
              <w:bottom w:val="single" w:sz="4" w:space="0" w:color="auto"/>
            </w:tcBorders>
          </w:tcPr>
          <w:p w:rsidR="00E35632" w:rsidRDefault="00E35632">
            <w:pPr>
              <w:pStyle w:val="ConsPlusNormal"/>
              <w:jc w:val="center"/>
            </w:pPr>
            <w:r>
              <w:t>16</w:t>
            </w:r>
          </w:p>
        </w:tc>
        <w:tc>
          <w:tcPr>
            <w:tcW w:w="600" w:type="dxa"/>
            <w:tcBorders>
              <w:top w:val="nil"/>
              <w:bottom w:val="single" w:sz="4" w:space="0" w:color="auto"/>
            </w:tcBorders>
          </w:tcPr>
          <w:p w:rsidR="00E35632" w:rsidRDefault="00E35632">
            <w:pPr>
              <w:pStyle w:val="ConsPlusNormal"/>
              <w:jc w:val="center"/>
            </w:pPr>
            <w:r>
              <w:t>14</w:t>
            </w:r>
          </w:p>
        </w:tc>
        <w:tc>
          <w:tcPr>
            <w:tcW w:w="600" w:type="dxa"/>
            <w:tcBorders>
              <w:top w:val="nil"/>
              <w:bottom w:val="single" w:sz="4" w:space="0" w:color="auto"/>
            </w:tcBorders>
          </w:tcPr>
          <w:p w:rsidR="00E35632" w:rsidRDefault="00E35632">
            <w:pPr>
              <w:pStyle w:val="ConsPlusNormal"/>
              <w:jc w:val="center"/>
            </w:pPr>
            <w:r>
              <w:t>13</w:t>
            </w:r>
          </w:p>
        </w:tc>
        <w:tc>
          <w:tcPr>
            <w:tcW w:w="600" w:type="dxa"/>
            <w:tcBorders>
              <w:top w:val="nil"/>
              <w:bottom w:val="single" w:sz="4" w:space="0" w:color="auto"/>
            </w:tcBorders>
          </w:tcPr>
          <w:p w:rsidR="00E35632" w:rsidRDefault="00E35632">
            <w:pPr>
              <w:pStyle w:val="ConsPlusNormal"/>
              <w:jc w:val="center"/>
            </w:pPr>
            <w:r>
              <w:t>12</w:t>
            </w:r>
          </w:p>
        </w:tc>
        <w:tc>
          <w:tcPr>
            <w:tcW w:w="600" w:type="dxa"/>
            <w:tcBorders>
              <w:top w:val="nil"/>
              <w:bottom w:val="single" w:sz="4" w:space="0" w:color="auto"/>
            </w:tcBorders>
          </w:tcPr>
          <w:p w:rsidR="00E35632" w:rsidRDefault="00E35632">
            <w:pPr>
              <w:pStyle w:val="ConsPlusNormal"/>
              <w:jc w:val="center"/>
            </w:pPr>
            <w:r>
              <w:t>11</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800" w:type="dxa"/>
            <w:vMerge w:val="restart"/>
            <w:tcBorders>
              <w:top w:val="single" w:sz="4" w:space="0" w:color="auto"/>
              <w:bottom w:val="single" w:sz="4" w:space="0" w:color="auto"/>
            </w:tcBorders>
          </w:tcPr>
          <w:p w:rsidR="00E35632" w:rsidRDefault="00E35632">
            <w:pPr>
              <w:pStyle w:val="ConsPlusNormal"/>
              <w:jc w:val="center"/>
            </w:pPr>
            <w:r>
              <w:t xml:space="preserve">0,5 &lt; </w:t>
            </w:r>
            <w:r>
              <w:rPr>
                <w:i/>
              </w:rPr>
              <w:t>I</w:t>
            </w:r>
            <w:r>
              <w:rPr>
                <w:i/>
                <w:vertAlign w:val="subscript"/>
              </w:rPr>
              <w:t>L</w:t>
            </w:r>
            <w:r>
              <w:t xml:space="preserve"> &lt;= 0,75</w:t>
            </w:r>
          </w:p>
        </w:tc>
        <w:tc>
          <w:tcPr>
            <w:tcW w:w="1680" w:type="dxa"/>
            <w:tcBorders>
              <w:top w:val="single" w:sz="4" w:space="0" w:color="auto"/>
              <w:bottom w:val="nil"/>
            </w:tcBorders>
          </w:tcPr>
          <w:p w:rsidR="00E35632" w:rsidRDefault="00E35632">
            <w:pPr>
              <w:pStyle w:val="ConsPlusNormal"/>
              <w:jc w:val="center"/>
            </w:pPr>
            <w:r>
              <w:rPr>
                <w:i/>
              </w:rPr>
              <w:t>c</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41</w:t>
            </w:r>
          </w:p>
        </w:tc>
        <w:tc>
          <w:tcPr>
            <w:tcW w:w="600" w:type="dxa"/>
            <w:tcBorders>
              <w:top w:val="single" w:sz="4" w:space="0" w:color="auto"/>
              <w:bottom w:val="nil"/>
            </w:tcBorders>
          </w:tcPr>
          <w:p w:rsidR="00E35632" w:rsidRDefault="00E35632">
            <w:pPr>
              <w:pStyle w:val="ConsPlusNormal"/>
              <w:jc w:val="center"/>
            </w:pPr>
            <w:r>
              <w:t>36</w:t>
            </w:r>
          </w:p>
        </w:tc>
        <w:tc>
          <w:tcPr>
            <w:tcW w:w="600" w:type="dxa"/>
            <w:tcBorders>
              <w:top w:val="single" w:sz="4" w:space="0" w:color="auto"/>
              <w:bottom w:val="nil"/>
            </w:tcBorders>
          </w:tcPr>
          <w:p w:rsidR="00E35632" w:rsidRDefault="00E35632">
            <w:pPr>
              <w:pStyle w:val="ConsPlusNormal"/>
              <w:jc w:val="center"/>
            </w:pPr>
            <w:r>
              <w:t>32</w:t>
            </w:r>
          </w:p>
        </w:tc>
        <w:tc>
          <w:tcPr>
            <w:tcW w:w="600" w:type="dxa"/>
            <w:tcBorders>
              <w:top w:val="single" w:sz="4" w:space="0" w:color="auto"/>
              <w:bottom w:val="nil"/>
            </w:tcBorders>
          </w:tcPr>
          <w:p w:rsidR="00E35632" w:rsidRDefault="00E35632">
            <w:pPr>
              <w:pStyle w:val="ConsPlusNormal"/>
              <w:jc w:val="center"/>
            </w:pPr>
            <w:r>
              <w:t>29</w:t>
            </w:r>
          </w:p>
        </w:tc>
        <w:tc>
          <w:tcPr>
            <w:tcW w:w="600" w:type="dxa"/>
            <w:tcBorders>
              <w:top w:val="single" w:sz="4" w:space="0" w:color="auto"/>
              <w:bottom w:val="nil"/>
            </w:tcBorders>
          </w:tcPr>
          <w:p w:rsidR="00E35632" w:rsidRDefault="00E35632">
            <w:pPr>
              <w:pStyle w:val="ConsPlusNormal"/>
              <w:jc w:val="center"/>
            </w:pPr>
            <w:r>
              <w:t>25</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680" w:type="dxa"/>
            <w:tcBorders>
              <w:top w:val="nil"/>
              <w:bottom w:val="nil"/>
            </w:tcBorders>
          </w:tcPr>
          <w:p w:rsidR="00E35632" w:rsidRDefault="00E35632">
            <w:pPr>
              <w:pStyle w:val="ConsPlusNormal"/>
              <w:jc w:val="center"/>
            </w:pPr>
            <w:r>
              <w:rPr>
                <w:noProof/>
                <w:position w:val="-4"/>
              </w:rPr>
              <w:drawing>
                <wp:inline distT="0" distB="0" distL="0" distR="0">
                  <wp:extent cx="160020" cy="192405"/>
                  <wp:effectExtent l="0" t="0" r="0" b="0"/>
                  <wp:docPr id="6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20</w:t>
            </w:r>
          </w:p>
        </w:tc>
        <w:tc>
          <w:tcPr>
            <w:tcW w:w="600" w:type="dxa"/>
            <w:tcBorders>
              <w:top w:val="nil"/>
              <w:bottom w:val="nil"/>
            </w:tcBorders>
          </w:tcPr>
          <w:p w:rsidR="00E35632" w:rsidRDefault="00E35632">
            <w:pPr>
              <w:pStyle w:val="ConsPlusNormal"/>
              <w:jc w:val="center"/>
            </w:pPr>
            <w:r>
              <w:t>19</w:t>
            </w:r>
          </w:p>
        </w:tc>
        <w:tc>
          <w:tcPr>
            <w:tcW w:w="600" w:type="dxa"/>
            <w:tcBorders>
              <w:top w:val="nil"/>
              <w:bottom w:val="nil"/>
            </w:tcBorders>
          </w:tcPr>
          <w:p w:rsidR="00E35632" w:rsidRDefault="00E35632">
            <w:pPr>
              <w:pStyle w:val="ConsPlusNormal"/>
              <w:jc w:val="center"/>
            </w:pPr>
            <w:r>
              <w:t>18</w:t>
            </w:r>
          </w:p>
        </w:tc>
        <w:tc>
          <w:tcPr>
            <w:tcW w:w="600" w:type="dxa"/>
            <w:tcBorders>
              <w:top w:val="nil"/>
              <w:bottom w:val="nil"/>
            </w:tcBorders>
          </w:tcPr>
          <w:p w:rsidR="00E35632" w:rsidRDefault="00E35632">
            <w:pPr>
              <w:pStyle w:val="ConsPlusNormal"/>
              <w:jc w:val="center"/>
            </w:pPr>
            <w:r>
              <w:t>17</w:t>
            </w:r>
          </w:p>
        </w:tc>
        <w:tc>
          <w:tcPr>
            <w:tcW w:w="600" w:type="dxa"/>
            <w:tcBorders>
              <w:top w:val="nil"/>
              <w:bottom w:val="nil"/>
            </w:tcBorders>
          </w:tcPr>
          <w:p w:rsidR="00E35632" w:rsidRDefault="00E35632">
            <w:pPr>
              <w:pStyle w:val="ConsPlusNormal"/>
              <w:jc w:val="center"/>
            </w:pPr>
            <w:r>
              <w:t>16</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680" w:type="dxa"/>
            <w:tcBorders>
              <w:top w:val="nil"/>
              <w:bottom w:val="single" w:sz="4" w:space="0" w:color="auto"/>
            </w:tcBorders>
          </w:tcPr>
          <w:p w:rsidR="00E35632" w:rsidRDefault="00E35632">
            <w:pPr>
              <w:pStyle w:val="ConsPlusNormal"/>
              <w:jc w:val="center"/>
            </w:pPr>
            <w:r>
              <w:rPr>
                <w:i/>
              </w:rPr>
              <w:t>E</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pPr>
          </w:p>
        </w:tc>
        <w:tc>
          <w:tcPr>
            <w:tcW w:w="600" w:type="dxa"/>
            <w:tcBorders>
              <w:top w:val="nil"/>
              <w:bottom w:val="single" w:sz="4" w:space="0" w:color="auto"/>
            </w:tcBorders>
          </w:tcPr>
          <w:p w:rsidR="00E35632" w:rsidRDefault="00E35632">
            <w:pPr>
              <w:pStyle w:val="ConsPlusNormal"/>
              <w:jc w:val="center"/>
            </w:pPr>
            <w:r>
              <w:t>15</w:t>
            </w:r>
          </w:p>
        </w:tc>
        <w:tc>
          <w:tcPr>
            <w:tcW w:w="600" w:type="dxa"/>
            <w:tcBorders>
              <w:top w:val="nil"/>
              <w:bottom w:val="single" w:sz="4" w:space="0" w:color="auto"/>
            </w:tcBorders>
          </w:tcPr>
          <w:p w:rsidR="00E35632" w:rsidRDefault="00E35632">
            <w:pPr>
              <w:pStyle w:val="ConsPlusNormal"/>
              <w:jc w:val="center"/>
            </w:pPr>
            <w:r>
              <w:t>13</w:t>
            </w:r>
          </w:p>
        </w:tc>
        <w:tc>
          <w:tcPr>
            <w:tcW w:w="600" w:type="dxa"/>
            <w:tcBorders>
              <w:top w:val="nil"/>
              <w:bottom w:val="single" w:sz="4" w:space="0" w:color="auto"/>
            </w:tcBorders>
          </w:tcPr>
          <w:p w:rsidR="00E35632" w:rsidRDefault="00E35632">
            <w:pPr>
              <w:pStyle w:val="ConsPlusNormal"/>
              <w:jc w:val="center"/>
            </w:pPr>
            <w:r>
              <w:t>11</w:t>
            </w:r>
          </w:p>
        </w:tc>
        <w:tc>
          <w:tcPr>
            <w:tcW w:w="600" w:type="dxa"/>
            <w:tcBorders>
              <w:top w:val="nil"/>
              <w:bottom w:val="single" w:sz="4" w:space="0" w:color="auto"/>
            </w:tcBorders>
          </w:tcPr>
          <w:p w:rsidR="00E35632" w:rsidRDefault="00E35632">
            <w:pPr>
              <w:pStyle w:val="ConsPlusNormal"/>
              <w:jc w:val="center"/>
            </w:pPr>
            <w:r>
              <w:t>10</w:t>
            </w:r>
          </w:p>
        </w:tc>
        <w:tc>
          <w:tcPr>
            <w:tcW w:w="600" w:type="dxa"/>
            <w:tcBorders>
              <w:top w:val="nil"/>
              <w:bottom w:val="single" w:sz="4" w:space="0" w:color="auto"/>
            </w:tcBorders>
          </w:tcPr>
          <w:p w:rsidR="00E35632" w:rsidRDefault="00E35632">
            <w:pPr>
              <w:pStyle w:val="ConsPlusNormal"/>
              <w:jc w:val="center"/>
            </w:pPr>
            <w:r>
              <w:t>9</w:t>
            </w:r>
          </w:p>
        </w:tc>
      </w:tr>
      <w:tr w:rsidR="00E35632">
        <w:tc>
          <w:tcPr>
            <w:tcW w:w="1380" w:type="dxa"/>
            <w:vMerge w:val="restart"/>
            <w:tcBorders>
              <w:top w:val="single" w:sz="4" w:space="0" w:color="auto"/>
              <w:bottom w:val="single" w:sz="4" w:space="0" w:color="auto"/>
            </w:tcBorders>
          </w:tcPr>
          <w:p w:rsidR="00E35632" w:rsidRDefault="00E35632">
            <w:pPr>
              <w:pStyle w:val="ConsPlusNormal"/>
            </w:pPr>
            <w:r>
              <w:t>Глины</w:t>
            </w:r>
          </w:p>
        </w:tc>
        <w:tc>
          <w:tcPr>
            <w:tcW w:w="1800" w:type="dxa"/>
            <w:vMerge w:val="restart"/>
            <w:tcBorders>
              <w:top w:val="single" w:sz="4" w:space="0" w:color="auto"/>
              <w:bottom w:val="single" w:sz="4" w:space="0" w:color="auto"/>
            </w:tcBorders>
          </w:tcPr>
          <w:p w:rsidR="00E35632" w:rsidRDefault="00E35632">
            <w:pPr>
              <w:pStyle w:val="ConsPlusNormal"/>
              <w:jc w:val="center"/>
            </w:pPr>
            <w:r>
              <w:t xml:space="preserve">0 &lt;= </w:t>
            </w:r>
            <w:r>
              <w:rPr>
                <w:i/>
              </w:rPr>
              <w:t>I</w:t>
            </w:r>
            <w:r>
              <w:rPr>
                <w:i/>
                <w:vertAlign w:val="subscript"/>
              </w:rPr>
              <w:t>L</w:t>
            </w:r>
            <w:r>
              <w:t xml:space="preserve"> &lt;= 0,25</w:t>
            </w:r>
          </w:p>
        </w:tc>
        <w:tc>
          <w:tcPr>
            <w:tcW w:w="1680" w:type="dxa"/>
            <w:tcBorders>
              <w:top w:val="single" w:sz="4" w:space="0" w:color="auto"/>
              <w:bottom w:val="nil"/>
            </w:tcBorders>
          </w:tcPr>
          <w:p w:rsidR="00E35632" w:rsidRDefault="00E35632">
            <w:pPr>
              <w:pStyle w:val="ConsPlusNormal"/>
              <w:jc w:val="center"/>
            </w:pPr>
            <w:r>
              <w:rPr>
                <w:i/>
              </w:rPr>
              <w:t>c</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62</w:t>
            </w:r>
          </w:p>
        </w:tc>
        <w:tc>
          <w:tcPr>
            <w:tcW w:w="600" w:type="dxa"/>
            <w:tcBorders>
              <w:top w:val="single" w:sz="4" w:space="0" w:color="auto"/>
              <w:bottom w:val="nil"/>
            </w:tcBorders>
          </w:tcPr>
          <w:p w:rsidR="00E35632" w:rsidRDefault="00E35632">
            <w:pPr>
              <w:pStyle w:val="ConsPlusNormal"/>
              <w:jc w:val="center"/>
            </w:pPr>
            <w:r>
              <w:t>60</w:t>
            </w:r>
          </w:p>
        </w:tc>
        <w:tc>
          <w:tcPr>
            <w:tcW w:w="600" w:type="dxa"/>
            <w:tcBorders>
              <w:top w:val="single" w:sz="4" w:space="0" w:color="auto"/>
              <w:bottom w:val="nil"/>
            </w:tcBorders>
          </w:tcPr>
          <w:p w:rsidR="00E35632" w:rsidRDefault="00E35632">
            <w:pPr>
              <w:pStyle w:val="ConsPlusNormal"/>
              <w:jc w:val="center"/>
            </w:pPr>
            <w:r>
              <w:t>58</w:t>
            </w:r>
          </w:p>
        </w:tc>
        <w:tc>
          <w:tcPr>
            <w:tcW w:w="600" w:type="dxa"/>
            <w:tcBorders>
              <w:top w:val="single" w:sz="4" w:space="0" w:color="auto"/>
              <w:bottom w:val="nil"/>
            </w:tcBorders>
          </w:tcPr>
          <w:p w:rsidR="00E35632" w:rsidRDefault="00E35632">
            <w:pPr>
              <w:pStyle w:val="ConsPlusNormal"/>
              <w:jc w:val="center"/>
            </w:pPr>
            <w:r>
              <w:t>57</w:t>
            </w:r>
          </w:p>
        </w:tc>
        <w:tc>
          <w:tcPr>
            <w:tcW w:w="600" w:type="dxa"/>
            <w:tcBorders>
              <w:top w:val="single" w:sz="4" w:space="0" w:color="auto"/>
              <w:bottom w:val="nil"/>
            </w:tcBorders>
          </w:tcPr>
          <w:p w:rsidR="00E35632" w:rsidRDefault="00E35632">
            <w:pPr>
              <w:pStyle w:val="ConsPlusNormal"/>
              <w:jc w:val="center"/>
            </w:pPr>
            <w:r>
              <w:t>56</w:t>
            </w:r>
          </w:p>
        </w:tc>
        <w:tc>
          <w:tcPr>
            <w:tcW w:w="600" w:type="dxa"/>
            <w:tcBorders>
              <w:top w:val="single" w:sz="4" w:space="0" w:color="auto"/>
              <w:bottom w:val="nil"/>
            </w:tcBorders>
          </w:tcPr>
          <w:p w:rsidR="00E35632" w:rsidRDefault="00E35632">
            <w:pPr>
              <w:pStyle w:val="ConsPlusNormal"/>
              <w:jc w:val="center"/>
            </w:pPr>
            <w:r>
              <w:t>-</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680" w:type="dxa"/>
            <w:tcBorders>
              <w:top w:val="nil"/>
              <w:bottom w:val="nil"/>
            </w:tcBorders>
          </w:tcPr>
          <w:p w:rsidR="00E35632" w:rsidRDefault="00E35632">
            <w:pPr>
              <w:pStyle w:val="ConsPlusNormal"/>
              <w:jc w:val="center"/>
            </w:pPr>
            <w:r>
              <w:rPr>
                <w:noProof/>
                <w:position w:val="-4"/>
              </w:rPr>
              <w:drawing>
                <wp:inline distT="0" distB="0" distL="0" distR="0">
                  <wp:extent cx="160020" cy="192405"/>
                  <wp:effectExtent l="0" t="0" r="0" b="0"/>
                  <wp:docPr id="6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20</w:t>
            </w:r>
          </w:p>
        </w:tc>
        <w:tc>
          <w:tcPr>
            <w:tcW w:w="600" w:type="dxa"/>
            <w:tcBorders>
              <w:top w:val="nil"/>
              <w:bottom w:val="nil"/>
            </w:tcBorders>
          </w:tcPr>
          <w:p w:rsidR="00E35632" w:rsidRDefault="00E35632">
            <w:pPr>
              <w:pStyle w:val="ConsPlusNormal"/>
              <w:jc w:val="center"/>
            </w:pPr>
            <w:r>
              <w:t>19</w:t>
            </w:r>
          </w:p>
        </w:tc>
        <w:tc>
          <w:tcPr>
            <w:tcW w:w="600" w:type="dxa"/>
            <w:tcBorders>
              <w:top w:val="nil"/>
              <w:bottom w:val="nil"/>
            </w:tcBorders>
          </w:tcPr>
          <w:p w:rsidR="00E35632" w:rsidRDefault="00E35632">
            <w:pPr>
              <w:pStyle w:val="ConsPlusNormal"/>
              <w:jc w:val="center"/>
            </w:pPr>
            <w:r>
              <w:t>18</w:t>
            </w:r>
          </w:p>
        </w:tc>
        <w:tc>
          <w:tcPr>
            <w:tcW w:w="600" w:type="dxa"/>
            <w:tcBorders>
              <w:top w:val="nil"/>
              <w:bottom w:val="nil"/>
            </w:tcBorders>
          </w:tcPr>
          <w:p w:rsidR="00E35632" w:rsidRDefault="00E35632">
            <w:pPr>
              <w:pStyle w:val="ConsPlusNormal"/>
              <w:jc w:val="center"/>
            </w:pPr>
            <w:r>
              <w:t>17</w:t>
            </w:r>
          </w:p>
        </w:tc>
        <w:tc>
          <w:tcPr>
            <w:tcW w:w="600" w:type="dxa"/>
            <w:tcBorders>
              <w:top w:val="nil"/>
              <w:bottom w:val="nil"/>
            </w:tcBorders>
          </w:tcPr>
          <w:p w:rsidR="00E35632" w:rsidRDefault="00E35632">
            <w:pPr>
              <w:pStyle w:val="ConsPlusNormal"/>
              <w:jc w:val="center"/>
            </w:pPr>
            <w:r>
              <w:t>16</w:t>
            </w:r>
          </w:p>
        </w:tc>
        <w:tc>
          <w:tcPr>
            <w:tcW w:w="600" w:type="dxa"/>
            <w:tcBorders>
              <w:top w:val="nil"/>
              <w:bottom w:val="nil"/>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680" w:type="dxa"/>
            <w:tcBorders>
              <w:top w:val="nil"/>
              <w:bottom w:val="single" w:sz="4" w:space="0" w:color="auto"/>
            </w:tcBorders>
          </w:tcPr>
          <w:p w:rsidR="00E35632" w:rsidRDefault="00E35632">
            <w:pPr>
              <w:pStyle w:val="ConsPlusNormal"/>
              <w:jc w:val="center"/>
            </w:pPr>
            <w:r>
              <w:rPr>
                <w:i/>
              </w:rPr>
              <w:t>E</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19</w:t>
            </w:r>
          </w:p>
        </w:tc>
        <w:tc>
          <w:tcPr>
            <w:tcW w:w="600" w:type="dxa"/>
            <w:tcBorders>
              <w:top w:val="nil"/>
              <w:bottom w:val="single" w:sz="4" w:space="0" w:color="auto"/>
            </w:tcBorders>
          </w:tcPr>
          <w:p w:rsidR="00E35632" w:rsidRDefault="00E35632">
            <w:pPr>
              <w:pStyle w:val="ConsPlusNormal"/>
              <w:jc w:val="center"/>
            </w:pPr>
            <w:r>
              <w:t>18</w:t>
            </w:r>
          </w:p>
        </w:tc>
        <w:tc>
          <w:tcPr>
            <w:tcW w:w="600" w:type="dxa"/>
            <w:tcBorders>
              <w:top w:val="nil"/>
              <w:bottom w:val="single" w:sz="4" w:space="0" w:color="auto"/>
            </w:tcBorders>
          </w:tcPr>
          <w:p w:rsidR="00E35632" w:rsidRDefault="00E35632">
            <w:pPr>
              <w:pStyle w:val="ConsPlusNormal"/>
              <w:jc w:val="center"/>
            </w:pPr>
            <w:r>
              <w:t>17</w:t>
            </w:r>
          </w:p>
        </w:tc>
        <w:tc>
          <w:tcPr>
            <w:tcW w:w="600" w:type="dxa"/>
            <w:tcBorders>
              <w:top w:val="nil"/>
              <w:bottom w:val="single" w:sz="4" w:space="0" w:color="auto"/>
            </w:tcBorders>
          </w:tcPr>
          <w:p w:rsidR="00E35632" w:rsidRDefault="00E35632">
            <w:pPr>
              <w:pStyle w:val="ConsPlusNormal"/>
              <w:jc w:val="center"/>
            </w:pPr>
            <w:r>
              <w:t>16</w:t>
            </w:r>
          </w:p>
        </w:tc>
        <w:tc>
          <w:tcPr>
            <w:tcW w:w="600" w:type="dxa"/>
            <w:tcBorders>
              <w:top w:val="nil"/>
              <w:bottom w:val="single" w:sz="4" w:space="0" w:color="auto"/>
            </w:tcBorders>
          </w:tcPr>
          <w:p w:rsidR="00E35632" w:rsidRDefault="00E35632">
            <w:pPr>
              <w:pStyle w:val="ConsPlusNormal"/>
              <w:jc w:val="center"/>
            </w:pPr>
            <w:r>
              <w:t>15</w:t>
            </w:r>
          </w:p>
        </w:tc>
        <w:tc>
          <w:tcPr>
            <w:tcW w:w="600" w:type="dxa"/>
            <w:tcBorders>
              <w:top w:val="nil"/>
              <w:bottom w:val="single" w:sz="4" w:space="0" w:color="auto"/>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800" w:type="dxa"/>
            <w:vMerge w:val="restart"/>
            <w:tcBorders>
              <w:top w:val="single" w:sz="4" w:space="0" w:color="auto"/>
              <w:bottom w:val="single" w:sz="4" w:space="0" w:color="auto"/>
            </w:tcBorders>
          </w:tcPr>
          <w:p w:rsidR="00E35632" w:rsidRDefault="00E35632">
            <w:pPr>
              <w:pStyle w:val="ConsPlusNormal"/>
              <w:jc w:val="center"/>
            </w:pPr>
            <w:r>
              <w:t xml:space="preserve">0,25 &lt; </w:t>
            </w:r>
            <w:r>
              <w:rPr>
                <w:i/>
              </w:rPr>
              <w:t>I</w:t>
            </w:r>
            <w:r>
              <w:rPr>
                <w:i/>
                <w:vertAlign w:val="subscript"/>
              </w:rPr>
              <w:t>L</w:t>
            </w:r>
            <w:r>
              <w:t xml:space="preserve"> &lt;= 0,5</w:t>
            </w:r>
          </w:p>
        </w:tc>
        <w:tc>
          <w:tcPr>
            <w:tcW w:w="1680" w:type="dxa"/>
            <w:tcBorders>
              <w:top w:val="single" w:sz="4" w:space="0" w:color="auto"/>
              <w:bottom w:val="nil"/>
            </w:tcBorders>
          </w:tcPr>
          <w:p w:rsidR="00E35632" w:rsidRDefault="00E35632">
            <w:pPr>
              <w:pStyle w:val="ConsPlusNormal"/>
              <w:jc w:val="center"/>
            </w:pPr>
            <w:r>
              <w:rPr>
                <w:i/>
              </w:rPr>
              <w:t>c</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54</w:t>
            </w:r>
          </w:p>
        </w:tc>
        <w:tc>
          <w:tcPr>
            <w:tcW w:w="600" w:type="dxa"/>
            <w:tcBorders>
              <w:top w:val="single" w:sz="4" w:space="0" w:color="auto"/>
              <w:bottom w:val="nil"/>
            </w:tcBorders>
          </w:tcPr>
          <w:p w:rsidR="00E35632" w:rsidRDefault="00E35632">
            <w:pPr>
              <w:pStyle w:val="ConsPlusNormal"/>
              <w:jc w:val="center"/>
            </w:pPr>
            <w:r>
              <w:t>50</w:t>
            </w:r>
          </w:p>
        </w:tc>
        <w:tc>
          <w:tcPr>
            <w:tcW w:w="600" w:type="dxa"/>
            <w:tcBorders>
              <w:top w:val="single" w:sz="4" w:space="0" w:color="auto"/>
              <w:bottom w:val="nil"/>
            </w:tcBorders>
          </w:tcPr>
          <w:p w:rsidR="00E35632" w:rsidRDefault="00E35632">
            <w:pPr>
              <w:pStyle w:val="ConsPlusNormal"/>
              <w:jc w:val="center"/>
            </w:pPr>
            <w:r>
              <w:t>47</w:t>
            </w:r>
          </w:p>
        </w:tc>
        <w:tc>
          <w:tcPr>
            <w:tcW w:w="600" w:type="dxa"/>
            <w:tcBorders>
              <w:top w:val="single" w:sz="4" w:space="0" w:color="auto"/>
              <w:bottom w:val="nil"/>
            </w:tcBorders>
          </w:tcPr>
          <w:p w:rsidR="00E35632" w:rsidRDefault="00E35632">
            <w:pPr>
              <w:pStyle w:val="ConsPlusNormal"/>
              <w:jc w:val="center"/>
            </w:pPr>
            <w:r>
              <w:t>44</w:t>
            </w:r>
          </w:p>
        </w:tc>
        <w:tc>
          <w:tcPr>
            <w:tcW w:w="600" w:type="dxa"/>
            <w:tcBorders>
              <w:top w:val="single" w:sz="4" w:space="0" w:color="auto"/>
              <w:bottom w:val="nil"/>
            </w:tcBorders>
          </w:tcPr>
          <w:p w:rsidR="00E35632" w:rsidRDefault="00E35632">
            <w:pPr>
              <w:pStyle w:val="ConsPlusNormal"/>
              <w:jc w:val="center"/>
            </w:pPr>
            <w:r>
              <w:t>-</w:t>
            </w:r>
          </w:p>
        </w:tc>
        <w:tc>
          <w:tcPr>
            <w:tcW w:w="600" w:type="dxa"/>
            <w:tcBorders>
              <w:top w:val="single" w:sz="4" w:space="0" w:color="auto"/>
              <w:bottom w:val="nil"/>
            </w:tcBorders>
          </w:tcPr>
          <w:p w:rsidR="00E35632" w:rsidRDefault="00E35632">
            <w:pPr>
              <w:pStyle w:val="ConsPlusNormal"/>
              <w:jc w:val="center"/>
            </w:pPr>
            <w:r>
              <w:t>-</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680" w:type="dxa"/>
            <w:tcBorders>
              <w:top w:val="nil"/>
              <w:bottom w:val="nil"/>
            </w:tcBorders>
          </w:tcPr>
          <w:p w:rsidR="00E35632" w:rsidRDefault="00E35632">
            <w:pPr>
              <w:pStyle w:val="ConsPlusNormal"/>
              <w:jc w:val="center"/>
            </w:pPr>
            <w:r>
              <w:rPr>
                <w:noProof/>
                <w:position w:val="-4"/>
              </w:rPr>
              <w:drawing>
                <wp:inline distT="0" distB="0" distL="0" distR="0">
                  <wp:extent cx="160020" cy="192405"/>
                  <wp:effectExtent l="0" t="0" r="0" b="0"/>
                  <wp:docPr id="6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17</w:t>
            </w:r>
          </w:p>
        </w:tc>
        <w:tc>
          <w:tcPr>
            <w:tcW w:w="600" w:type="dxa"/>
            <w:tcBorders>
              <w:top w:val="nil"/>
              <w:bottom w:val="nil"/>
            </w:tcBorders>
          </w:tcPr>
          <w:p w:rsidR="00E35632" w:rsidRDefault="00E35632">
            <w:pPr>
              <w:pStyle w:val="ConsPlusNormal"/>
              <w:jc w:val="center"/>
            </w:pPr>
            <w:r>
              <w:t>15</w:t>
            </w:r>
          </w:p>
        </w:tc>
        <w:tc>
          <w:tcPr>
            <w:tcW w:w="600" w:type="dxa"/>
            <w:tcBorders>
              <w:top w:val="nil"/>
              <w:bottom w:val="nil"/>
            </w:tcBorders>
          </w:tcPr>
          <w:p w:rsidR="00E35632" w:rsidRDefault="00E35632">
            <w:pPr>
              <w:pStyle w:val="ConsPlusNormal"/>
              <w:jc w:val="center"/>
            </w:pPr>
            <w:r>
              <w:t>13</w:t>
            </w:r>
          </w:p>
        </w:tc>
        <w:tc>
          <w:tcPr>
            <w:tcW w:w="600" w:type="dxa"/>
            <w:tcBorders>
              <w:top w:val="nil"/>
              <w:bottom w:val="nil"/>
            </w:tcBorders>
          </w:tcPr>
          <w:p w:rsidR="00E35632" w:rsidRDefault="00E35632">
            <w:pPr>
              <w:pStyle w:val="ConsPlusNormal"/>
              <w:jc w:val="center"/>
            </w:pPr>
            <w:r>
              <w:t>12</w:t>
            </w:r>
          </w:p>
        </w:tc>
        <w:tc>
          <w:tcPr>
            <w:tcW w:w="600" w:type="dxa"/>
            <w:tcBorders>
              <w:top w:val="nil"/>
              <w:bottom w:val="nil"/>
            </w:tcBorders>
          </w:tcPr>
          <w:p w:rsidR="00E35632" w:rsidRDefault="00E35632">
            <w:pPr>
              <w:pStyle w:val="ConsPlusNormal"/>
              <w:jc w:val="center"/>
            </w:pPr>
            <w:r>
              <w:t>-</w:t>
            </w:r>
          </w:p>
        </w:tc>
        <w:tc>
          <w:tcPr>
            <w:tcW w:w="600" w:type="dxa"/>
            <w:tcBorders>
              <w:top w:val="nil"/>
              <w:bottom w:val="nil"/>
            </w:tcBorders>
          </w:tcPr>
          <w:p w:rsidR="00E35632" w:rsidRDefault="00E35632">
            <w:pPr>
              <w:pStyle w:val="ConsPlusNormal"/>
              <w:jc w:val="center"/>
            </w:pPr>
            <w:r>
              <w:t>-</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680" w:type="dxa"/>
            <w:tcBorders>
              <w:top w:val="nil"/>
              <w:bottom w:val="single" w:sz="4" w:space="0" w:color="auto"/>
            </w:tcBorders>
          </w:tcPr>
          <w:p w:rsidR="00E35632" w:rsidRDefault="00E35632">
            <w:pPr>
              <w:pStyle w:val="ConsPlusNormal"/>
              <w:jc w:val="center"/>
            </w:pPr>
            <w:r>
              <w:rPr>
                <w:i/>
              </w:rPr>
              <w:t>E</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14</w:t>
            </w:r>
          </w:p>
        </w:tc>
        <w:tc>
          <w:tcPr>
            <w:tcW w:w="600" w:type="dxa"/>
            <w:tcBorders>
              <w:top w:val="nil"/>
              <w:bottom w:val="single" w:sz="4" w:space="0" w:color="auto"/>
            </w:tcBorders>
          </w:tcPr>
          <w:p w:rsidR="00E35632" w:rsidRDefault="00E35632">
            <w:pPr>
              <w:pStyle w:val="ConsPlusNormal"/>
              <w:jc w:val="center"/>
            </w:pPr>
            <w:r>
              <w:t>12</w:t>
            </w:r>
          </w:p>
        </w:tc>
        <w:tc>
          <w:tcPr>
            <w:tcW w:w="600" w:type="dxa"/>
            <w:tcBorders>
              <w:top w:val="nil"/>
              <w:bottom w:val="single" w:sz="4" w:space="0" w:color="auto"/>
            </w:tcBorders>
          </w:tcPr>
          <w:p w:rsidR="00E35632" w:rsidRDefault="00E35632">
            <w:pPr>
              <w:pStyle w:val="ConsPlusNormal"/>
              <w:jc w:val="center"/>
            </w:pPr>
            <w:r>
              <w:t>10</w:t>
            </w:r>
          </w:p>
        </w:tc>
        <w:tc>
          <w:tcPr>
            <w:tcW w:w="600" w:type="dxa"/>
            <w:tcBorders>
              <w:top w:val="nil"/>
              <w:bottom w:val="single" w:sz="4" w:space="0" w:color="auto"/>
            </w:tcBorders>
          </w:tcPr>
          <w:p w:rsidR="00E35632" w:rsidRDefault="00E35632">
            <w:pPr>
              <w:pStyle w:val="ConsPlusNormal"/>
              <w:jc w:val="center"/>
            </w:pPr>
            <w:r>
              <w:t>9</w:t>
            </w:r>
          </w:p>
        </w:tc>
        <w:tc>
          <w:tcPr>
            <w:tcW w:w="600" w:type="dxa"/>
            <w:tcBorders>
              <w:top w:val="nil"/>
              <w:bottom w:val="single" w:sz="4" w:space="0" w:color="auto"/>
            </w:tcBorders>
          </w:tcPr>
          <w:p w:rsidR="00E35632" w:rsidRDefault="00E35632">
            <w:pPr>
              <w:pStyle w:val="ConsPlusNormal"/>
              <w:jc w:val="center"/>
            </w:pPr>
            <w:r>
              <w:t>-</w:t>
            </w:r>
          </w:p>
        </w:tc>
        <w:tc>
          <w:tcPr>
            <w:tcW w:w="600" w:type="dxa"/>
            <w:tcBorders>
              <w:top w:val="nil"/>
              <w:bottom w:val="single" w:sz="4" w:space="0" w:color="auto"/>
            </w:tcBorders>
          </w:tcPr>
          <w:p w:rsidR="00E35632" w:rsidRDefault="00E35632">
            <w:pPr>
              <w:pStyle w:val="ConsPlusNormal"/>
              <w:jc w:val="center"/>
            </w:pPr>
            <w:r>
              <w:t>-</w:t>
            </w:r>
          </w:p>
        </w:tc>
      </w:tr>
      <w:tr w:rsidR="00E35632">
        <w:tc>
          <w:tcPr>
            <w:tcW w:w="9060" w:type="dxa"/>
            <w:gridSpan w:val="10"/>
            <w:tcBorders>
              <w:top w:val="single" w:sz="4" w:space="0" w:color="auto"/>
              <w:bottom w:val="single" w:sz="4" w:space="0" w:color="auto"/>
            </w:tcBorders>
          </w:tcPr>
          <w:p w:rsidR="00E35632" w:rsidRDefault="00E35632">
            <w:pPr>
              <w:pStyle w:val="ConsPlusNormal"/>
              <w:ind w:firstLine="283"/>
              <w:jc w:val="both"/>
            </w:pPr>
            <w:r>
              <w:t>Примечание - Данные таблицы распространяются на элювиальные глинистые грунты, в которых содержание крупнообломочных частиц (</w:t>
            </w:r>
            <w:r>
              <w:rPr>
                <w:i/>
              </w:rPr>
              <w:t>d</w:t>
            </w:r>
            <w:r>
              <w:t xml:space="preserve"> &gt;= 2 мм) не превышает 20% по массе.</w:t>
            </w:r>
          </w:p>
        </w:tc>
      </w:tr>
    </w:tbl>
    <w:p w:rsidR="00E35632" w:rsidRDefault="00E35632">
      <w:pPr>
        <w:pStyle w:val="ConsPlusNormal"/>
        <w:jc w:val="both"/>
      </w:pPr>
    </w:p>
    <w:p w:rsidR="00E35632" w:rsidRDefault="00E35632">
      <w:pPr>
        <w:pStyle w:val="ConsPlusNormal"/>
        <w:jc w:val="right"/>
      </w:pPr>
      <w:r>
        <w:t>Таблица А.7</w:t>
      </w:r>
    </w:p>
    <w:p w:rsidR="00E35632" w:rsidRDefault="00E35632">
      <w:pPr>
        <w:pStyle w:val="ConsPlusNormal"/>
        <w:jc w:val="both"/>
      </w:pPr>
    </w:p>
    <w:p w:rsidR="00E35632" w:rsidRDefault="00E35632">
      <w:pPr>
        <w:pStyle w:val="ConsPlusNormal"/>
        <w:jc w:val="center"/>
      </w:pPr>
      <w:bookmarkStart w:id="280" w:name="P6013"/>
      <w:bookmarkEnd w:id="280"/>
      <w:r>
        <w:rPr>
          <w:b/>
        </w:rPr>
        <w:t>Нормативные значения удельного сцепления</w:t>
      </w:r>
      <w:r>
        <w:t xml:space="preserve"> </w:t>
      </w:r>
      <w:r>
        <w:rPr>
          <w:b/>
          <w:i/>
        </w:rPr>
        <w:t>c</w:t>
      </w:r>
      <w:r>
        <w:rPr>
          <w:b/>
          <w:i/>
          <w:vertAlign w:val="subscript"/>
        </w:rPr>
        <w:t>n</w:t>
      </w:r>
      <w:r>
        <w:rPr>
          <w:b/>
        </w:rPr>
        <w:t>, кПа,</w:t>
      </w:r>
    </w:p>
    <w:p w:rsidR="00E35632" w:rsidRDefault="00E35632">
      <w:pPr>
        <w:pStyle w:val="ConsPlusNormal"/>
        <w:jc w:val="center"/>
      </w:pPr>
      <w:r>
        <w:rPr>
          <w:b/>
        </w:rPr>
        <w:t xml:space="preserve">угла внутреннего трения </w:t>
      </w:r>
      <w:r>
        <w:rPr>
          <w:noProof/>
          <w:position w:val="-8"/>
        </w:rPr>
        <w:drawing>
          <wp:inline distT="0" distB="0" distL="0" distR="0">
            <wp:extent cx="182880" cy="250825"/>
            <wp:effectExtent l="0" t="0" r="0" b="0"/>
            <wp:docPr id="6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182880" cy="250825"/>
                    </a:xfrm>
                    <a:prstGeom prst="rect">
                      <a:avLst/>
                    </a:prstGeom>
                    <a:noFill/>
                    <a:ln>
                      <a:noFill/>
                    </a:ln>
                  </pic:spPr>
                </pic:pic>
              </a:graphicData>
            </a:graphic>
          </wp:inline>
        </w:drawing>
      </w:r>
      <w:r>
        <w:rPr>
          <w:b/>
        </w:rPr>
        <w:t>, град., и модуля</w:t>
      </w:r>
    </w:p>
    <w:p w:rsidR="00E35632" w:rsidRDefault="00E35632">
      <w:pPr>
        <w:pStyle w:val="ConsPlusNormal"/>
        <w:jc w:val="center"/>
      </w:pPr>
      <w:r>
        <w:rPr>
          <w:b/>
        </w:rPr>
        <w:t>деформации</w:t>
      </w:r>
      <w:r>
        <w:t xml:space="preserve"> </w:t>
      </w:r>
      <w:r>
        <w:rPr>
          <w:b/>
          <w:i/>
        </w:rPr>
        <w:t>E</w:t>
      </w:r>
      <w:r>
        <w:rPr>
          <w:b/>
        </w:rPr>
        <w:t>, МПа, элювиальных глинистых грунтов</w:t>
      </w:r>
    </w:p>
    <w:p w:rsidR="00E35632" w:rsidRDefault="00E35632">
      <w:pPr>
        <w:pStyle w:val="ConsPlusNormal"/>
        <w:jc w:val="center"/>
      </w:pPr>
      <w:r>
        <w:rPr>
          <w:b/>
        </w:rPr>
        <w:t>осадочных аргиллито-алевролитовых пород</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405"/>
        <w:gridCol w:w="1330"/>
        <w:gridCol w:w="1330"/>
        <w:gridCol w:w="1325"/>
        <w:gridCol w:w="1339"/>
        <w:gridCol w:w="1306"/>
      </w:tblGrid>
      <w:tr w:rsidR="00E35632">
        <w:tc>
          <w:tcPr>
            <w:tcW w:w="2405" w:type="dxa"/>
            <w:vMerge w:val="restart"/>
            <w:tcBorders>
              <w:top w:val="single" w:sz="4" w:space="0" w:color="auto"/>
              <w:bottom w:val="single" w:sz="4" w:space="0" w:color="auto"/>
            </w:tcBorders>
            <w:vAlign w:val="center"/>
          </w:tcPr>
          <w:p w:rsidR="00E35632" w:rsidRDefault="00E35632">
            <w:pPr>
              <w:pStyle w:val="ConsPlusNormal"/>
              <w:jc w:val="center"/>
            </w:pPr>
            <w:r>
              <w:t>Обозначение характеристик грунтов</w:t>
            </w:r>
          </w:p>
        </w:tc>
        <w:tc>
          <w:tcPr>
            <w:tcW w:w="6630" w:type="dxa"/>
            <w:gridSpan w:val="5"/>
            <w:tcBorders>
              <w:top w:val="single" w:sz="4" w:space="0" w:color="auto"/>
              <w:bottom w:val="single" w:sz="4" w:space="0" w:color="auto"/>
            </w:tcBorders>
            <w:vAlign w:val="center"/>
          </w:tcPr>
          <w:p w:rsidR="00E35632" w:rsidRDefault="00E35632">
            <w:pPr>
              <w:pStyle w:val="ConsPlusNormal"/>
              <w:jc w:val="center"/>
            </w:pPr>
            <w:r>
              <w:t xml:space="preserve">Характеристики грунтов при коэффициенте пористости </w:t>
            </w:r>
            <w:r>
              <w:rPr>
                <w:i/>
              </w:rPr>
              <w:t>e</w:t>
            </w:r>
            <w:r>
              <w:t>, равном</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330" w:type="dxa"/>
            <w:tcBorders>
              <w:top w:val="single" w:sz="4" w:space="0" w:color="auto"/>
              <w:bottom w:val="single" w:sz="4" w:space="0" w:color="auto"/>
            </w:tcBorders>
            <w:vAlign w:val="center"/>
          </w:tcPr>
          <w:p w:rsidR="00E35632" w:rsidRDefault="00E35632">
            <w:pPr>
              <w:pStyle w:val="ConsPlusNormal"/>
              <w:jc w:val="center"/>
            </w:pPr>
            <w:r>
              <w:t>0,45</w:t>
            </w:r>
          </w:p>
        </w:tc>
        <w:tc>
          <w:tcPr>
            <w:tcW w:w="1330" w:type="dxa"/>
            <w:tcBorders>
              <w:top w:val="single" w:sz="4" w:space="0" w:color="auto"/>
              <w:bottom w:val="single" w:sz="4" w:space="0" w:color="auto"/>
            </w:tcBorders>
            <w:vAlign w:val="center"/>
          </w:tcPr>
          <w:p w:rsidR="00E35632" w:rsidRDefault="00E35632">
            <w:pPr>
              <w:pStyle w:val="ConsPlusNormal"/>
              <w:jc w:val="center"/>
            </w:pPr>
            <w:r>
              <w:t>0,55</w:t>
            </w:r>
          </w:p>
        </w:tc>
        <w:tc>
          <w:tcPr>
            <w:tcW w:w="1325" w:type="dxa"/>
            <w:tcBorders>
              <w:top w:val="single" w:sz="4" w:space="0" w:color="auto"/>
              <w:bottom w:val="single" w:sz="4" w:space="0" w:color="auto"/>
            </w:tcBorders>
            <w:vAlign w:val="center"/>
          </w:tcPr>
          <w:p w:rsidR="00E35632" w:rsidRDefault="00E35632">
            <w:pPr>
              <w:pStyle w:val="ConsPlusNormal"/>
              <w:jc w:val="center"/>
            </w:pPr>
            <w:r>
              <w:t>0,65</w:t>
            </w:r>
          </w:p>
        </w:tc>
        <w:tc>
          <w:tcPr>
            <w:tcW w:w="1339" w:type="dxa"/>
            <w:tcBorders>
              <w:top w:val="single" w:sz="4" w:space="0" w:color="auto"/>
              <w:bottom w:val="single" w:sz="4" w:space="0" w:color="auto"/>
            </w:tcBorders>
            <w:vAlign w:val="center"/>
          </w:tcPr>
          <w:p w:rsidR="00E35632" w:rsidRDefault="00E35632">
            <w:pPr>
              <w:pStyle w:val="ConsPlusNormal"/>
              <w:jc w:val="center"/>
            </w:pPr>
            <w:r>
              <w:t>0,75</w:t>
            </w:r>
          </w:p>
        </w:tc>
        <w:tc>
          <w:tcPr>
            <w:tcW w:w="1306" w:type="dxa"/>
            <w:tcBorders>
              <w:top w:val="single" w:sz="4" w:space="0" w:color="auto"/>
              <w:bottom w:val="single" w:sz="4" w:space="0" w:color="auto"/>
            </w:tcBorders>
            <w:vAlign w:val="center"/>
          </w:tcPr>
          <w:p w:rsidR="00E35632" w:rsidRDefault="00E35632">
            <w:pPr>
              <w:pStyle w:val="ConsPlusNormal"/>
              <w:jc w:val="center"/>
            </w:pPr>
            <w:r>
              <w:t>0,85</w:t>
            </w:r>
          </w:p>
        </w:tc>
      </w:tr>
      <w:tr w:rsidR="00E35632">
        <w:tblPrEx>
          <w:tblBorders>
            <w:insideH w:val="none" w:sz="0" w:space="0" w:color="auto"/>
          </w:tblBorders>
        </w:tblPrEx>
        <w:tc>
          <w:tcPr>
            <w:tcW w:w="2405" w:type="dxa"/>
            <w:tcBorders>
              <w:top w:val="single" w:sz="4" w:space="0" w:color="auto"/>
              <w:bottom w:val="nil"/>
            </w:tcBorders>
          </w:tcPr>
          <w:p w:rsidR="00E35632" w:rsidRDefault="00E35632">
            <w:pPr>
              <w:pStyle w:val="ConsPlusNormal"/>
              <w:jc w:val="center"/>
            </w:pPr>
            <w:r>
              <w:rPr>
                <w:i/>
              </w:rPr>
              <w:t>c</w:t>
            </w:r>
          </w:p>
        </w:tc>
        <w:tc>
          <w:tcPr>
            <w:tcW w:w="1330" w:type="dxa"/>
            <w:tcBorders>
              <w:top w:val="single" w:sz="4" w:space="0" w:color="auto"/>
              <w:bottom w:val="nil"/>
            </w:tcBorders>
          </w:tcPr>
          <w:p w:rsidR="00E35632" w:rsidRDefault="00E35632">
            <w:pPr>
              <w:pStyle w:val="ConsPlusNormal"/>
              <w:jc w:val="center"/>
            </w:pPr>
            <w:r>
              <w:t>58</w:t>
            </w:r>
          </w:p>
        </w:tc>
        <w:tc>
          <w:tcPr>
            <w:tcW w:w="1330" w:type="dxa"/>
            <w:tcBorders>
              <w:top w:val="single" w:sz="4" w:space="0" w:color="auto"/>
              <w:bottom w:val="nil"/>
            </w:tcBorders>
          </w:tcPr>
          <w:p w:rsidR="00E35632" w:rsidRDefault="00E35632">
            <w:pPr>
              <w:pStyle w:val="ConsPlusNormal"/>
              <w:jc w:val="center"/>
            </w:pPr>
            <w:r>
              <w:t>48</w:t>
            </w:r>
          </w:p>
        </w:tc>
        <w:tc>
          <w:tcPr>
            <w:tcW w:w="1325" w:type="dxa"/>
            <w:tcBorders>
              <w:top w:val="single" w:sz="4" w:space="0" w:color="auto"/>
              <w:bottom w:val="nil"/>
            </w:tcBorders>
          </w:tcPr>
          <w:p w:rsidR="00E35632" w:rsidRDefault="00E35632">
            <w:pPr>
              <w:pStyle w:val="ConsPlusNormal"/>
              <w:jc w:val="center"/>
            </w:pPr>
            <w:r>
              <w:t>40</w:t>
            </w:r>
          </w:p>
        </w:tc>
        <w:tc>
          <w:tcPr>
            <w:tcW w:w="1339" w:type="dxa"/>
            <w:tcBorders>
              <w:top w:val="single" w:sz="4" w:space="0" w:color="auto"/>
              <w:bottom w:val="nil"/>
            </w:tcBorders>
          </w:tcPr>
          <w:p w:rsidR="00E35632" w:rsidRDefault="00E35632">
            <w:pPr>
              <w:pStyle w:val="ConsPlusNormal"/>
              <w:jc w:val="center"/>
            </w:pPr>
            <w:r>
              <w:t>35</w:t>
            </w:r>
          </w:p>
        </w:tc>
        <w:tc>
          <w:tcPr>
            <w:tcW w:w="1306" w:type="dxa"/>
            <w:tcBorders>
              <w:top w:val="single" w:sz="4" w:space="0" w:color="auto"/>
              <w:bottom w:val="nil"/>
            </w:tcBorders>
          </w:tcPr>
          <w:p w:rsidR="00E35632" w:rsidRDefault="00E35632">
            <w:pPr>
              <w:pStyle w:val="ConsPlusNormal"/>
              <w:jc w:val="center"/>
            </w:pPr>
            <w:r>
              <w:t>31</w:t>
            </w:r>
          </w:p>
        </w:tc>
      </w:tr>
      <w:tr w:rsidR="00E35632">
        <w:tblPrEx>
          <w:tblBorders>
            <w:insideH w:val="none" w:sz="0" w:space="0" w:color="auto"/>
          </w:tblBorders>
        </w:tblPrEx>
        <w:tc>
          <w:tcPr>
            <w:tcW w:w="2405" w:type="dxa"/>
            <w:tcBorders>
              <w:top w:val="nil"/>
              <w:bottom w:val="nil"/>
            </w:tcBorders>
          </w:tcPr>
          <w:p w:rsidR="00E35632" w:rsidRDefault="00E35632">
            <w:pPr>
              <w:pStyle w:val="ConsPlusNormal"/>
              <w:jc w:val="center"/>
            </w:pPr>
            <w:r>
              <w:rPr>
                <w:noProof/>
                <w:position w:val="-4"/>
              </w:rPr>
              <w:drawing>
                <wp:inline distT="0" distB="0" distL="0" distR="0">
                  <wp:extent cx="160020" cy="192405"/>
                  <wp:effectExtent l="0" t="0" r="0" b="0"/>
                  <wp:docPr id="6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1330" w:type="dxa"/>
            <w:tcBorders>
              <w:top w:val="nil"/>
              <w:bottom w:val="nil"/>
            </w:tcBorders>
          </w:tcPr>
          <w:p w:rsidR="00E35632" w:rsidRDefault="00E35632">
            <w:pPr>
              <w:pStyle w:val="ConsPlusNormal"/>
              <w:jc w:val="center"/>
            </w:pPr>
            <w:r>
              <w:t>29</w:t>
            </w:r>
          </w:p>
        </w:tc>
        <w:tc>
          <w:tcPr>
            <w:tcW w:w="1330" w:type="dxa"/>
            <w:tcBorders>
              <w:top w:val="nil"/>
              <w:bottom w:val="nil"/>
            </w:tcBorders>
          </w:tcPr>
          <w:p w:rsidR="00E35632" w:rsidRDefault="00E35632">
            <w:pPr>
              <w:pStyle w:val="ConsPlusNormal"/>
              <w:jc w:val="center"/>
            </w:pPr>
            <w:r>
              <w:t>24</w:t>
            </w:r>
          </w:p>
        </w:tc>
        <w:tc>
          <w:tcPr>
            <w:tcW w:w="1325" w:type="dxa"/>
            <w:tcBorders>
              <w:top w:val="nil"/>
              <w:bottom w:val="nil"/>
            </w:tcBorders>
          </w:tcPr>
          <w:p w:rsidR="00E35632" w:rsidRDefault="00E35632">
            <w:pPr>
              <w:pStyle w:val="ConsPlusNormal"/>
              <w:jc w:val="center"/>
            </w:pPr>
            <w:r>
              <w:t>21</w:t>
            </w:r>
          </w:p>
        </w:tc>
        <w:tc>
          <w:tcPr>
            <w:tcW w:w="1339" w:type="dxa"/>
            <w:tcBorders>
              <w:top w:val="nil"/>
              <w:bottom w:val="nil"/>
            </w:tcBorders>
          </w:tcPr>
          <w:p w:rsidR="00E35632" w:rsidRDefault="00E35632">
            <w:pPr>
              <w:pStyle w:val="ConsPlusNormal"/>
              <w:jc w:val="center"/>
            </w:pPr>
            <w:r>
              <w:t>19</w:t>
            </w:r>
          </w:p>
        </w:tc>
        <w:tc>
          <w:tcPr>
            <w:tcW w:w="1306" w:type="dxa"/>
            <w:tcBorders>
              <w:top w:val="nil"/>
              <w:bottom w:val="nil"/>
            </w:tcBorders>
          </w:tcPr>
          <w:p w:rsidR="00E35632" w:rsidRDefault="00E35632">
            <w:pPr>
              <w:pStyle w:val="ConsPlusNormal"/>
              <w:jc w:val="center"/>
            </w:pPr>
            <w:r>
              <w:t>17</w:t>
            </w:r>
          </w:p>
        </w:tc>
      </w:tr>
      <w:tr w:rsidR="00E35632">
        <w:tblPrEx>
          <w:tblBorders>
            <w:insideH w:val="none" w:sz="0" w:space="0" w:color="auto"/>
          </w:tblBorders>
        </w:tblPrEx>
        <w:tc>
          <w:tcPr>
            <w:tcW w:w="2405" w:type="dxa"/>
            <w:tcBorders>
              <w:top w:val="nil"/>
              <w:bottom w:val="single" w:sz="4" w:space="0" w:color="auto"/>
            </w:tcBorders>
          </w:tcPr>
          <w:p w:rsidR="00E35632" w:rsidRDefault="00E35632">
            <w:pPr>
              <w:pStyle w:val="ConsPlusNormal"/>
              <w:jc w:val="center"/>
            </w:pPr>
            <w:r>
              <w:rPr>
                <w:i/>
              </w:rPr>
              <w:t>E</w:t>
            </w:r>
          </w:p>
        </w:tc>
        <w:tc>
          <w:tcPr>
            <w:tcW w:w="1330" w:type="dxa"/>
            <w:tcBorders>
              <w:top w:val="nil"/>
              <w:bottom w:val="single" w:sz="4" w:space="0" w:color="auto"/>
            </w:tcBorders>
          </w:tcPr>
          <w:p w:rsidR="00E35632" w:rsidRDefault="00E35632">
            <w:pPr>
              <w:pStyle w:val="ConsPlusNormal"/>
              <w:jc w:val="center"/>
            </w:pPr>
            <w:r>
              <w:t>25</w:t>
            </w:r>
          </w:p>
        </w:tc>
        <w:tc>
          <w:tcPr>
            <w:tcW w:w="1330" w:type="dxa"/>
            <w:tcBorders>
              <w:top w:val="nil"/>
              <w:bottom w:val="single" w:sz="4" w:space="0" w:color="auto"/>
            </w:tcBorders>
          </w:tcPr>
          <w:p w:rsidR="00E35632" w:rsidRDefault="00E35632">
            <w:pPr>
              <w:pStyle w:val="ConsPlusNormal"/>
              <w:jc w:val="center"/>
            </w:pPr>
            <w:r>
              <w:t>21</w:t>
            </w:r>
          </w:p>
        </w:tc>
        <w:tc>
          <w:tcPr>
            <w:tcW w:w="1325" w:type="dxa"/>
            <w:tcBorders>
              <w:top w:val="nil"/>
              <w:bottom w:val="single" w:sz="4" w:space="0" w:color="auto"/>
            </w:tcBorders>
          </w:tcPr>
          <w:p w:rsidR="00E35632" w:rsidRDefault="00E35632">
            <w:pPr>
              <w:pStyle w:val="ConsPlusNormal"/>
              <w:jc w:val="center"/>
            </w:pPr>
            <w:r>
              <w:t>17</w:t>
            </w:r>
          </w:p>
        </w:tc>
        <w:tc>
          <w:tcPr>
            <w:tcW w:w="1339" w:type="dxa"/>
            <w:tcBorders>
              <w:top w:val="nil"/>
              <w:bottom w:val="single" w:sz="4" w:space="0" w:color="auto"/>
            </w:tcBorders>
          </w:tcPr>
          <w:p w:rsidR="00E35632" w:rsidRDefault="00E35632">
            <w:pPr>
              <w:pStyle w:val="ConsPlusNormal"/>
              <w:jc w:val="center"/>
            </w:pPr>
            <w:r>
              <w:t>13</w:t>
            </w:r>
          </w:p>
        </w:tc>
        <w:tc>
          <w:tcPr>
            <w:tcW w:w="1306" w:type="dxa"/>
            <w:tcBorders>
              <w:top w:val="nil"/>
              <w:bottom w:val="single" w:sz="4" w:space="0" w:color="auto"/>
            </w:tcBorders>
          </w:tcPr>
          <w:p w:rsidR="00E35632" w:rsidRDefault="00E35632">
            <w:pPr>
              <w:pStyle w:val="ConsPlusNormal"/>
              <w:jc w:val="center"/>
            </w:pPr>
            <w:r>
              <w:t>10</w:t>
            </w:r>
          </w:p>
        </w:tc>
      </w:tr>
    </w:tbl>
    <w:p w:rsidR="00E35632" w:rsidRDefault="00E35632">
      <w:pPr>
        <w:pStyle w:val="ConsPlusNormal"/>
        <w:jc w:val="both"/>
      </w:pPr>
    </w:p>
    <w:p w:rsidR="00E35632" w:rsidRDefault="00E35632">
      <w:pPr>
        <w:pStyle w:val="ConsPlusNormal"/>
        <w:jc w:val="right"/>
      </w:pPr>
      <w:r>
        <w:t>Таблица А.8</w:t>
      </w:r>
    </w:p>
    <w:p w:rsidR="00E35632" w:rsidRDefault="00E35632">
      <w:pPr>
        <w:pStyle w:val="ConsPlusNormal"/>
        <w:jc w:val="both"/>
      </w:pPr>
    </w:p>
    <w:p w:rsidR="00E35632" w:rsidRDefault="00E35632">
      <w:pPr>
        <w:pStyle w:val="ConsPlusNormal"/>
        <w:jc w:val="center"/>
      </w:pPr>
      <w:bookmarkStart w:id="281" w:name="P6046"/>
      <w:bookmarkEnd w:id="281"/>
      <w:r>
        <w:rPr>
          <w:b/>
        </w:rPr>
        <w:t>Нормативные значения удельного сцепления</w:t>
      </w:r>
      <w:r>
        <w:t xml:space="preserve"> </w:t>
      </w:r>
      <w:r>
        <w:rPr>
          <w:b/>
          <w:i/>
        </w:rPr>
        <w:t>c</w:t>
      </w:r>
      <w:r>
        <w:rPr>
          <w:b/>
          <w:i/>
          <w:vertAlign w:val="subscript"/>
        </w:rPr>
        <w:t>n</w:t>
      </w:r>
      <w:r>
        <w:rPr>
          <w:b/>
        </w:rPr>
        <w:t>, кПа,</w:t>
      </w:r>
    </w:p>
    <w:p w:rsidR="00E35632" w:rsidRDefault="00E35632">
      <w:pPr>
        <w:pStyle w:val="ConsPlusNormal"/>
        <w:jc w:val="center"/>
      </w:pPr>
      <w:r>
        <w:rPr>
          <w:b/>
        </w:rPr>
        <w:t xml:space="preserve">угла внутреннего трения </w:t>
      </w:r>
      <w:r>
        <w:rPr>
          <w:noProof/>
          <w:position w:val="-3"/>
        </w:rPr>
        <w:drawing>
          <wp:inline distT="0" distB="0" distL="0" distR="0">
            <wp:extent cx="151130" cy="184150"/>
            <wp:effectExtent l="0" t="0" r="0" b="0"/>
            <wp:docPr id="6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151130" cy="184150"/>
                    </a:xfrm>
                    <a:prstGeom prst="rect">
                      <a:avLst/>
                    </a:prstGeom>
                    <a:noFill/>
                    <a:ln>
                      <a:noFill/>
                    </a:ln>
                  </pic:spPr>
                </pic:pic>
              </a:graphicData>
            </a:graphic>
          </wp:inline>
        </w:drawing>
      </w:r>
      <w:r>
        <w:rPr>
          <w:b/>
        </w:rPr>
        <w:t>, град., и модуля</w:t>
      </w:r>
    </w:p>
    <w:p w:rsidR="00E35632" w:rsidRDefault="00E35632">
      <w:pPr>
        <w:pStyle w:val="ConsPlusNormal"/>
        <w:jc w:val="center"/>
      </w:pPr>
      <w:r>
        <w:rPr>
          <w:b/>
        </w:rPr>
        <w:t>деформации</w:t>
      </w:r>
      <w:r>
        <w:t xml:space="preserve"> </w:t>
      </w:r>
      <w:r>
        <w:rPr>
          <w:b/>
          <w:i/>
        </w:rPr>
        <w:t>E</w:t>
      </w:r>
      <w:r>
        <w:rPr>
          <w:b/>
        </w:rPr>
        <w:t>, МПа, песчаных намывных грунтов</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620"/>
        <w:gridCol w:w="1718"/>
        <w:gridCol w:w="922"/>
        <w:gridCol w:w="960"/>
        <w:gridCol w:w="960"/>
        <w:gridCol w:w="960"/>
        <w:gridCol w:w="960"/>
        <w:gridCol w:w="960"/>
      </w:tblGrid>
      <w:tr w:rsidR="00E35632">
        <w:tc>
          <w:tcPr>
            <w:tcW w:w="1620" w:type="dxa"/>
            <w:vMerge w:val="restart"/>
            <w:vAlign w:val="center"/>
          </w:tcPr>
          <w:p w:rsidR="00E35632" w:rsidRDefault="00E35632">
            <w:pPr>
              <w:pStyle w:val="ConsPlusNormal"/>
              <w:jc w:val="center"/>
            </w:pPr>
            <w:r>
              <w:t>Наименование грунтов</w:t>
            </w:r>
          </w:p>
        </w:tc>
        <w:tc>
          <w:tcPr>
            <w:tcW w:w="1718" w:type="dxa"/>
            <w:vMerge w:val="restart"/>
            <w:vAlign w:val="center"/>
          </w:tcPr>
          <w:p w:rsidR="00E35632" w:rsidRDefault="00E35632">
            <w:pPr>
              <w:pStyle w:val="ConsPlusNormal"/>
              <w:jc w:val="center"/>
            </w:pPr>
            <w:r>
              <w:t>Обозначение характеристик грунтов</w:t>
            </w:r>
          </w:p>
        </w:tc>
        <w:tc>
          <w:tcPr>
            <w:tcW w:w="5722" w:type="dxa"/>
            <w:gridSpan w:val="6"/>
            <w:vAlign w:val="center"/>
          </w:tcPr>
          <w:p w:rsidR="00E35632" w:rsidRDefault="00E35632">
            <w:pPr>
              <w:pStyle w:val="ConsPlusNormal"/>
              <w:jc w:val="center"/>
            </w:pPr>
            <w:r>
              <w:t xml:space="preserve">Характеристики грунтов при коэффициенте пористости </w:t>
            </w:r>
            <w:r>
              <w:rPr>
                <w:i/>
              </w:rPr>
              <w:t>e</w:t>
            </w:r>
            <w:r>
              <w:t>, равном</w:t>
            </w:r>
          </w:p>
        </w:tc>
      </w:tr>
      <w:tr w:rsidR="00E35632">
        <w:tc>
          <w:tcPr>
            <w:tcW w:w="0" w:type="auto"/>
            <w:vMerge/>
          </w:tcPr>
          <w:p w:rsidR="00E35632" w:rsidRDefault="00E35632">
            <w:pPr>
              <w:pStyle w:val="ConsPlusNormal"/>
            </w:pPr>
          </w:p>
        </w:tc>
        <w:tc>
          <w:tcPr>
            <w:tcW w:w="0" w:type="auto"/>
            <w:vMerge/>
          </w:tcPr>
          <w:p w:rsidR="00E35632" w:rsidRDefault="00E35632">
            <w:pPr>
              <w:pStyle w:val="ConsPlusNormal"/>
            </w:pPr>
          </w:p>
        </w:tc>
        <w:tc>
          <w:tcPr>
            <w:tcW w:w="922" w:type="dxa"/>
            <w:vAlign w:val="center"/>
          </w:tcPr>
          <w:p w:rsidR="00E35632" w:rsidRDefault="00E35632">
            <w:pPr>
              <w:pStyle w:val="ConsPlusNormal"/>
              <w:jc w:val="center"/>
            </w:pPr>
            <w:r>
              <w:t>0,45</w:t>
            </w:r>
          </w:p>
        </w:tc>
        <w:tc>
          <w:tcPr>
            <w:tcW w:w="960" w:type="dxa"/>
            <w:vAlign w:val="center"/>
          </w:tcPr>
          <w:p w:rsidR="00E35632" w:rsidRDefault="00E35632">
            <w:pPr>
              <w:pStyle w:val="ConsPlusNormal"/>
              <w:jc w:val="center"/>
            </w:pPr>
            <w:r>
              <w:t>0,55</w:t>
            </w:r>
          </w:p>
        </w:tc>
        <w:tc>
          <w:tcPr>
            <w:tcW w:w="960" w:type="dxa"/>
            <w:vAlign w:val="center"/>
          </w:tcPr>
          <w:p w:rsidR="00E35632" w:rsidRDefault="00E35632">
            <w:pPr>
              <w:pStyle w:val="ConsPlusNormal"/>
              <w:jc w:val="center"/>
            </w:pPr>
            <w:r>
              <w:t>0,65</w:t>
            </w:r>
          </w:p>
        </w:tc>
        <w:tc>
          <w:tcPr>
            <w:tcW w:w="960" w:type="dxa"/>
            <w:vAlign w:val="center"/>
          </w:tcPr>
          <w:p w:rsidR="00E35632" w:rsidRDefault="00E35632">
            <w:pPr>
              <w:pStyle w:val="ConsPlusNormal"/>
              <w:jc w:val="center"/>
            </w:pPr>
            <w:r>
              <w:t>0,75</w:t>
            </w:r>
          </w:p>
        </w:tc>
        <w:tc>
          <w:tcPr>
            <w:tcW w:w="960" w:type="dxa"/>
            <w:vAlign w:val="center"/>
          </w:tcPr>
          <w:p w:rsidR="00E35632" w:rsidRDefault="00E35632">
            <w:pPr>
              <w:pStyle w:val="ConsPlusNormal"/>
              <w:jc w:val="center"/>
            </w:pPr>
            <w:r>
              <w:t>0,85</w:t>
            </w:r>
          </w:p>
        </w:tc>
        <w:tc>
          <w:tcPr>
            <w:tcW w:w="960" w:type="dxa"/>
            <w:vAlign w:val="center"/>
          </w:tcPr>
          <w:p w:rsidR="00E35632" w:rsidRDefault="00E35632">
            <w:pPr>
              <w:pStyle w:val="ConsPlusNormal"/>
              <w:jc w:val="center"/>
            </w:pPr>
            <w:r>
              <w:t>0,95</w:t>
            </w:r>
          </w:p>
        </w:tc>
      </w:tr>
      <w:tr w:rsidR="00E35632">
        <w:tc>
          <w:tcPr>
            <w:tcW w:w="1620" w:type="dxa"/>
            <w:vMerge w:val="restart"/>
          </w:tcPr>
          <w:p w:rsidR="00E35632" w:rsidRDefault="00E35632">
            <w:pPr>
              <w:pStyle w:val="ConsPlusNormal"/>
            </w:pPr>
            <w:r>
              <w:t>Средней крупности</w:t>
            </w:r>
          </w:p>
        </w:tc>
        <w:tc>
          <w:tcPr>
            <w:tcW w:w="1718" w:type="dxa"/>
          </w:tcPr>
          <w:p w:rsidR="00E35632" w:rsidRDefault="00E35632">
            <w:pPr>
              <w:pStyle w:val="ConsPlusNormal"/>
              <w:jc w:val="center"/>
            </w:pPr>
            <w:r>
              <w:rPr>
                <w:i/>
              </w:rPr>
              <w:t>c</w:t>
            </w:r>
          </w:p>
        </w:tc>
        <w:tc>
          <w:tcPr>
            <w:tcW w:w="922" w:type="dxa"/>
          </w:tcPr>
          <w:p w:rsidR="00E35632" w:rsidRDefault="00E35632">
            <w:pPr>
              <w:pStyle w:val="ConsPlusNormal"/>
              <w:jc w:val="center"/>
            </w:pPr>
            <w:r>
              <w:t>8</w:t>
            </w:r>
          </w:p>
        </w:tc>
        <w:tc>
          <w:tcPr>
            <w:tcW w:w="960" w:type="dxa"/>
          </w:tcPr>
          <w:p w:rsidR="00E35632" w:rsidRDefault="00E35632">
            <w:pPr>
              <w:pStyle w:val="ConsPlusNormal"/>
              <w:jc w:val="center"/>
            </w:pPr>
            <w:r>
              <w:t>4</w:t>
            </w:r>
          </w:p>
        </w:tc>
        <w:tc>
          <w:tcPr>
            <w:tcW w:w="960" w:type="dxa"/>
          </w:tcPr>
          <w:p w:rsidR="00E35632" w:rsidRDefault="00E35632">
            <w:pPr>
              <w:pStyle w:val="ConsPlusNormal"/>
              <w:jc w:val="center"/>
            </w:pPr>
            <w:r>
              <w:t>3</w:t>
            </w:r>
          </w:p>
        </w:tc>
        <w:tc>
          <w:tcPr>
            <w:tcW w:w="960" w:type="dxa"/>
          </w:tcPr>
          <w:p w:rsidR="00E35632" w:rsidRDefault="00E35632">
            <w:pPr>
              <w:pStyle w:val="ConsPlusNormal"/>
              <w:jc w:val="center"/>
            </w:pPr>
            <w:r>
              <w:t>2</w:t>
            </w:r>
          </w:p>
        </w:tc>
        <w:tc>
          <w:tcPr>
            <w:tcW w:w="960" w:type="dxa"/>
          </w:tcPr>
          <w:p w:rsidR="00E35632" w:rsidRDefault="00E35632">
            <w:pPr>
              <w:pStyle w:val="ConsPlusNormal"/>
              <w:jc w:val="center"/>
            </w:pPr>
            <w:r>
              <w:t>-</w:t>
            </w:r>
          </w:p>
        </w:tc>
        <w:tc>
          <w:tcPr>
            <w:tcW w:w="960" w:type="dxa"/>
          </w:tcPr>
          <w:p w:rsidR="00E35632" w:rsidRDefault="00E35632">
            <w:pPr>
              <w:pStyle w:val="ConsPlusNormal"/>
              <w:jc w:val="center"/>
            </w:pPr>
            <w:r>
              <w:t>-</w:t>
            </w:r>
          </w:p>
        </w:tc>
      </w:tr>
      <w:tr w:rsidR="00E35632">
        <w:tc>
          <w:tcPr>
            <w:tcW w:w="0" w:type="auto"/>
            <w:vMerge/>
          </w:tcPr>
          <w:p w:rsidR="00E35632" w:rsidRDefault="00E35632">
            <w:pPr>
              <w:pStyle w:val="ConsPlusNormal"/>
            </w:pPr>
          </w:p>
        </w:tc>
        <w:tc>
          <w:tcPr>
            <w:tcW w:w="1718" w:type="dxa"/>
          </w:tcPr>
          <w:p w:rsidR="00E35632" w:rsidRDefault="00E35632">
            <w:pPr>
              <w:pStyle w:val="ConsPlusNormal"/>
              <w:jc w:val="center"/>
            </w:pPr>
            <w:r>
              <w:rPr>
                <w:noProof/>
                <w:position w:val="-4"/>
              </w:rPr>
              <w:drawing>
                <wp:inline distT="0" distB="0" distL="0" distR="0">
                  <wp:extent cx="160020" cy="192405"/>
                  <wp:effectExtent l="0" t="0" r="0" b="0"/>
                  <wp:docPr id="6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922" w:type="dxa"/>
          </w:tcPr>
          <w:p w:rsidR="00E35632" w:rsidRDefault="00E35632">
            <w:pPr>
              <w:pStyle w:val="ConsPlusNormal"/>
              <w:jc w:val="center"/>
            </w:pPr>
            <w:r>
              <w:t>39</w:t>
            </w:r>
          </w:p>
        </w:tc>
        <w:tc>
          <w:tcPr>
            <w:tcW w:w="960" w:type="dxa"/>
          </w:tcPr>
          <w:p w:rsidR="00E35632" w:rsidRDefault="00E35632">
            <w:pPr>
              <w:pStyle w:val="ConsPlusNormal"/>
              <w:jc w:val="center"/>
            </w:pPr>
            <w:r>
              <w:t>37</w:t>
            </w:r>
          </w:p>
        </w:tc>
        <w:tc>
          <w:tcPr>
            <w:tcW w:w="960" w:type="dxa"/>
          </w:tcPr>
          <w:p w:rsidR="00E35632" w:rsidRDefault="00E35632">
            <w:pPr>
              <w:pStyle w:val="ConsPlusNormal"/>
              <w:jc w:val="center"/>
            </w:pPr>
            <w:r>
              <w:t>33</w:t>
            </w:r>
          </w:p>
        </w:tc>
        <w:tc>
          <w:tcPr>
            <w:tcW w:w="960" w:type="dxa"/>
          </w:tcPr>
          <w:p w:rsidR="00E35632" w:rsidRDefault="00E35632">
            <w:pPr>
              <w:pStyle w:val="ConsPlusNormal"/>
              <w:jc w:val="center"/>
            </w:pPr>
            <w:r>
              <w:t>30</w:t>
            </w:r>
          </w:p>
        </w:tc>
        <w:tc>
          <w:tcPr>
            <w:tcW w:w="960" w:type="dxa"/>
          </w:tcPr>
          <w:p w:rsidR="00E35632" w:rsidRDefault="00E35632">
            <w:pPr>
              <w:pStyle w:val="ConsPlusNormal"/>
              <w:jc w:val="center"/>
            </w:pPr>
            <w:r>
              <w:t>-</w:t>
            </w:r>
          </w:p>
        </w:tc>
        <w:tc>
          <w:tcPr>
            <w:tcW w:w="960" w:type="dxa"/>
          </w:tcPr>
          <w:p w:rsidR="00E35632" w:rsidRDefault="00E35632">
            <w:pPr>
              <w:pStyle w:val="ConsPlusNormal"/>
              <w:jc w:val="center"/>
            </w:pPr>
            <w:r>
              <w:t>-</w:t>
            </w:r>
          </w:p>
        </w:tc>
      </w:tr>
      <w:tr w:rsidR="00E35632">
        <w:tc>
          <w:tcPr>
            <w:tcW w:w="0" w:type="auto"/>
            <w:vMerge/>
          </w:tcPr>
          <w:p w:rsidR="00E35632" w:rsidRDefault="00E35632">
            <w:pPr>
              <w:pStyle w:val="ConsPlusNormal"/>
            </w:pPr>
          </w:p>
        </w:tc>
        <w:tc>
          <w:tcPr>
            <w:tcW w:w="1718" w:type="dxa"/>
          </w:tcPr>
          <w:p w:rsidR="00E35632" w:rsidRDefault="00E35632">
            <w:pPr>
              <w:pStyle w:val="ConsPlusNormal"/>
              <w:jc w:val="center"/>
            </w:pPr>
            <w:r>
              <w:rPr>
                <w:i/>
              </w:rPr>
              <w:t>E</w:t>
            </w:r>
          </w:p>
        </w:tc>
        <w:tc>
          <w:tcPr>
            <w:tcW w:w="922" w:type="dxa"/>
          </w:tcPr>
          <w:p w:rsidR="00E35632" w:rsidRDefault="00E35632">
            <w:pPr>
              <w:pStyle w:val="ConsPlusNormal"/>
              <w:jc w:val="center"/>
            </w:pPr>
            <w:r>
              <w:t>45</w:t>
            </w:r>
          </w:p>
        </w:tc>
        <w:tc>
          <w:tcPr>
            <w:tcW w:w="960" w:type="dxa"/>
          </w:tcPr>
          <w:p w:rsidR="00E35632" w:rsidRDefault="00E35632">
            <w:pPr>
              <w:pStyle w:val="ConsPlusNormal"/>
              <w:jc w:val="center"/>
            </w:pPr>
            <w:r>
              <w:t>32</w:t>
            </w:r>
          </w:p>
        </w:tc>
        <w:tc>
          <w:tcPr>
            <w:tcW w:w="960" w:type="dxa"/>
          </w:tcPr>
          <w:p w:rsidR="00E35632" w:rsidRDefault="00E35632">
            <w:pPr>
              <w:pStyle w:val="ConsPlusNormal"/>
              <w:jc w:val="center"/>
            </w:pPr>
            <w:r>
              <w:t>25</w:t>
            </w:r>
          </w:p>
        </w:tc>
        <w:tc>
          <w:tcPr>
            <w:tcW w:w="960" w:type="dxa"/>
          </w:tcPr>
          <w:p w:rsidR="00E35632" w:rsidRDefault="00E35632">
            <w:pPr>
              <w:pStyle w:val="ConsPlusNormal"/>
              <w:jc w:val="center"/>
            </w:pPr>
            <w:r>
              <w:t>17</w:t>
            </w:r>
          </w:p>
        </w:tc>
        <w:tc>
          <w:tcPr>
            <w:tcW w:w="960" w:type="dxa"/>
          </w:tcPr>
          <w:p w:rsidR="00E35632" w:rsidRDefault="00E35632">
            <w:pPr>
              <w:pStyle w:val="ConsPlusNormal"/>
              <w:jc w:val="center"/>
            </w:pPr>
            <w:r>
              <w:t>-</w:t>
            </w:r>
          </w:p>
        </w:tc>
        <w:tc>
          <w:tcPr>
            <w:tcW w:w="960" w:type="dxa"/>
          </w:tcPr>
          <w:p w:rsidR="00E35632" w:rsidRDefault="00E35632">
            <w:pPr>
              <w:pStyle w:val="ConsPlusNormal"/>
              <w:jc w:val="center"/>
            </w:pPr>
            <w:r>
              <w:t>-</w:t>
            </w:r>
          </w:p>
        </w:tc>
      </w:tr>
      <w:tr w:rsidR="00E35632">
        <w:tc>
          <w:tcPr>
            <w:tcW w:w="1620" w:type="dxa"/>
            <w:vMerge w:val="restart"/>
          </w:tcPr>
          <w:p w:rsidR="00E35632" w:rsidRDefault="00E35632">
            <w:pPr>
              <w:pStyle w:val="ConsPlusNormal"/>
            </w:pPr>
            <w:r>
              <w:t>Мелкие</w:t>
            </w:r>
          </w:p>
        </w:tc>
        <w:tc>
          <w:tcPr>
            <w:tcW w:w="1718" w:type="dxa"/>
          </w:tcPr>
          <w:p w:rsidR="00E35632" w:rsidRDefault="00E35632">
            <w:pPr>
              <w:pStyle w:val="ConsPlusNormal"/>
              <w:jc w:val="center"/>
            </w:pPr>
            <w:r>
              <w:rPr>
                <w:i/>
              </w:rPr>
              <w:t>c</w:t>
            </w:r>
          </w:p>
        </w:tc>
        <w:tc>
          <w:tcPr>
            <w:tcW w:w="922" w:type="dxa"/>
          </w:tcPr>
          <w:p w:rsidR="00E35632" w:rsidRDefault="00E35632">
            <w:pPr>
              <w:pStyle w:val="ConsPlusNormal"/>
              <w:jc w:val="center"/>
            </w:pPr>
            <w:r>
              <w:t>10</w:t>
            </w:r>
          </w:p>
        </w:tc>
        <w:tc>
          <w:tcPr>
            <w:tcW w:w="960" w:type="dxa"/>
          </w:tcPr>
          <w:p w:rsidR="00E35632" w:rsidRDefault="00E35632">
            <w:pPr>
              <w:pStyle w:val="ConsPlusNormal"/>
              <w:jc w:val="center"/>
            </w:pPr>
            <w:r>
              <w:t>6</w:t>
            </w:r>
          </w:p>
        </w:tc>
        <w:tc>
          <w:tcPr>
            <w:tcW w:w="960" w:type="dxa"/>
          </w:tcPr>
          <w:p w:rsidR="00E35632" w:rsidRDefault="00E35632">
            <w:pPr>
              <w:pStyle w:val="ConsPlusNormal"/>
              <w:jc w:val="center"/>
            </w:pPr>
            <w:r>
              <w:t>4</w:t>
            </w:r>
          </w:p>
        </w:tc>
        <w:tc>
          <w:tcPr>
            <w:tcW w:w="960" w:type="dxa"/>
          </w:tcPr>
          <w:p w:rsidR="00E35632" w:rsidRDefault="00E35632">
            <w:pPr>
              <w:pStyle w:val="ConsPlusNormal"/>
              <w:jc w:val="center"/>
            </w:pPr>
            <w:r>
              <w:t>3</w:t>
            </w:r>
          </w:p>
        </w:tc>
        <w:tc>
          <w:tcPr>
            <w:tcW w:w="960" w:type="dxa"/>
          </w:tcPr>
          <w:p w:rsidR="00E35632" w:rsidRDefault="00E35632">
            <w:pPr>
              <w:pStyle w:val="ConsPlusNormal"/>
              <w:jc w:val="center"/>
            </w:pPr>
            <w:r>
              <w:t>1</w:t>
            </w:r>
          </w:p>
        </w:tc>
        <w:tc>
          <w:tcPr>
            <w:tcW w:w="960" w:type="dxa"/>
          </w:tcPr>
          <w:p w:rsidR="00E35632" w:rsidRDefault="00E35632">
            <w:pPr>
              <w:pStyle w:val="ConsPlusNormal"/>
              <w:jc w:val="center"/>
            </w:pPr>
            <w:r>
              <w:t>-</w:t>
            </w:r>
          </w:p>
        </w:tc>
      </w:tr>
      <w:tr w:rsidR="00E35632">
        <w:tc>
          <w:tcPr>
            <w:tcW w:w="0" w:type="auto"/>
            <w:vMerge/>
          </w:tcPr>
          <w:p w:rsidR="00E35632" w:rsidRDefault="00E35632">
            <w:pPr>
              <w:pStyle w:val="ConsPlusNormal"/>
            </w:pPr>
          </w:p>
        </w:tc>
        <w:tc>
          <w:tcPr>
            <w:tcW w:w="1718" w:type="dxa"/>
          </w:tcPr>
          <w:p w:rsidR="00E35632" w:rsidRDefault="00E35632">
            <w:pPr>
              <w:pStyle w:val="ConsPlusNormal"/>
              <w:jc w:val="center"/>
            </w:pPr>
            <w:r>
              <w:rPr>
                <w:noProof/>
                <w:position w:val="-4"/>
              </w:rPr>
              <w:drawing>
                <wp:inline distT="0" distB="0" distL="0" distR="0">
                  <wp:extent cx="160020" cy="192405"/>
                  <wp:effectExtent l="0" t="0" r="0" b="0"/>
                  <wp:docPr id="6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922" w:type="dxa"/>
          </w:tcPr>
          <w:p w:rsidR="00E35632" w:rsidRDefault="00E35632">
            <w:pPr>
              <w:pStyle w:val="ConsPlusNormal"/>
              <w:jc w:val="center"/>
            </w:pPr>
            <w:r>
              <w:t>36</w:t>
            </w:r>
          </w:p>
        </w:tc>
        <w:tc>
          <w:tcPr>
            <w:tcW w:w="960" w:type="dxa"/>
          </w:tcPr>
          <w:p w:rsidR="00E35632" w:rsidRDefault="00E35632">
            <w:pPr>
              <w:pStyle w:val="ConsPlusNormal"/>
              <w:jc w:val="center"/>
            </w:pPr>
            <w:r>
              <w:t>33</w:t>
            </w:r>
          </w:p>
        </w:tc>
        <w:tc>
          <w:tcPr>
            <w:tcW w:w="960" w:type="dxa"/>
          </w:tcPr>
          <w:p w:rsidR="00E35632" w:rsidRDefault="00E35632">
            <w:pPr>
              <w:pStyle w:val="ConsPlusNormal"/>
              <w:jc w:val="center"/>
            </w:pPr>
            <w:r>
              <w:t>30</w:t>
            </w:r>
          </w:p>
        </w:tc>
        <w:tc>
          <w:tcPr>
            <w:tcW w:w="960" w:type="dxa"/>
          </w:tcPr>
          <w:p w:rsidR="00E35632" w:rsidRDefault="00E35632">
            <w:pPr>
              <w:pStyle w:val="ConsPlusNormal"/>
              <w:jc w:val="center"/>
            </w:pPr>
            <w:r>
              <w:t>27</w:t>
            </w:r>
          </w:p>
        </w:tc>
        <w:tc>
          <w:tcPr>
            <w:tcW w:w="960" w:type="dxa"/>
          </w:tcPr>
          <w:p w:rsidR="00E35632" w:rsidRDefault="00E35632">
            <w:pPr>
              <w:pStyle w:val="ConsPlusNormal"/>
              <w:jc w:val="center"/>
            </w:pPr>
            <w:r>
              <w:t>25</w:t>
            </w:r>
          </w:p>
        </w:tc>
        <w:tc>
          <w:tcPr>
            <w:tcW w:w="960" w:type="dxa"/>
          </w:tcPr>
          <w:p w:rsidR="00E35632" w:rsidRDefault="00E35632">
            <w:pPr>
              <w:pStyle w:val="ConsPlusNormal"/>
              <w:jc w:val="center"/>
            </w:pPr>
            <w:r>
              <w:t>-</w:t>
            </w:r>
          </w:p>
        </w:tc>
      </w:tr>
      <w:tr w:rsidR="00E35632">
        <w:tc>
          <w:tcPr>
            <w:tcW w:w="0" w:type="auto"/>
            <w:vMerge/>
          </w:tcPr>
          <w:p w:rsidR="00E35632" w:rsidRDefault="00E35632">
            <w:pPr>
              <w:pStyle w:val="ConsPlusNormal"/>
            </w:pPr>
          </w:p>
        </w:tc>
        <w:tc>
          <w:tcPr>
            <w:tcW w:w="1718" w:type="dxa"/>
          </w:tcPr>
          <w:p w:rsidR="00E35632" w:rsidRDefault="00E35632">
            <w:pPr>
              <w:pStyle w:val="ConsPlusNormal"/>
              <w:jc w:val="center"/>
            </w:pPr>
            <w:r>
              <w:rPr>
                <w:i/>
              </w:rPr>
              <w:t>E</w:t>
            </w:r>
          </w:p>
        </w:tc>
        <w:tc>
          <w:tcPr>
            <w:tcW w:w="922" w:type="dxa"/>
          </w:tcPr>
          <w:p w:rsidR="00E35632" w:rsidRDefault="00E35632">
            <w:pPr>
              <w:pStyle w:val="ConsPlusNormal"/>
              <w:jc w:val="center"/>
            </w:pPr>
            <w:r>
              <w:t>35</w:t>
            </w:r>
          </w:p>
        </w:tc>
        <w:tc>
          <w:tcPr>
            <w:tcW w:w="960" w:type="dxa"/>
          </w:tcPr>
          <w:p w:rsidR="00E35632" w:rsidRDefault="00E35632">
            <w:pPr>
              <w:pStyle w:val="ConsPlusNormal"/>
              <w:jc w:val="center"/>
            </w:pPr>
            <w:r>
              <w:t>27</w:t>
            </w:r>
          </w:p>
        </w:tc>
        <w:tc>
          <w:tcPr>
            <w:tcW w:w="960" w:type="dxa"/>
          </w:tcPr>
          <w:p w:rsidR="00E35632" w:rsidRDefault="00E35632">
            <w:pPr>
              <w:pStyle w:val="ConsPlusNormal"/>
              <w:jc w:val="center"/>
            </w:pPr>
            <w:r>
              <w:t>19</w:t>
            </w:r>
          </w:p>
        </w:tc>
        <w:tc>
          <w:tcPr>
            <w:tcW w:w="960" w:type="dxa"/>
          </w:tcPr>
          <w:p w:rsidR="00E35632" w:rsidRDefault="00E35632">
            <w:pPr>
              <w:pStyle w:val="ConsPlusNormal"/>
              <w:jc w:val="center"/>
            </w:pPr>
            <w:r>
              <w:t>15</w:t>
            </w:r>
          </w:p>
        </w:tc>
        <w:tc>
          <w:tcPr>
            <w:tcW w:w="960" w:type="dxa"/>
          </w:tcPr>
          <w:p w:rsidR="00E35632" w:rsidRDefault="00E35632">
            <w:pPr>
              <w:pStyle w:val="ConsPlusNormal"/>
              <w:jc w:val="center"/>
            </w:pPr>
            <w:r>
              <w:t>12</w:t>
            </w:r>
          </w:p>
        </w:tc>
        <w:tc>
          <w:tcPr>
            <w:tcW w:w="960" w:type="dxa"/>
          </w:tcPr>
          <w:p w:rsidR="00E35632" w:rsidRDefault="00E35632">
            <w:pPr>
              <w:pStyle w:val="ConsPlusNormal"/>
              <w:jc w:val="center"/>
            </w:pPr>
            <w:r>
              <w:t>-</w:t>
            </w:r>
          </w:p>
        </w:tc>
      </w:tr>
      <w:tr w:rsidR="00E35632">
        <w:tc>
          <w:tcPr>
            <w:tcW w:w="1620" w:type="dxa"/>
            <w:vMerge w:val="restart"/>
          </w:tcPr>
          <w:p w:rsidR="00E35632" w:rsidRDefault="00E35632">
            <w:pPr>
              <w:pStyle w:val="ConsPlusNormal"/>
            </w:pPr>
            <w:r>
              <w:t>Пылеватые</w:t>
            </w:r>
          </w:p>
        </w:tc>
        <w:tc>
          <w:tcPr>
            <w:tcW w:w="1718" w:type="dxa"/>
          </w:tcPr>
          <w:p w:rsidR="00E35632" w:rsidRDefault="00E35632">
            <w:pPr>
              <w:pStyle w:val="ConsPlusNormal"/>
              <w:jc w:val="center"/>
            </w:pPr>
            <w:r>
              <w:rPr>
                <w:i/>
              </w:rPr>
              <w:t>c</w:t>
            </w:r>
          </w:p>
        </w:tc>
        <w:tc>
          <w:tcPr>
            <w:tcW w:w="922" w:type="dxa"/>
          </w:tcPr>
          <w:p w:rsidR="00E35632" w:rsidRDefault="00E35632">
            <w:pPr>
              <w:pStyle w:val="ConsPlusNormal"/>
              <w:jc w:val="center"/>
            </w:pPr>
            <w:r>
              <w:t>-</w:t>
            </w:r>
          </w:p>
        </w:tc>
        <w:tc>
          <w:tcPr>
            <w:tcW w:w="960" w:type="dxa"/>
          </w:tcPr>
          <w:p w:rsidR="00E35632" w:rsidRDefault="00E35632">
            <w:pPr>
              <w:pStyle w:val="ConsPlusNormal"/>
              <w:jc w:val="center"/>
            </w:pPr>
            <w:r>
              <w:t>10</w:t>
            </w:r>
          </w:p>
        </w:tc>
        <w:tc>
          <w:tcPr>
            <w:tcW w:w="960" w:type="dxa"/>
          </w:tcPr>
          <w:p w:rsidR="00E35632" w:rsidRDefault="00E35632">
            <w:pPr>
              <w:pStyle w:val="ConsPlusNormal"/>
              <w:jc w:val="center"/>
            </w:pPr>
            <w:r>
              <w:t>7</w:t>
            </w:r>
          </w:p>
        </w:tc>
        <w:tc>
          <w:tcPr>
            <w:tcW w:w="960" w:type="dxa"/>
          </w:tcPr>
          <w:p w:rsidR="00E35632" w:rsidRDefault="00E35632">
            <w:pPr>
              <w:pStyle w:val="ConsPlusNormal"/>
              <w:jc w:val="center"/>
            </w:pPr>
            <w:r>
              <w:t>5</w:t>
            </w:r>
          </w:p>
        </w:tc>
        <w:tc>
          <w:tcPr>
            <w:tcW w:w="960" w:type="dxa"/>
          </w:tcPr>
          <w:p w:rsidR="00E35632" w:rsidRDefault="00E35632">
            <w:pPr>
              <w:pStyle w:val="ConsPlusNormal"/>
              <w:jc w:val="center"/>
            </w:pPr>
            <w:r>
              <w:t>3</w:t>
            </w:r>
          </w:p>
        </w:tc>
        <w:tc>
          <w:tcPr>
            <w:tcW w:w="960" w:type="dxa"/>
          </w:tcPr>
          <w:p w:rsidR="00E35632" w:rsidRDefault="00E35632">
            <w:pPr>
              <w:pStyle w:val="ConsPlusNormal"/>
              <w:jc w:val="center"/>
            </w:pPr>
            <w:r>
              <w:t>2</w:t>
            </w:r>
          </w:p>
        </w:tc>
      </w:tr>
      <w:tr w:rsidR="00E35632">
        <w:tc>
          <w:tcPr>
            <w:tcW w:w="0" w:type="auto"/>
            <w:vMerge/>
          </w:tcPr>
          <w:p w:rsidR="00E35632" w:rsidRDefault="00E35632">
            <w:pPr>
              <w:pStyle w:val="ConsPlusNormal"/>
            </w:pPr>
          </w:p>
        </w:tc>
        <w:tc>
          <w:tcPr>
            <w:tcW w:w="1718" w:type="dxa"/>
          </w:tcPr>
          <w:p w:rsidR="00E35632" w:rsidRDefault="00E35632">
            <w:pPr>
              <w:pStyle w:val="ConsPlusNormal"/>
              <w:jc w:val="center"/>
            </w:pPr>
            <w:r>
              <w:rPr>
                <w:noProof/>
                <w:position w:val="-4"/>
              </w:rPr>
              <w:drawing>
                <wp:inline distT="0" distB="0" distL="0" distR="0">
                  <wp:extent cx="160020" cy="192405"/>
                  <wp:effectExtent l="0" t="0" r="0" b="0"/>
                  <wp:docPr id="6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60020" cy="192405"/>
                          </a:xfrm>
                          <a:prstGeom prst="rect">
                            <a:avLst/>
                          </a:prstGeom>
                          <a:noFill/>
                          <a:ln>
                            <a:noFill/>
                          </a:ln>
                        </pic:spPr>
                      </pic:pic>
                    </a:graphicData>
                  </a:graphic>
                </wp:inline>
              </w:drawing>
            </w:r>
          </w:p>
        </w:tc>
        <w:tc>
          <w:tcPr>
            <w:tcW w:w="922" w:type="dxa"/>
          </w:tcPr>
          <w:p w:rsidR="00E35632" w:rsidRDefault="00E35632">
            <w:pPr>
              <w:pStyle w:val="ConsPlusNormal"/>
              <w:jc w:val="center"/>
            </w:pPr>
            <w:r>
              <w:t>-</w:t>
            </w:r>
          </w:p>
        </w:tc>
        <w:tc>
          <w:tcPr>
            <w:tcW w:w="960" w:type="dxa"/>
          </w:tcPr>
          <w:p w:rsidR="00E35632" w:rsidRDefault="00E35632">
            <w:pPr>
              <w:pStyle w:val="ConsPlusNormal"/>
              <w:jc w:val="center"/>
            </w:pPr>
            <w:r>
              <w:t>33</w:t>
            </w:r>
          </w:p>
        </w:tc>
        <w:tc>
          <w:tcPr>
            <w:tcW w:w="960" w:type="dxa"/>
          </w:tcPr>
          <w:p w:rsidR="00E35632" w:rsidRDefault="00E35632">
            <w:pPr>
              <w:pStyle w:val="ConsPlusNormal"/>
              <w:jc w:val="center"/>
            </w:pPr>
            <w:r>
              <w:t>29</w:t>
            </w:r>
          </w:p>
        </w:tc>
        <w:tc>
          <w:tcPr>
            <w:tcW w:w="960" w:type="dxa"/>
          </w:tcPr>
          <w:p w:rsidR="00E35632" w:rsidRDefault="00E35632">
            <w:pPr>
              <w:pStyle w:val="ConsPlusNormal"/>
              <w:jc w:val="center"/>
            </w:pPr>
            <w:r>
              <w:t>25</w:t>
            </w:r>
          </w:p>
        </w:tc>
        <w:tc>
          <w:tcPr>
            <w:tcW w:w="960" w:type="dxa"/>
          </w:tcPr>
          <w:p w:rsidR="00E35632" w:rsidRDefault="00E35632">
            <w:pPr>
              <w:pStyle w:val="ConsPlusNormal"/>
              <w:jc w:val="center"/>
            </w:pPr>
            <w:r>
              <w:t>23</w:t>
            </w:r>
          </w:p>
        </w:tc>
        <w:tc>
          <w:tcPr>
            <w:tcW w:w="960" w:type="dxa"/>
          </w:tcPr>
          <w:p w:rsidR="00E35632" w:rsidRDefault="00E35632">
            <w:pPr>
              <w:pStyle w:val="ConsPlusNormal"/>
              <w:jc w:val="center"/>
            </w:pPr>
            <w:r>
              <w:t>20</w:t>
            </w:r>
          </w:p>
        </w:tc>
      </w:tr>
      <w:tr w:rsidR="00E35632">
        <w:tc>
          <w:tcPr>
            <w:tcW w:w="0" w:type="auto"/>
            <w:vMerge/>
          </w:tcPr>
          <w:p w:rsidR="00E35632" w:rsidRDefault="00E35632">
            <w:pPr>
              <w:pStyle w:val="ConsPlusNormal"/>
            </w:pPr>
          </w:p>
        </w:tc>
        <w:tc>
          <w:tcPr>
            <w:tcW w:w="1718" w:type="dxa"/>
          </w:tcPr>
          <w:p w:rsidR="00E35632" w:rsidRDefault="00E35632">
            <w:pPr>
              <w:pStyle w:val="ConsPlusNormal"/>
              <w:jc w:val="center"/>
            </w:pPr>
            <w:r>
              <w:rPr>
                <w:i/>
              </w:rPr>
              <w:t>E</w:t>
            </w:r>
          </w:p>
        </w:tc>
        <w:tc>
          <w:tcPr>
            <w:tcW w:w="922" w:type="dxa"/>
          </w:tcPr>
          <w:p w:rsidR="00E35632" w:rsidRDefault="00E35632">
            <w:pPr>
              <w:pStyle w:val="ConsPlusNormal"/>
              <w:jc w:val="center"/>
            </w:pPr>
            <w:r>
              <w:t>-</w:t>
            </w:r>
          </w:p>
        </w:tc>
        <w:tc>
          <w:tcPr>
            <w:tcW w:w="960" w:type="dxa"/>
          </w:tcPr>
          <w:p w:rsidR="00E35632" w:rsidRDefault="00E35632">
            <w:pPr>
              <w:pStyle w:val="ConsPlusNormal"/>
              <w:jc w:val="center"/>
            </w:pPr>
            <w:r>
              <w:t>20</w:t>
            </w:r>
          </w:p>
        </w:tc>
        <w:tc>
          <w:tcPr>
            <w:tcW w:w="960" w:type="dxa"/>
          </w:tcPr>
          <w:p w:rsidR="00E35632" w:rsidRDefault="00E35632">
            <w:pPr>
              <w:pStyle w:val="ConsPlusNormal"/>
              <w:jc w:val="center"/>
            </w:pPr>
            <w:r>
              <w:t>16</w:t>
            </w:r>
          </w:p>
        </w:tc>
        <w:tc>
          <w:tcPr>
            <w:tcW w:w="960" w:type="dxa"/>
          </w:tcPr>
          <w:p w:rsidR="00E35632" w:rsidRDefault="00E35632">
            <w:pPr>
              <w:pStyle w:val="ConsPlusNormal"/>
              <w:jc w:val="center"/>
            </w:pPr>
            <w:r>
              <w:t>10</w:t>
            </w:r>
          </w:p>
        </w:tc>
        <w:tc>
          <w:tcPr>
            <w:tcW w:w="960" w:type="dxa"/>
          </w:tcPr>
          <w:p w:rsidR="00E35632" w:rsidRDefault="00E35632">
            <w:pPr>
              <w:pStyle w:val="ConsPlusNormal"/>
              <w:jc w:val="center"/>
            </w:pPr>
            <w:r>
              <w:t>8</w:t>
            </w:r>
          </w:p>
        </w:tc>
        <w:tc>
          <w:tcPr>
            <w:tcW w:w="960" w:type="dxa"/>
          </w:tcPr>
          <w:p w:rsidR="00E35632" w:rsidRDefault="00E35632">
            <w:pPr>
              <w:pStyle w:val="ConsPlusNormal"/>
              <w:jc w:val="center"/>
            </w:pPr>
            <w:r>
              <w:t>5</w:t>
            </w:r>
          </w:p>
        </w:tc>
      </w:tr>
    </w:tbl>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right"/>
        <w:outlineLvl w:val="0"/>
      </w:pPr>
      <w:r>
        <w:rPr>
          <w:b/>
        </w:rPr>
        <w:t>Приложение Б</w:t>
      </w:r>
    </w:p>
    <w:p w:rsidR="00E35632" w:rsidRDefault="00E35632">
      <w:pPr>
        <w:pStyle w:val="ConsPlusNormal"/>
        <w:jc w:val="right"/>
      </w:pPr>
      <w:r>
        <w:t xml:space="preserve">(в ред. </w:t>
      </w:r>
      <w:hyperlink r:id="rId961">
        <w:r>
          <w:rPr>
            <w:color w:val="0000FF"/>
          </w:rPr>
          <w:t>Изменения N 3</w:t>
        </w:r>
      </w:hyperlink>
      <w:r>
        <w:t>, утв. Приказом Минстроя России от 22.11.2019 N 722/пр)</w:t>
      </w:r>
    </w:p>
    <w:p w:rsidR="00E35632" w:rsidRDefault="00E35632">
      <w:pPr>
        <w:pStyle w:val="ConsPlusNormal"/>
        <w:jc w:val="both"/>
      </w:pPr>
    </w:p>
    <w:p w:rsidR="00E35632" w:rsidRDefault="00E35632">
      <w:pPr>
        <w:pStyle w:val="ConsPlusTitle"/>
        <w:jc w:val="center"/>
      </w:pPr>
      <w:bookmarkStart w:id="282" w:name="P6133"/>
      <w:bookmarkEnd w:id="282"/>
      <w:r>
        <w:t>РАСЧЕТНЫЕ СОПРОТИВЛЕНИЯ ГРУНТОВ ОСНОВАНИЙ</w:t>
      </w:r>
    </w:p>
    <w:p w:rsidR="00E35632" w:rsidRDefault="00E35632">
      <w:pPr>
        <w:pStyle w:val="ConsPlusNormal"/>
        <w:jc w:val="both"/>
      </w:pPr>
    </w:p>
    <w:p w:rsidR="00E35632" w:rsidRDefault="00E35632">
      <w:pPr>
        <w:pStyle w:val="ConsPlusNormal"/>
        <w:ind w:firstLine="540"/>
        <w:jc w:val="both"/>
      </w:pPr>
      <w:r>
        <w:t xml:space="preserve">Б.1 Расчетные сопротивления грунтов основания </w:t>
      </w:r>
      <w:r>
        <w:rPr>
          <w:i/>
        </w:rPr>
        <w:t>R</w:t>
      </w:r>
      <w:r>
        <w:rPr>
          <w:vertAlign w:val="subscript"/>
        </w:rPr>
        <w:t>0</w:t>
      </w:r>
      <w:r>
        <w:t xml:space="preserve">, приведенные в </w:t>
      </w:r>
      <w:hyperlink w:anchor="P6156">
        <w:r>
          <w:rPr>
            <w:color w:val="0000FF"/>
          </w:rPr>
          <w:t>таблицах Б.1</w:t>
        </w:r>
      </w:hyperlink>
      <w:r>
        <w:t xml:space="preserve"> - </w:t>
      </w:r>
      <w:hyperlink w:anchor="P6486">
        <w:r>
          <w:rPr>
            <w:color w:val="0000FF"/>
          </w:rPr>
          <w:t>Б.10</w:t>
        </w:r>
      </w:hyperlink>
      <w:r>
        <w:t xml:space="preserve">, предназначены для предварительного определения размеров фундаментов. Область применения значений </w:t>
      </w:r>
      <w:r>
        <w:rPr>
          <w:i/>
        </w:rPr>
        <w:t>R</w:t>
      </w:r>
      <w:r>
        <w:rPr>
          <w:vertAlign w:val="subscript"/>
        </w:rPr>
        <w:t>0</w:t>
      </w:r>
      <w:r>
        <w:t xml:space="preserve"> и </w:t>
      </w:r>
      <w:r>
        <w:rPr>
          <w:i/>
        </w:rPr>
        <w:t>R'</w:t>
      </w:r>
      <w:r>
        <w:rPr>
          <w:vertAlign w:val="subscript"/>
        </w:rPr>
        <w:t>0</w:t>
      </w:r>
      <w:r>
        <w:t xml:space="preserve"> для окончательного определения размеров фундаментов указана в </w:t>
      </w:r>
      <w:hyperlink w:anchor="P1118">
        <w:r>
          <w:rPr>
            <w:color w:val="0000FF"/>
          </w:rPr>
          <w:t>5.6.12</w:t>
        </w:r>
      </w:hyperlink>
      <w:r>
        <w:t xml:space="preserve"> для </w:t>
      </w:r>
      <w:hyperlink w:anchor="P6156">
        <w:r>
          <w:rPr>
            <w:color w:val="0000FF"/>
          </w:rPr>
          <w:t>таблиц Б.1</w:t>
        </w:r>
      </w:hyperlink>
      <w:r>
        <w:t xml:space="preserve"> - </w:t>
      </w:r>
      <w:hyperlink w:anchor="P6211">
        <w:r>
          <w:rPr>
            <w:color w:val="0000FF"/>
          </w:rPr>
          <w:t>Б.3</w:t>
        </w:r>
      </w:hyperlink>
      <w:r>
        <w:t xml:space="preserve">, в </w:t>
      </w:r>
      <w:hyperlink w:anchor="P2432">
        <w:r>
          <w:rPr>
            <w:color w:val="0000FF"/>
          </w:rPr>
          <w:t>6.1.14</w:t>
        </w:r>
      </w:hyperlink>
      <w:r>
        <w:t xml:space="preserve"> - для </w:t>
      </w:r>
      <w:hyperlink w:anchor="P6252">
        <w:r>
          <w:rPr>
            <w:color w:val="0000FF"/>
          </w:rPr>
          <w:t>таблицы Б.4</w:t>
        </w:r>
      </w:hyperlink>
      <w:r>
        <w:t xml:space="preserve">, в </w:t>
      </w:r>
      <w:hyperlink w:anchor="P2970">
        <w:r>
          <w:rPr>
            <w:color w:val="0000FF"/>
          </w:rPr>
          <w:t>6.4.19</w:t>
        </w:r>
      </w:hyperlink>
      <w:r>
        <w:t xml:space="preserve"> - для </w:t>
      </w:r>
      <w:hyperlink w:anchor="P6284">
        <w:r>
          <w:rPr>
            <w:color w:val="0000FF"/>
          </w:rPr>
          <w:t>таблицы Б.5</w:t>
        </w:r>
      </w:hyperlink>
      <w:r>
        <w:t xml:space="preserve">, в </w:t>
      </w:r>
      <w:hyperlink w:anchor="P3108">
        <w:r>
          <w:rPr>
            <w:color w:val="0000FF"/>
          </w:rPr>
          <w:t>6.5.16</w:t>
        </w:r>
      </w:hyperlink>
      <w:r>
        <w:t xml:space="preserve"> - для </w:t>
      </w:r>
      <w:hyperlink w:anchor="P6323">
        <w:r>
          <w:rPr>
            <w:color w:val="0000FF"/>
          </w:rPr>
          <w:t>таблиц Б.6</w:t>
        </w:r>
      </w:hyperlink>
      <w:r>
        <w:t xml:space="preserve"> - </w:t>
      </w:r>
      <w:hyperlink w:anchor="P6391">
        <w:r>
          <w:rPr>
            <w:color w:val="0000FF"/>
          </w:rPr>
          <w:t>Б.8</w:t>
        </w:r>
      </w:hyperlink>
      <w:r>
        <w:t xml:space="preserve">, в </w:t>
      </w:r>
      <w:hyperlink w:anchor="P3216">
        <w:r>
          <w:rPr>
            <w:color w:val="0000FF"/>
          </w:rPr>
          <w:t>6.6.13</w:t>
        </w:r>
      </w:hyperlink>
      <w:r>
        <w:t xml:space="preserve"> - для </w:t>
      </w:r>
      <w:hyperlink w:anchor="P6435">
        <w:r>
          <w:rPr>
            <w:color w:val="0000FF"/>
          </w:rPr>
          <w:t>таблицы Б.9</w:t>
        </w:r>
      </w:hyperlink>
      <w:r>
        <w:t xml:space="preserve"> и в </w:t>
      </w:r>
      <w:hyperlink w:anchor="P4248">
        <w:r>
          <w:rPr>
            <w:color w:val="0000FF"/>
          </w:rPr>
          <w:t>7.6</w:t>
        </w:r>
      </w:hyperlink>
      <w:r>
        <w:t xml:space="preserve"> - для </w:t>
      </w:r>
      <w:hyperlink w:anchor="P6486">
        <w:r>
          <w:rPr>
            <w:color w:val="0000FF"/>
          </w:rPr>
          <w:t>таблицы Б.10</w:t>
        </w:r>
      </w:hyperlink>
      <w:r>
        <w:t>.</w:t>
      </w:r>
    </w:p>
    <w:p w:rsidR="00E35632" w:rsidRDefault="00E35632">
      <w:pPr>
        <w:pStyle w:val="ConsPlusNormal"/>
        <w:spacing w:before="220"/>
        <w:ind w:firstLine="540"/>
        <w:jc w:val="both"/>
      </w:pPr>
      <w:r>
        <w:t xml:space="preserve">Б.2 Для грунтов с промежуточными значениями </w:t>
      </w:r>
      <w:r>
        <w:rPr>
          <w:i/>
        </w:rPr>
        <w:t>e</w:t>
      </w:r>
      <w:r>
        <w:t xml:space="preserve"> и </w:t>
      </w:r>
      <w:r>
        <w:rPr>
          <w:i/>
        </w:rPr>
        <w:t>I</w:t>
      </w:r>
      <w:r>
        <w:rPr>
          <w:i/>
          <w:vertAlign w:val="subscript"/>
        </w:rPr>
        <w:t>L</w:t>
      </w:r>
      <w:r>
        <w:t xml:space="preserve"> (</w:t>
      </w:r>
      <w:hyperlink w:anchor="P6156">
        <w:r>
          <w:rPr>
            <w:color w:val="0000FF"/>
          </w:rPr>
          <w:t>таблицы Б.1</w:t>
        </w:r>
      </w:hyperlink>
      <w:r>
        <w:t xml:space="preserve"> - </w:t>
      </w:r>
      <w:hyperlink w:anchor="P6211">
        <w:r>
          <w:rPr>
            <w:color w:val="0000FF"/>
          </w:rPr>
          <w:t>Б.3</w:t>
        </w:r>
      </w:hyperlink>
      <w:r>
        <w:t xml:space="preserve">, </w:t>
      </w:r>
      <w:hyperlink w:anchor="P6357">
        <w:r>
          <w:rPr>
            <w:color w:val="0000FF"/>
          </w:rPr>
          <w:t>Б.7</w:t>
        </w:r>
      </w:hyperlink>
      <w:r>
        <w:t xml:space="preserve"> и </w:t>
      </w:r>
      <w:hyperlink w:anchor="P6391">
        <w:r>
          <w:rPr>
            <w:color w:val="0000FF"/>
          </w:rPr>
          <w:t>Б.8</w:t>
        </w:r>
      </w:hyperlink>
      <w:r>
        <w:t xml:space="preserve">), </w:t>
      </w:r>
      <w:r>
        <w:rPr>
          <w:noProof/>
          <w:position w:val="-8"/>
        </w:rPr>
        <w:drawing>
          <wp:inline distT="0" distB="0" distL="0" distR="0">
            <wp:extent cx="226060" cy="251460"/>
            <wp:effectExtent l="0" t="0" r="0" b="0"/>
            <wp:docPr id="6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226060" cy="251460"/>
                    </a:xfrm>
                    <a:prstGeom prst="rect">
                      <a:avLst/>
                    </a:prstGeom>
                    <a:noFill/>
                    <a:ln>
                      <a:noFill/>
                    </a:ln>
                  </pic:spPr>
                </pic:pic>
              </a:graphicData>
            </a:graphic>
          </wp:inline>
        </w:drawing>
      </w:r>
      <w:r>
        <w:t xml:space="preserve"> и </w:t>
      </w:r>
      <w:r>
        <w:rPr>
          <w:i/>
        </w:rPr>
        <w:t>S</w:t>
      </w:r>
      <w:r>
        <w:rPr>
          <w:i/>
          <w:vertAlign w:val="subscript"/>
        </w:rPr>
        <w:t>r</w:t>
      </w:r>
      <w:r>
        <w:t xml:space="preserve"> </w:t>
      </w:r>
      <w:hyperlink w:anchor="P6252">
        <w:r>
          <w:rPr>
            <w:color w:val="0000FF"/>
          </w:rPr>
          <w:t>(таблица Б.4)</w:t>
        </w:r>
      </w:hyperlink>
      <w:r>
        <w:t xml:space="preserve">, </w:t>
      </w:r>
      <w:r>
        <w:rPr>
          <w:i/>
        </w:rPr>
        <w:t>S</w:t>
      </w:r>
      <w:r>
        <w:rPr>
          <w:i/>
          <w:vertAlign w:val="subscript"/>
        </w:rPr>
        <w:t>r</w:t>
      </w:r>
      <w:r>
        <w:t xml:space="preserve"> </w:t>
      </w:r>
      <w:hyperlink w:anchor="P6435">
        <w:r>
          <w:rPr>
            <w:color w:val="0000FF"/>
          </w:rPr>
          <w:t>(таблица Б.9)</w:t>
        </w:r>
      </w:hyperlink>
      <w:r>
        <w:t xml:space="preserve">, а также для фундаментов с промежуточными значениями </w:t>
      </w:r>
      <w:r>
        <w:rPr>
          <w:noProof/>
          <w:position w:val="-3"/>
        </w:rPr>
        <w:drawing>
          <wp:inline distT="0" distB="0" distL="0" distR="0">
            <wp:extent cx="160020" cy="182880"/>
            <wp:effectExtent l="0" t="0" r="0" b="0"/>
            <wp:docPr id="6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160020" cy="182880"/>
                    </a:xfrm>
                    <a:prstGeom prst="rect">
                      <a:avLst/>
                    </a:prstGeom>
                    <a:noFill/>
                    <a:ln>
                      <a:noFill/>
                    </a:ln>
                  </pic:spPr>
                </pic:pic>
              </a:graphicData>
            </a:graphic>
          </wp:inline>
        </w:drawing>
      </w:r>
      <w:r>
        <w:t xml:space="preserve"> </w:t>
      </w:r>
      <w:hyperlink w:anchor="P6486">
        <w:r>
          <w:rPr>
            <w:color w:val="0000FF"/>
          </w:rPr>
          <w:t>(таблица Б.10)</w:t>
        </w:r>
      </w:hyperlink>
      <w:r>
        <w:t xml:space="preserve"> значения </w:t>
      </w:r>
      <w:r>
        <w:rPr>
          <w:i/>
        </w:rPr>
        <w:t>R</w:t>
      </w:r>
      <w:r>
        <w:rPr>
          <w:vertAlign w:val="subscript"/>
        </w:rPr>
        <w:t>0</w:t>
      </w:r>
      <w:r>
        <w:t xml:space="preserve"> и </w:t>
      </w:r>
      <w:r>
        <w:rPr>
          <w:i/>
        </w:rPr>
        <w:t>R'</w:t>
      </w:r>
      <w:r>
        <w:rPr>
          <w:vertAlign w:val="subscript"/>
        </w:rPr>
        <w:t>0</w:t>
      </w:r>
      <w:r>
        <w:t xml:space="preserve"> определяют интерполяцией.</w:t>
      </w:r>
    </w:p>
    <w:p w:rsidR="00E35632" w:rsidRDefault="00E35632">
      <w:pPr>
        <w:pStyle w:val="ConsPlusNormal"/>
        <w:spacing w:before="220"/>
        <w:ind w:firstLine="540"/>
        <w:jc w:val="both"/>
      </w:pPr>
      <w:r>
        <w:t xml:space="preserve">Б.3 Значения </w:t>
      </w:r>
      <w:r>
        <w:rPr>
          <w:i/>
        </w:rPr>
        <w:t>R</w:t>
      </w:r>
      <w:r>
        <w:rPr>
          <w:vertAlign w:val="subscript"/>
        </w:rPr>
        <w:t>0</w:t>
      </w:r>
      <w:r>
        <w:t xml:space="preserve"> (см. </w:t>
      </w:r>
      <w:hyperlink w:anchor="P6156">
        <w:r>
          <w:rPr>
            <w:color w:val="0000FF"/>
          </w:rPr>
          <w:t>таблицы Б.1</w:t>
        </w:r>
      </w:hyperlink>
      <w:r>
        <w:t xml:space="preserve"> - </w:t>
      </w:r>
      <w:hyperlink w:anchor="P6435">
        <w:r>
          <w:rPr>
            <w:color w:val="0000FF"/>
          </w:rPr>
          <w:t>Б.9</w:t>
        </w:r>
      </w:hyperlink>
      <w:r>
        <w:t xml:space="preserve">) относятся к фундаментам с шириной </w:t>
      </w:r>
      <w:r>
        <w:rPr>
          <w:i/>
        </w:rPr>
        <w:t>b</w:t>
      </w:r>
      <w:r>
        <w:rPr>
          <w:vertAlign w:val="subscript"/>
        </w:rPr>
        <w:t>0</w:t>
      </w:r>
      <w:r>
        <w:t xml:space="preserve"> = 1 м и глубиной заложения </w:t>
      </w:r>
      <w:r>
        <w:rPr>
          <w:i/>
        </w:rPr>
        <w:t>d</w:t>
      </w:r>
      <w:r>
        <w:rPr>
          <w:vertAlign w:val="subscript"/>
        </w:rPr>
        <w:t>0</w:t>
      </w:r>
      <w:r>
        <w:t xml:space="preserve"> = 2 м. При использовании значений </w:t>
      </w:r>
      <w:r>
        <w:rPr>
          <w:i/>
        </w:rPr>
        <w:t>R</w:t>
      </w:r>
      <w:r>
        <w:rPr>
          <w:vertAlign w:val="subscript"/>
        </w:rPr>
        <w:t>0</w:t>
      </w:r>
      <w:r>
        <w:t xml:space="preserve"> для предварительного назначения размеров фундаментов в соответствии с требованиями </w:t>
      </w:r>
      <w:hyperlink w:anchor="P1118">
        <w:r>
          <w:rPr>
            <w:color w:val="0000FF"/>
          </w:rPr>
          <w:t>5.6.12</w:t>
        </w:r>
      </w:hyperlink>
      <w:r>
        <w:t xml:space="preserve">, </w:t>
      </w:r>
      <w:hyperlink w:anchor="P2432">
        <w:r>
          <w:rPr>
            <w:color w:val="0000FF"/>
          </w:rPr>
          <w:t>6.1.14</w:t>
        </w:r>
      </w:hyperlink>
      <w:r>
        <w:t xml:space="preserve">, </w:t>
      </w:r>
      <w:hyperlink w:anchor="P2970">
        <w:r>
          <w:rPr>
            <w:color w:val="0000FF"/>
          </w:rPr>
          <w:t>6.4.19</w:t>
        </w:r>
      </w:hyperlink>
      <w:r>
        <w:t xml:space="preserve">, </w:t>
      </w:r>
      <w:hyperlink w:anchor="P3108">
        <w:r>
          <w:rPr>
            <w:color w:val="0000FF"/>
          </w:rPr>
          <w:t>6.5.16</w:t>
        </w:r>
      </w:hyperlink>
      <w:r>
        <w:t xml:space="preserve">, </w:t>
      </w:r>
      <w:hyperlink w:anchor="P3216">
        <w:r>
          <w:rPr>
            <w:color w:val="0000FF"/>
          </w:rPr>
          <w:t>6.6.13</w:t>
        </w:r>
      </w:hyperlink>
      <w:r>
        <w:t xml:space="preserve">, </w:t>
      </w:r>
      <w:hyperlink w:anchor="P4248">
        <w:r>
          <w:rPr>
            <w:color w:val="0000FF"/>
          </w:rPr>
          <w:t>7.6</w:t>
        </w:r>
      </w:hyperlink>
      <w:r>
        <w:t xml:space="preserve"> расчетное сопротивление грунта основания </w:t>
      </w:r>
      <w:r>
        <w:rPr>
          <w:i/>
        </w:rPr>
        <w:t>R</w:t>
      </w:r>
      <w:r>
        <w:t>, кПа, допускается вычислять по формулам:</w:t>
      </w:r>
    </w:p>
    <w:p w:rsidR="00E35632" w:rsidRDefault="00E35632">
      <w:pPr>
        <w:pStyle w:val="ConsPlusNormal"/>
        <w:spacing w:before="220"/>
        <w:ind w:firstLine="540"/>
        <w:jc w:val="both"/>
      </w:pPr>
      <w:r>
        <w:t xml:space="preserve">при </w:t>
      </w:r>
      <w:r>
        <w:rPr>
          <w:i/>
        </w:rPr>
        <w:t>d</w:t>
      </w:r>
      <w:r>
        <w:t xml:space="preserve"> &lt;= 2 м</w:t>
      </w:r>
    </w:p>
    <w:p w:rsidR="00E35632" w:rsidRDefault="00E35632">
      <w:pPr>
        <w:pStyle w:val="ConsPlusNormal"/>
        <w:jc w:val="both"/>
      </w:pPr>
    </w:p>
    <w:p w:rsidR="00E35632" w:rsidRDefault="00E35632">
      <w:pPr>
        <w:pStyle w:val="ConsPlusNormal"/>
        <w:jc w:val="center"/>
      </w:pPr>
      <w:r>
        <w:rPr>
          <w:i/>
        </w:rPr>
        <w:t>R</w:t>
      </w:r>
      <w:r>
        <w:t xml:space="preserve"> = </w:t>
      </w:r>
      <w:r>
        <w:rPr>
          <w:i/>
        </w:rPr>
        <w:t>R</w:t>
      </w:r>
      <w:r>
        <w:rPr>
          <w:vertAlign w:val="subscript"/>
        </w:rPr>
        <w:t>0</w:t>
      </w:r>
      <w:r>
        <w:t xml:space="preserve">[1 + </w:t>
      </w:r>
      <w:r>
        <w:rPr>
          <w:i/>
        </w:rPr>
        <w:t>k</w:t>
      </w:r>
      <w:r>
        <w:rPr>
          <w:vertAlign w:val="subscript"/>
        </w:rPr>
        <w:t>1</w:t>
      </w:r>
      <w:r>
        <w:t>(</w:t>
      </w:r>
      <w:r>
        <w:rPr>
          <w:i/>
        </w:rPr>
        <w:t>b</w:t>
      </w:r>
      <w:r>
        <w:t xml:space="preserve"> - </w:t>
      </w:r>
      <w:r>
        <w:rPr>
          <w:i/>
        </w:rPr>
        <w:t>b</w:t>
      </w:r>
      <w:r>
        <w:rPr>
          <w:vertAlign w:val="subscript"/>
        </w:rPr>
        <w:t>0</w:t>
      </w:r>
      <w:r>
        <w:t>)/</w:t>
      </w:r>
      <w:r>
        <w:rPr>
          <w:i/>
        </w:rPr>
        <w:t>b</w:t>
      </w:r>
      <w:r>
        <w:rPr>
          <w:vertAlign w:val="subscript"/>
        </w:rPr>
        <w:t>0</w:t>
      </w:r>
      <w:r>
        <w:t>](</w:t>
      </w:r>
      <w:r>
        <w:rPr>
          <w:i/>
        </w:rPr>
        <w:t>d</w:t>
      </w:r>
      <w:r>
        <w:t xml:space="preserve"> + </w:t>
      </w:r>
      <w:r>
        <w:rPr>
          <w:i/>
        </w:rPr>
        <w:t>d</w:t>
      </w:r>
      <w:r>
        <w:rPr>
          <w:vertAlign w:val="subscript"/>
        </w:rPr>
        <w:t>0</w:t>
      </w:r>
      <w:r>
        <w:t>)/2</w:t>
      </w:r>
      <w:r>
        <w:rPr>
          <w:i/>
        </w:rPr>
        <w:t>d</w:t>
      </w:r>
      <w:r>
        <w:rPr>
          <w:vertAlign w:val="subscript"/>
        </w:rPr>
        <w:t>0</w:t>
      </w:r>
      <w:r>
        <w:t>; (Б.1)</w:t>
      </w:r>
    </w:p>
    <w:p w:rsidR="00E35632" w:rsidRDefault="00E35632">
      <w:pPr>
        <w:pStyle w:val="ConsPlusNormal"/>
        <w:jc w:val="both"/>
      </w:pPr>
    </w:p>
    <w:p w:rsidR="00E35632" w:rsidRDefault="00E35632">
      <w:pPr>
        <w:pStyle w:val="ConsPlusNormal"/>
        <w:ind w:firstLine="540"/>
        <w:jc w:val="both"/>
      </w:pPr>
      <w:r>
        <w:t xml:space="preserve">при </w:t>
      </w:r>
      <w:r>
        <w:rPr>
          <w:i/>
        </w:rPr>
        <w:t>d</w:t>
      </w:r>
      <w:r>
        <w:t xml:space="preserve"> &gt; 2 м</w:t>
      </w:r>
    </w:p>
    <w:p w:rsidR="00E35632" w:rsidRDefault="00E35632">
      <w:pPr>
        <w:pStyle w:val="ConsPlusNormal"/>
        <w:jc w:val="both"/>
      </w:pPr>
    </w:p>
    <w:p w:rsidR="00E35632" w:rsidRDefault="00E35632">
      <w:pPr>
        <w:pStyle w:val="ConsPlusNormal"/>
        <w:jc w:val="center"/>
      </w:pPr>
      <w:r>
        <w:rPr>
          <w:noProof/>
          <w:position w:val="-8"/>
        </w:rPr>
        <w:drawing>
          <wp:inline distT="0" distB="0" distL="0" distR="0">
            <wp:extent cx="2654300" cy="251460"/>
            <wp:effectExtent l="0" t="0" r="0" b="0"/>
            <wp:docPr id="6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2654300" cy="251460"/>
                    </a:xfrm>
                    <a:prstGeom prst="rect">
                      <a:avLst/>
                    </a:prstGeom>
                    <a:noFill/>
                    <a:ln>
                      <a:noFill/>
                    </a:ln>
                  </pic:spPr>
                </pic:pic>
              </a:graphicData>
            </a:graphic>
          </wp:inline>
        </w:drawing>
      </w:r>
      <w:r>
        <w:t xml:space="preserve"> (Б.2)</w:t>
      </w:r>
    </w:p>
    <w:p w:rsidR="00E35632" w:rsidRDefault="00E35632">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000" w:firstRow="0" w:lastRow="0" w:firstColumn="0" w:lastColumn="0" w:noHBand="0" w:noVBand="0"/>
      </w:tblPr>
      <w:tblGrid>
        <w:gridCol w:w="60"/>
        <w:gridCol w:w="113"/>
        <w:gridCol w:w="9068"/>
        <w:gridCol w:w="113"/>
      </w:tblGrid>
      <w:tr w:rsidR="00E35632">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E35632" w:rsidRDefault="00E35632">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E35632" w:rsidRDefault="00E35632">
            <w:pPr>
              <w:pStyle w:val="ConsPlusNormal"/>
              <w:jc w:val="both"/>
            </w:pPr>
            <w:r>
              <w:rPr>
                <w:color w:val="392C69"/>
              </w:rPr>
              <w:t>КонсультантПлюс: примечание.</w:t>
            </w:r>
          </w:p>
          <w:p w:rsidR="00E35632" w:rsidRDefault="00E35632">
            <w:pPr>
              <w:pStyle w:val="ConsPlusNormal"/>
              <w:jc w:val="both"/>
            </w:pPr>
            <w:r>
              <w:rPr>
                <w:color w:val="392C69"/>
              </w:rPr>
              <w:t>Обозначения даны в соответствии с официальным текстом документа.</w:t>
            </w: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r>
    </w:tbl>
    <w:p w:rsidR="00E35632" w:rsidRDefault="00E35632">
      <w:pPr>
        <w:pStyle w:val="ConsPlusNormal"/>
        <w:spacing w:before="280"/>
        <w:ind w:firstLine="540"/>
        <w:jc w:val="both"/>
      </w:pPr>
      <w:r>
        <w:t xml:space="preserve">где </w:t>
      </w:r>
      <w:r>
        <w:rPr>
          <w:i/>
        </w:rPr>
        <w:t>b</w:t>
      </w:r>
      <w:r>
        <w:t xml:space="preserve"> и </w:t>
      </w:r>
      <w:r>
        <w:rPr>
          <w:i/>
        </w:rPr>
        <w:t>d</w:t>
      </w:r>
      <w:r>
        <w:t xml:space="preserve"> - соответственно ширина и глубина заложения проектируемого фундамента, м;</w:t>
      </w:r>
    </w:p>
    <w:p w:rsidR="00E35632" w:rsidRDefault="00E35632">
      <w:pPr>
        <w:pStyle w:val="ConsPlusNormal"/>
        <w:spacing w:before="220"/>
        <w:ind w:firstLine="540"/>
        <w:jc w:val="both"/>
      </w:pPr>
      <w:r>
        <w:rPr>
          <w:i/>
        </w:rPr>
        <w:t>g</w:t>
      </w:r>
      <w:r>
        <w:t>'</w:t>
      </w:r>
      <w:r>
        <w:rPr>
          <w:vertAlign w:val="subscript"/>
        </w:rPr>
        <w:t>I</w:t>
      </w:r>
      <w:r>
        <w:t xml:space="preserve"> - расчетное значение удельного веса грунта, расположенного выше подошвы фундамента, кН/м</w:t>
      </w:r>
      <w:r>
        <w:rPr>
          <w:vertAlign w:val="superscript"/>
        </w:rPr>
        <w:t>3</w:t>
      </w:r>
      <w:r>
        <w:t>;</w:t>
      </w:r>
    </w:p>
    <w:p w:rsidR="00E35632" w:rsidRDefault="00E35632">
      <w:pPr>
        <w:pStyle w:val="ConsPlusNormal"/>
        <w:spacing w:before="220"/>
        <w:ind w:firstLine="540"/>
        <w:jc w:val="both"/>
      </w:pPr>
      <w:r>
        <w:rPr>
          <w:i/>
        </w:rPr>
        <w:t>k</w:t>
      </w:r>
      <w:r>
        <w:rPr>
          <w:vertAlign w:val="subscript"/>
        </w:rPr>
        <w:t>1</w:t>
      </w:r>
      <w:r>
        <w:t xml:space="preserve"> - коэффициент, принимаемый для оснований, сложенных крупнообломочными и песчаными грунтами, кроме пылеватых песков, </w:t>
      </w:r>
      <w:r>
        <w:rPr>
          <w:i/>
        </w:rPr>
        <w:t>k</w:t>
      </w:r>
      <w:r>
        <w:rPr>
          <w:vertAlign w:val="subscript"/>
        </w:rPr>
        <w:t>1</w:t>
      </w:r>
      <w:r>
        <w:t xml:space="preserve"> = 0,125, пылеватыми песками, супесями, суглинками и глинами - </w:t>
      </w:r>
      <w:r>
        <w:rPr>
          <w:i/>
        </w:rPr>
        <w:t>k</w:t>
      </w:r>
      <w:r>
        <w:rPr>
          <w:vertAlign w:val="subscript"/>
        </w:rPr>
        <w:t>1</w:t>
      </w:r>
      <w:r>
        <w:t xml:space="preserve"> = 0,05;</w:t>
      </w:r>
    </w:p>
    <w:p w:rsidR="00E35632" w:rsidRDefault="00E35632">
      <w:pPr>
        <w:pStyle w:val="ConsPlusNormal"/>
        <w:spacing w:before="220"/>
        <w:ind w:firstLine="540"/>
        <w:jc w:val="both"/>
      </w:pPr>
      <w:r>
        <w:rPr>
          <w:i/>
        </w:rPr>
        <w:t>k</w:t>
      </w:r>
      <w:r>
        <w:rPr>
          <w:vertAlign w:val="subscript"/>
        </w:rPr>
        <w:t>2</w:t>
      </w:r>
      <w:r>
        <w:t xml:space="preserve"> - коэффициент, принимаемый для оснований, сложенных крупнообломочными и песчаными грунтами - </w:t>
      </w:r>
      <w:r>
        <w:rPr>
          <w:i/>
        </w:rPr>
        <w:t>k</w:t>
      </w:r>
      <w:r>
        <w:rPr>
          <w:vertAlign w:val="subscript"/>
        </w:rPr>
        <w:t>2</w:t>
      </w:r>
      <w:r>
        <w:t xml:space="preserve"> = 0,25, супесями и суглинками - </w:t>
      </w:r>
      <w:r>
        <w:rPr>
          <w:i/>
        </w:rPr>
        <w:t>k</w:t>
      </w:r>
      <w:r>
        <w:rPr>
          <w:vertAlign w:val="subscript"/>
        </w:rPr>
        <w:t>2</w:t>
      </w:r>
      <w:r>
        <w:t xml:space="preserve"> = 0,2 и глинами - </w:t>
      </w:r>
      <w:r>
        <w:rPr>
          <w:i/>
        </w:rPr>
        <w:t>k</w:t>
      </w:r>
      <w:r>
        <w:rPr>
          <w:vertAlign w:val="subscript"/>
        </w:rPr>
        <w:t>2</w:t>
      </w:r>
      <w:r>
        <w:t xml:space="preserve"> = 0,15.</w:t>
      </w:r>
    </w:p>
    <w:p w:rsidR="00E35632" w:rsidRDefault="00E35632">
      <w:pPr>
        <w:pStyle w:val="ConsPlusNormal"/>
        <w:spacing w:before="220"/>
        <w:ind w:firstLine="540"/>
        <w:jc w:val="both"/>
      </w:pPr>
      <w:r>
        <w:t xml:space="preserve">Примечание - Для сооружений с подвалом шириной </w:t>
      </w:r>
      <w:r>
        <w:rPr>
          <w:i/>
        </w:rPr>
        <w:t>B</w:t>
      </w:r>
      <w:r>
        <w:t xml:space="preserve"> &lt;= 20 м и глубиной </w:t>
      </w:r>
      <w:r>
        <w:rPr>
          <w:i/>
        </w:rPr>
        <w:t>d</w:t>
      </w:r>
      <w:r>
        <w:rPr>
          <w:i/>
          <w:vertAlign w:val="subscript"/>
        </w:rPr>
        <w:t>b</w:t>
      </w:r>
      <w:r>
        <w:t xml:space="preserve"> &gt;= 2 м учитываемая в расчете глубина заложения наружных и внутренних фундаментов принимается равной: </w:t>
      </w:r>
      <w:r>
        <w:rPr>
          <w:i/>
        </w:rPr>
        <w:t>d</w:t>
      </w:r>
      <w:r>
        <w:t xml:space="preserve"> = </w:t>
      </w:r>
      <w:r>
        <w:rPr>
          <w:i/>
        </w:rPr>
        <w:t>d</w:t>
      </w:r>
      <w:r>
        <w:rPr>
          <w:vertAlign w:val="subscript"/>
        </w:rPr>
        <w:t>1</w:t>
      </w:r>
      <w:r>
        <w:t xml:space="preserve"> + 2 м [</w:t>
      </w:r>
      <w:r>
        <w:rPr>
          <w:i/>
        </w:rPr>
        <w:t>d</w:t>
      </w:r>
      <w:r>
        <w:rPr>
          <w:vertAlign w:val="subscript"/>
        </w:rPr>
        <w:t>1</w:t>
      </w:r>
      <w:r>
        <w:t xml:space="preserve"> - приведенная глубина заложения фундамента, определяемая по </w:t>
      </w:r>
      <w:hyperlink w:anchor="P863">
        <w:r>
          <w:rPr>
            <w:color w:val="0000FF"/>
          </w:rPr>
          <w:t>формуле (5.8)</w:t>
        </w:r>
      </w:hyperlink>
      <w:r>
        <w:t xml:space="preserve">]. При </w:t>
      </w:r>
      <w:r>
        <w:rPr>
          <w:i/>
        </w:rPr>
        <w:t>B</w:t>
      </w:r>
      <w:r>
        <w:t xml:space="preserve"> &gt; 20 м принимается </w:t>
      </w:r>
      <w:r>
        <w:rPr>
          <w:i/>
        </w:rPr>
        <w:t>d</w:t>
      </w:r>
      <w:r>
        <w:t xml:space="preserve"> = </w:t>
      </w:r>
      <w:r>
        <w:rPr>
          <w:i/>
        </w:rPr>
        <w:t>d</w:t>
      </w:r>
      <w:r>
        <w:rPr>
          <w:vertAlign w:val="subscript"/>
        </w:rPr>
        <w:t>1</w:t>
      </w:r>
      <w:r>
        <w:t>.</w:t>
      </w:r>
    </w:p>
    <w:p w:rsidR="00E35632" w:rsidRDefault="00E35632">
      <w:pPr>
        <w:pStyle w:val="ConsPlusNormal"/>
        <w:jc w:val="both"/>
      </w:pPr>
    </w:p>
    <w:p w:rsidR="00E35632" w:rsidRDefault="00E35632">
      <w:pPr>
        <w:pStyle w:val="ConsPlusNormal"/>
        <w:jc w:val="right"/>
      </w:pPr>
      <w:r>
        <w:t>Таблица Б.1</w:t>
      </w:r>
    </w:p>
    <w:p w:rsidR="00E35632" w:rsidRDefault="00E35632">
      <w:pPr>
        <w:pStyle w:val="ConsPlusNormal"/>
        <w:jc w:val="both"/>
      </w:pPr>
    </w:p>
    <w:p w:rsidR="00E35632" w:rsidRDefault="00E35632">
      <w:pPr>
        <w:pStyle w:val="ConsPlusNormal"/>
        <w:jc w:val="center"/>
      </w:pPr>
      <w:bookmarkStart w:id="283" w:name="P6156"/>
      <w:bookmarkEnd w:id="283"/>
      <w:r>
        <w:rPr>
          <w:b/>
        </w:rPr>
        <w:t>Расчетные сопротивления</w:t>
      </w:r>
      <w:r>
        <w:t xml:space="preserve"> </w:t>
      </w:r>
      <w:r>
        <w:rPr>
          <w:b/>
          <w:i/>
        </w:rPr>
        <w:t>R</w:t>
      </w:r>
      <w:r>
        <w:rPr>
          <w:b/>
          <w:vertAlign w:val="subscript"/>
        </w:rPr>
        <w:t>0</w:t>
      </w:r>
      <w:r>
        <w:t xml:space="preserve"> </w:t>
      </w:r>
      <w:r>
        <w:rPr>
          <w:b/>
        </w:rPr>
        <w:t>крупнообломочных грунтов</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909"/>
        <w:gridCol w:w="3125"/>
      </w:tblGrid>
      <w:tr w:rsidR="00E35632">
        <w:tc>
          <w:tcPr>
            <w:tcW w:w="5909" w:type="dxa"/>
            <w:tcBorders>
              <w:top w:val="single" w:sz="4" w:space="0" w:color="auto"/>
              <w:bottom w:val="single" w:sz="4" w:space="0" w:color="auto"/>
            </w:tcBorders>
            <w:vAlign w:val="center"/>
          </w:tcPr>
          <w:p w:rsidR="00E35632" w:rsidRDefault="00E35632">
            <w:pPr>
              <w:pStyle w:val="ConsPlusNormal"/>
              <w:jc w:val="center"/>
            </w:pPr>
            <w:r>
              <w:t>Крупнообломочные грунты</w:t>
            </w:r>
          </w:p>
        </w:tc>
        <w:tc>
          <w:tcPr>
            <w:tcW w:w="3125" w:type="dxa"/>
            <w:tcBorders>
              <w:top w:val="single" w:sz="4" w:space="0" w:color="auto"/>
              <w:bottom w:val="single" w:sz="4" w:space="0" w:color="auto"/>
            </w:tcBorders>
            <w:vAlign w:val="center"/>
          </w:tcPr>
          <w:p w:rsidR="00E35632" w:rsidRDefault="00E35632">
            <w:pPr>
              <w:pStyle w:val="ConsPlusNormal"/>
              <w:jc w:val="center"/>
            </w:pPr>
            <w:r>
              <w:t xml:space="preserve">Значения </w:t>
            </w:r>
            <w:r>
              <w:rPr>
                <w:i/>
              </w:rPr>
              <w:t>R</w:t>
            </w:r>
            <w:r>
              <w:rPr>
                <w:vertAlign w:val="subscript"/>
              </w:rPr>
              <w:t>0</w:t>
            </w:r>
            <w:r>
              <w:t>, кПа</w:t>
            </w:r>
          </w:p>
        </w:tc>
      </w:tr>
      <w:tr w:rsidR="00E35632">
        <w:tblPrEx>
          <w:tblBorders>
            <w:insideH w:val="none" w:sz="0" w:space="0" w:color="auto"/>
          </w:tblBorders>
        </w:tblPrEx>
        <w:tc>
          <w:tcPr>
            <w:tcW w:w="5909" w:type="dxa"/>
            <w:tcBorders>
              <w:top w:val="single" w:sz="4" w:space="0" w:color="auto"/>
              <w:bottom w:val="nil"/>
            </w:tcBorders>
          </w:tcPr>
          <w:p w:rsidR="00E35632" w:rsidRDefault="00E35632">
            <w:pPr>
              <w:pStyle w:val="ConsPlusNormal"/>
            </w:pPr>
            <w:r>
              <w:t>Галечниковые (щебенистые) с заполнителем: песчаным глинистым при показателе текучести:</w:t>
            </w:r>
          </w:p>
        </w:tc>
        <w:tc>
          <w:tcPr>
            <w:tcW w:w="3125" w:type="dxa"/>
            <w:tcBorders>
              <w:top w:val="single" w:sz="4" w:space="0" w:color="auto"/>
              <w:bottom w:val="nil"/>
            </w:tcBorders>
          </w:tcPr>
          <w:p w:rsidR="00E35632" w:rsidRDefault="00E35632">
            <w:pPr>
              <w:pStyle w:val="ConsPlusNormal"/>
              <w:jc w:val="center"/>
            </w:pPr>
            <w:r>
              <w:t>600</w:t>
            </w:r>
          </w:p>
        </w:tc>
      </w:tr>
      <w:tr w:rsidR="00E35632">
        <w:tblPrEx>
          <w:tblBorders>
            <w:insideH w:val="none" w:sz="0" w:space="0" w:color="auto"/>
          </w:tblBorders>
        </w:tblPrEx>
        <w:tc>
          <w:tcPr>
            <w:tcW w:w="5909" w:type="dxa"/>
            <w:tcBorders>
              <w:top w:val="nil"/>
              <w:bottom w:val="nil"/>
            </w:tcBorders>
          </w:tcPr>
          <w:p w:rsidR="00E35632" w:rsidRDefault="00E35632">
            <w:pPr>
              <w:pStyle w:val="ConsPlusNormal"/>
            </w:pPr>
            <w:r>
              <w:rPr>
                <w:i/>
              </w:rPr>
              <w:t>I</w:t>
            </w:r>
            <w:r>
              <w:rPr>
                <w:i/>
                <w:vertAlign w:val="subscript"/>
              </w:rPr>
              <w:t>L</w:t>
            </w:r>
            <w:r>
              <w:t xml:space="preserve"> &lt;= 0,5</w:t>
            </w:r>
          </w:p>
        </w:tc>
        <w:tc>
          <w:tcPr>
            <w:tcW w:w="3125" w:type="dxa"/>
            <w:tcBorders>
              <w:top w:val="nil"/>
              <w:bottom w:val="nil"/>
            </w:tcBorders>
          </w:tcPr>
          <w:p w:rsidR="00E35632" w:rsidRDefault="00E35632">
            <w:pPr>
              <w:pStyle w:val="ConsPlusNormal"/>
              <w:jc w:val="center"/>
            </w:pPr>
            <w:r>
              <w:t>450</w:t>
            </w:r>
          </w:p>
        </w:tc>
      </w:tr>
      <w:tr w:rsidR="00E35632">
        <w:tblPrEx>
          <w:tblBorders>
            <w:insideH w:val="none" w:sz="0" w:space="0" w:color="auto"/>
          </w:tblBorders>
        </w:tblPrEx>
        <w:tc>
          <w:tcPr>
            <w:tcW w:w="5909" w:type="dxa"/>
            <w:tcBorders>
              <w:top w:val="nil"/>
              <w:bottom w:val="nil"/>
            </w:tcBorders>
          </w:tcPr>
          <w:p w:rsidR="00E35632" w:rsidRDefault="00E35632">
            <w:pPr>
              <w:pStyle w:val="ConsPlusNormal"/>
            </w:pPr>
            <w:r>
              <w:t xml:space="preserve">0,5 &lt; </w:t>
            </w:r>
            <w:r>
              <w:rPr>
                <w:i/>
              </w:rPr>
              <w:t>I</w:t>
            </w:r>
            <w:r>
              <w:rPr>
                <w:i/>
                <w:vertAlign w:val="subscript"/>
              </w:rPr>
              <w:t>L</w:t>
            </w:r>
            <w:r>
              <w:t xml:space="preserve"> &lt;= 0,75</w:t>
            </w:r>
          </w:p>
        </w:tc>
        <w:tc>
          <w:tcPr>
            <w:tcW w:w="3125" w:type="dxa"/>
            <w:tcBorders>
              <w:top w:val="nil"/>
              <w:bottom w:val="nil"/>
            </w:tcBorders>
          </w:tcPr>
          <w:p w:rsidR="00E35632" w:rsidRDefault="00E35632">
            <w:pPr>
              <w:pStyle w:val="ConsPlusNormal"/>
              <w:jc w:val="center"/>
            </w:pPr>
            <w:r>
              <w:t>400</w:t>
            </w:r>
          </w:p>
        </w:tc>
      </w:tr>
      <w:tr w:rsidR="00E35632">
        <w:tblPrEx>
          <w:tblBorders>
            <w:insideH w:val="none" w:sz="0" w:space="0" w:color="auto"/>
          </w:tblBorders>
        </w:tblPrEx>
        <w:tc>
          <w:tcPr>
            <w:tcW w:w="5909" w:type="dxa"/>
            <w:tcBorders>
              <w:top w:val="nil"/>
              <w:bottom w:val="nil"/>
            </w:tcBorders>
          </w:tcPr>
          <w:p w:rsidR="00E35632" w:rsidRDefault="00E35632">
            <w:pPr>
              <w:pStyle w:val="ConsPlusNormal"/>
            </w:pPr>
            <w:r>
              <w:t>Гравийные (дресвяные) с заполнителем: песчаным глинистым при показателе текучести:</w:t>
            </w:r>
          </w:p>
        </w:tc>
        <w:tc>
          <w:tcPr>
            <w:tcW w:w="3125" w:type="dxa"/>
            <w:tcBorders>
              <w:top w:val="nil"/>
              <w:bottom w:val="nil"/>
            </w:tcBorders>
          </w:tcPr>
          <w:p w:rsidR="00E35632" w:rsidRDefault="00E35632">
            <w:pPr>
              <w:pStyle w:val="ConsPlusNormal"/>
              <w:jc w:val="center"/>
            </w:pPr>
            <w:r>
              <w:t>500</w:t>
            </w:r>
          </w:p>
        </w:tc>
      </w:tr>
      <w:tr w:rsidR="00E35632">
        <w:tblPrEx>
          <w:tblBorders>
            <w:insideH w:val="none" w:sz="0" w:space="0" w:color="auto"/>
          </w:tblBorders>
        </w:tblPrEx>
        <w:tc>
          <w:tcPr>
            <w:tcW w:w="5909" w:type="dxa"/>
            <w:tcBorders>
              <w:top w:val="nil"/>
              <w:bottom w:val="nil"/>
            </w:tcBorders>
          </w:tcPr>
          <w:p w:rsidR="00E35632" w:rsidRDefault="00E35632">
            <w:pPr>
              <w:pStyle w:val="ConsPlusNormal"/>
            </w:pPr>
            <w:r>
              <w:rPr>
                <w:i/>
              </w:rPr>
              <w:t>I</w:t>
            </w:r>
            <w:r>
              <w:rPr>
                <w:i/>
                <w:vertAlign w:val="subscript"/>
              </w:rPr>
              <w:t>L</w:t>
            </w:r>
            <w:r>
              <w:t xml:space="preserve"> &lt;= 0,5</w:t>
            </w:r>
          </w:p>
        </w:tc>
        <w:tc>
          <w:tcPr>
            <w:tcW w:w="3125" w:type="dxa"/>
            <w:tcBorders>
              <w:top w:val="nil"/>
              <w:bottom w:val="nil"/>
            </w:tcBorders>
          </w:tcPr>
          <w:p w:rsidR="00E35632" w:rsidRDefault="00E35632">
            <w:pPr>
              <w:pStyle w:val="ConsPlusNormal"/>
              <w:jc w:val="center"/>
            </w:pPr>
            <w:r>
              <w:t>400</w:t>
            </w:r>
          </w:p>
        </w:tc>
      </w:tr>
      <w:tr w:rsidR="00E35632">
        <w:tblPrEx>
          <w:tblBorders>
            <w:insideH w:val="none" w:sz="0" w:space="0" w:color="auto"/>
          </w:tblBorders>
        </w:tblPrEx>
        <w:tc>
          <w:tcPr>
            <w:tcW w:w="5909" w:type="dxa"/>
            <w:tcBorders>
              <w:top w:val="nil"/>
              <w:bottom w:val="single" w:sz="4" w:space="0" w:color="auto"/>
            </w:tcBorders>
          </w:tcPr>
          <w:p w:rsidR="00E35632" w:rsidRDefault="00E35632">
            <w:pPr>
              <w:pStyle w:val="ConsPlusNormal"/>
            </w:pPr>
            <w:r>
              <w:t xml:space="preserve">0,5 &lt; </w:t>
            </w:r>
            <w:r>
              <w:rPr>
                <w:i/>
              </w:rPr>
              <w:t>I</w:t>
            </w:r>
            <w:r>
              <w:rPr>
                <w:i/>
                <w:vertAlign w:val="subscript"/>
              </w:rPr>
              <w:t>L</w:t>
            </w:r>
            <w:r>
              <w:t xml:space="preserve"> &lt;= 0,75</w:t>
            </w:r>
          </w:p>
        </w:tc>
        <w:tc>
          <w:tcPr>
            <w:tcW w:w="3125" w:type="dxa"/>
            <w:tcBorders>
              <w:top w:val="nil"/>
              <w:bottom w:val="single" w:sz="4" w:space="0" w:color="auto"/>
            </w:tcBorders>
          </w:tcPr>
          <w:p w:rsidR="00E35632" w:rsidRDefault="00E35632">
            <w:pPr>
              <w:pStyle w:val="ConsPlusNormal"/>
              <w:jc w:val="center"/>
            </w:pPr>
            <w:r>
              <w:t>350</w:t>
            </w:r>
          </w:p>
        </w:tc>
      </w:tr>
    </w:tbl>
    <w:p w:rsidR="00E35632" w:rsidRDefault="00E35632">
      <w:pPr>
        <w:pStyle w:val="ConsPlusNormal"/>
        <w:jc w:val="both"/>
      </w:pPr>
    </w:p>
    <w:p w:rsidR="00E35632" w:rsidRDefault="00E35632">
      <w:pPr>
        <w:pStyle w:val="ConsPlusNormal"/>
        <w:jc w:val="right"/>
      </w:pPr>
      <w:r>
        <w:t>Таблица Б.2</w:t>
      </w:r>
    </w:p>
    <w:p w:rsidR="00E35632" w:rsidRDefault="00E35632">
      <w:pPr>
        <w:pStyle w:val="ConsPlusNormal"/>
        <w:jc w:val="both"/>
      </w:pPr>
    </w:p>
    <w:p w:rsidR="00E35632" w:rsidRDefault="00E35632">
      <w:pPr>
        <w:pStyle w:val="ConsPlusNormal"/>
        <w:jc w:val="center"/>
      </w:pPr>
      <w:r>
        <w:rPr>
          <w:b/>
        </w:rPr>
        <w:t>Расчетные сопротивления</w:t>
      </w:r>
      <w:r>
        <w:t xml:space="preserve"> </w:t>
      </w:r>
      <w:r>
        <w:rPr>
          <w:b/>
          <w:i/>
        </w:rPr>
        <w:t>R</w:t>
      </w:r>
      <w:r>
        <w:rPr>
          <w:b/>
          <w:vertAlign w:val="subscript"/>
        </w:rPr>
        <w:t>0</w:t>
      </w:r>
      <w:r>
        <w:t xml:space="preserve"> </w:t>
      </w:r>
      <w:r>
        <w:rPr>
          <w:b/>
        </w:rPr>
        <w:t>песков</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300"/>
        <w:gridCol w:w="2880"/>
        <w:gridCol w:w="2880"/>
      </w:tblGrid>
      <w:tr w:rsidR="00E35632">
        <w:tc>
          <w:tcPr>
            <w:tcW w:w="3300" w:type="dxa"/>
            <w:vMerge w:val="restart"/>
            <w:tcBorders>
              <w:top w:val="single" w:sz="4" w:space="0" w:color="auto"/>
              <w:bottom w:val="single" w:sz="4" w:space="0" w:color="auto"/>
            </w:tcBorders>
            <w:vAlign w:val="center"/>
          </w:tcPr>
          <w:p w:rsidR="00E35632" w:rsidRDefault="00E35632">
            <w:pPr>
              <w:pStyle w:val="ConsPlusNormal"/>
              <w:jc w:val="center"/>
            </w:pPr>
            <w:r>
              <w:t>Пески</w:t>
            </w:r>
          </w:p>
        </w:tc>
        <w:tc>
          <w:tcPr>
            <w:tcW w:w="5760" w:type="dxa"/>
            <w:gridSpan w:val="2"/>
            <w:tcBorders>
              <w:top w:val="single" w:sz="4" w:space="0" w:color="auto"/>
              <w:bottom w:val="single" w:sz="4" w:space="0" w:color="auto"/>
            </w:tcBorders>
            <w:vAlign w:val="center"/>
          </w:tcPr>
          <w:p w:rsidR="00E35632" w:rsidRDefault="00E35632">
            <w:pPr>
              <w:pStyle w:val="ConsPlusNormal"/>
              <w:jc w:val="center"/>
            </w:pPr>
            <w:r>
              <w:t xml:space="preserve">Значения </w:t>
            </w:r>
            <w:r>
              <w:rPr>
                <w:i/>
              </w:rPr>
              <w:t>R</w:t>
            </w:r>
            <w:r>
              <w:rPr>
                <w:vertAlign w:val="subscript"/>
              </w:rPr>
              <w:t>0</w:t>
            </w:r>
            <w:r>
              <w:t>, кПа, в зависимости от плотности сложения песков</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2880" w:type="dxa"/>
            <w:tcBorders>
              <w:top w:val="single" w:sz="4" w:space="0" w:color="auto"/>
              <w:bottom w:val="single" w:sz="4" w:space="0" w:color="auto"/>
            </w:tcBorders>
            <w:vAlign w:val="center"/>
          </w:tcPr>
          <w:p w:rsidR="00E35632" w:rsidRDefault="00E35632">
            <w:pPr>
              <w:pStyle w:val="ConsPlusNormal"/>
              <w:jc w:val="center"/>
            </w:pPr>
            <w:r>
              <w:t>плотные</w:t>
            </w:r>
          </w:p>
        </w:tc>
        <w:tc>
          <w:tcPr>
            <w:tcW w:w="2880" w:type="dxa"/>
            <w:tcBorders>
              <w:top w:val="single" w:sz="4" w:space="0" w:color="auto"/>
              <w:bottom w:val="single" w:sz="4" w:space="0" w:color="auto"/>
            </w:tcBorders>
            <w:vAlign w:val="center"/>
          </w:tcPr>
          <w:p w:rsidR="00E35632" w:rsidRDefault="00E35632">
            <w:pPr>
              <w:pStyle w:val="ConsPlusNormal"/>
              <w:jc w:val="center"/>
            </w:pPr>
            <w:r>
              <w:t>средней плотности</w:t>
            </w:r>
          </w:p>
        </w:tc>
      </w:tr>
      <w:tr w:rsidR="00E35632">
        <w:tblPrEx>
          <w:tblBorders>
            <w:insideH w:val="none" w:sz="0" w:space="0" w:color="auto"/>
          </w:tblBorders>
        </w:tblPrEx>
        <w:tc>
          <w:tcPr>
            <w:tcW w:w="3300" w:type="dxa"/>
            <w:tcBorders>
              <w:top w:val="single" w:sz="4" w:space="0" w:color="auto"/>
              <w:bottom w:val="nil"/>
            </w:tcBorders>
          </w:tcPr>
          <w:p w:rsidR="00E35632" w:rsidRDefault="00E35632">
            <w:pPr>
              <w:pStyle w:val="ConsPlusNormal"/>
            </w:pPr>
            <w:r>
              <w:t>Крупные</w:t>
            </w:r>
          </w:p>
        </w:tc>
        <w:tc>
          <w:tcPr>
            <w:tcW w:w="2880" w:type="dxa"/>
            <w:tcBorders>
              <w:top w:val="single" w:sz="4" w:space="0" w:color="auto"/>
              <w:bottom w:val="nil"/>
            </w:tcBorders>
          </w:tcPr>
          <w:p w:rsidR="00E35632" w:rsidRDefault="00E35632">
            <w:pPr>
              <w:pStyle w:val="ConsPlusNormal"/>
              <w:jc w:val="center"/>
            </w:pPr>
            <w:r>
              <w:t>600</w:t>
            </w:r>
          </w:p>
        </w:tc>
        <w:tc>
          <w:tcPr>
            <w:tcW w:w="2880" w:type="dxa"/>
            <w:tcBorders>
              <w:top w:val="single" w:sz="4" w:space="0" w:color="auto"/>
              <w:bottom w:val="nil"/>
            </w:tcBorders>
          </w:tcPr>
          <w:p w:rsidR="00E35632" w:rsidRDefault="00E35632">
            <w:pPr>
              <w:pStyle w:val="ConsPlusNormal"/>
              <w:jc w:val="center"/>
            </w:pPr>
            <w:r>
              <w:t>500</w:t>
            </w:r>
          </w:p>
        </w:tc>
      </w:tr>
      <w:tr w:rsidR="00E35632">
        <w:tblPrEx>
          <w:tblBorders>
            <w:insideH w:val="none" w:sz="0" w:space="0" w:color="auto"/>
          </w:tblBorders>
        </w:tblPrEx>
        <w:tc>
          <w:tcPr>
            <w:tcW w:w="3300" w:type="dxa"/>
            <w:tcBorders>
              <w:top w:val="nil"/>
              <w:bottom w:val="nil"/>
            </w:tcBorders>
          </w:tcPr>
          <w:p w:rsidR="00E35632" w:rsidRDefault="00E35632">
            <w:pPr>
              <w:pStyle w:val="ConsPlusNormal"/>
            </w:pPr>
            <w:r>
              <w:t>Средней крупности</w:t>
            </w:r>
          </w:p>
        </w:tc>
        <w:tc>
          <w:tcPr>
            <w:tcW w:w="2880" w:type="dxa"/>
            <w:tcBorders>
              <w:top w:val="nil"/>
              <w:bottom w:val="nil"/>
            </w:tcBorders>
          </w:tcPr>
          <w:p w:rsidR="00E35632" w:rsidRDefault="00E35632">
            <w:pPr>
              <w:pStyle w:val="ConsPlusNormal"/>
              <w:jc w:val="center"/>
            </w:pPr>
            <w:r>
              <w:t>500</w:t>
            </w:r>
          </w:p>
        </w:tc>
        <w:tc>
          <w:tcPr>
            <w:tcW w:w="2880" w:type="dxa"/>
            <w:tcBorders>
              <w:top w:val="nil"/>
              <w:bottom w:val="nil"/>
            </w:tcBorders>
          </w:tcPr>
          <w:p w:rsidR="00E35632" w:rsidRDefault="00E35632">
            <w:pPr>
              <w:pStyle w:val="ConsPlusNormal"/>
              <w:jc w:val="center"/>
            </w:pPr>
            <w:r>
              <w:t>400</w:t>
            </w:r>
          </w:p>
        </w:tc>
      </w:tr>
      <w:tr w:rsidR="00E35632">
        <w:tblPrEx>
          <w:tblBorders>
            <w:insideH w:val="none" w:sz="0" w:space="0" w:color="auto"/>
          </w:tblBorders>
        </w:tblPrEx>
        <w:tc>
          <w:tcPr>
            <w:tcW w:w="3300" w:type="dxa"/>
            <w:tcBorders>
              <w:top w:val="nil"/>
              <w:bottom w:val="nil"/>
            </w:tcBorders>
          </w:tcPr>
          <w:p w:rsidR="00E35632" w:rsidRDefault="00E35632">
            <w:pPr>
              <w:pStyle w:val="ConsPlusNormal"/>
            </w:pPr>
            <w:r>
              <w:t>Мелкие:</w:t>
            </w:r>
          </w:p>
        </w:tc>
        <w:tc>
          <w:tcPr>
            <w:tcW w:w="2880" w:type="dxa"/>
            <w:tcBorders>
              <w:top w:val="nil"/>
              <w:bottom w:val="nil"/>
            </w:tcBorders>
          </w:tcPr>
          <w:p w:rsidR="00E35632" w:rsidRDefault="00E35632">
            <w:pPr>
              <w:pStyle w:val="ConsPlusNormal"/>
            </w:pPr>
          </w:p>
        </w:tc>
        <w:tc>
          <w:tcPr>
            <w:tcW w:w="2880" w:type="dxa"/>
            <w:tcBorders>
              <w:top w:val="nil"/>
              <w:bottom w:val="nil"/>
            </w:tcBorders>
          </w:tcPr>
          <w:p w:rsidR="00E35632" w:rsidRDefault="00E35632">
            <w:pPr>
              <w:pStyle w:val="ConsPlusNormal"/>
            </w:pPr>
          </w:p>
        </w:tc>
      </w:tr>
      <w:tr w:rsidR="00E35632">
        <w:tblPrEx>
          <w:tblBorders>
            <w:insideH w:val="none" w:sz="0" w:space="0" w:color="auto"/>
          </w:tblBorders>
        </w:tblPrEx>
        <w:tc>
          <w:tcPr>
            <w:tcW w:w="3300" w:type="dxa"/>
            <w:tcBorders>
              <w:top w:val="nil"/>
              <w:bottom w:val="nil"/>
            </w:tcBorders>
          </w:tcPr>
          <w:p w:rsidR="00E35632" w:rsidRDefault="00E35632">
            <w:pPr>
              <w:pStyle w:val="ConsPlusNormal"/>
            </w:pPr>
            <w:r>
              <w:t>маловлажные</w:t>
            </w:r>
          </w:p>
        </w:tc>
        <w:tc>
          <w:tcPr>
            <w:tcW w:w="2880" w:type="dxa"/>
            <w:tcBorders>
              <w:top w:val="nil"/>
              <w:bottom w:val="nil"/>
            </w:tcBorders>
          </w:tcPr>
          <w:p w:rsidR="00E35632" w:rsidRDefault="00E35632">
            <w:pPr>
              <w:pStyle w:val="ConsPlusNormal"/>
              <w:jc w:val="center"/>
            </w:pPr>
            <w:r>
              <w:t>400</w:t>
            </w:r>
          </w:p>
        </w:tc>
        <w:tc>
          <w:tcPr>
            <w:tcW w:w="2880" w:type="dxa"/>
            <w:tcBorders>
              <w:top w:val="nil"/>
              <w:bottom w:val="nil"/>
            </w:tcBorders>
          </w:tcPr>
          <w:p w:rsidR="00E35632" w:rsidRDefault="00E35632">
            <w:pPr>
              <w:pStyle w:val="ConsPlusNormal"/>
              <w:jc w:val="center"/>
            </w:pPr>
            <w:r>
              <w:t>300</w:t>
            </w:r>
          </w:p>
        </w:tc>
      </w:tr>
      <w:tr w:rsidR="00E35632">
        <w:tblPrEx>
          <w:tblBorders>
            <w:insideH w:val="none" w:sz="0" w:space="0" w:color="auto"/>
          </w:tblBorders>
        </w:tblPrEx>
        <w:tc>
          <w:tcPr>
            <w:tcW w:w="3300" w:type="dxa"/>
            <w:tcBorders>
              <w:top w:val="nil"/>
              <w:bottom w:val="nil"/>
            </w:tcBorders>
          </w:tcPr>
          <w:p w:rsidR="00E35632" w:rsidRDefault="00E35632">
            <w:pPr>
              <w:pStyle w:val="ConsPlusNormal"/>
            </w:pPr>
            <w:r>
              <w:t>влажные и насыщенные водой</w:t>
            </w:r>
          </w:p>
        </w:tc>
        <w:tc>
          <w:tcPr>
            <w:tcW w:w="2880" w:type="dxa"/>
            <w:tcBorders>
              <w:top w:val="nil"/>
              <w:bottom w:val="nil"/>
            </w:tcBorders>
          </w:tcPr>
          <w:p w:rsidR="00E35632" w:rsidRDefault="00E35632">
            <w:pPr>
              <w:pStyle w:val="ConsPlusNormal"/>
              <w:jc w:val="center"/>
            </w:pPr>
            <w:r>
              <w:t>300</w:t>
            </w:r>
          </w:p>
        </w:tc>
        <w:tc>
          <w:tcPr>
            <w:tcW w:w="2880" w:type="dxa"/>
            <w:tcBorders>
              <w:top w:val="nil"/>
              <w:bottom w:val="nil"/>
            </w:tcBorders>
          </w:tcPr>
          <w:p w:rsidR="00E35632" w:rsidRDefault="00E35632">
            <w:pPr>
              <w:pStyle w:val="ConsPlusNormal"/>
              <w:jc w:val="center"/>
            </w:pPr>
            <w:r>
              <w:t>200</w:t>
            </w:r>
          </w:p>
        </w:tc>
      </w:tr>
      <w:tr w:rsidR="00E35632">
        <w:tblPrEx>
          <w:tblBorders>
            <w:insideH w:val="none" w:sz="0" w:space="0" w:color="auto"/>
          </w:tblBorders>
        </w:tblPrEx>
        <w:tc>
          <w:tcPr>
            <w:tcW w:w="3300" w:type="dxa"/>
            <w:tcBorders>
              <w:top w:val="nil"/>
              <w:bottom w:val="nil"/>
            </w:tcBorders>
          </w:tcPr>
          <w:p w:rsidR="00E35632" w:rsidRDefault="00E35632">
            <w:pPr>
              <w:pStyle w:val="ConsPlusNormal"/>
            </w:pPr>
            <w:r>
              <w:t>Пылеватые:</w:t>
            </w:r>
          </w:p>
        </w:tc>
        <w:tc>
          <w:tcPr>
            <w:tcW w:w="2880" w:type="dxa"/>
            <w:tcBorders>
              <w:top w:val="nil"/>
              <w:bottom w:val="nil"/>
            </w:tcBorders>
          </w:tcPr>
          <w:p w:rsidR="00E35632" w:rsidRDefault="00E35632">
            <w:pPr>
              <w:pStyle w:val="ConsPlusNormal"/>
            </w:pPr>
          </w:p>
        </w:tc>
        <w:tc>
          <w:tcPr>
            <w:tcW w:w="2880" w:type="dxa"/>
            <w:tcBorders>
              <w:top w:val="nil"/>
              <w:bottom w:val="nil"/>
            </w:tcBorders>
          </w:tcPr>
          <w:p w:rsidR="00E35632" w:rsidRDefault="00E35632">
            <w:pPr>
              <w:pStyle w:val="ConsPlusNormal"/>
            </w:pPr>
          </w:p>
        </w:tc>
      </w:tr>
      <w:tr w:rsidR="00E35632">
        <w:tblPrEx>
          <w:tblBorders>
            <w:insideH w:val="none" w:sz="0" w:space="0" w:color="auto"/>
          </w:tblBorders>
        </w:tblPrEx>
        <w:tc>
          <w:tcPr>
            <w:tcW w:w="3300" w:type="dxa"/>
            <w:tcBorders>
              <w:top w:val="nil"/>
              <w:bottom w:val="nil"/>
            </w:tcBorders>
          </w:tcPr>
          <w:p w:rsidR="00E35632" w:rsidRDefault="00E35632">
            <w:pPr>
              <w:pStyle w:val="ConsPlusNormal"/>
            </w:pPr>
            <w:r>
              <w:t>маловлажные</w:t>
            </w:r>
          </w:p>
        </w:tc>
        <w:tc>
          <w:tcPr>
            <w:tcW w:w="2880" w:type="dxa"/>
            <w:tcBorders>
              <w:top w:val="nil"/>
              <w:bottom w:val="nil"/>
            </w:tcBorders>
          </w:tcPr>
          <w:p w:rsidR="00E35632" w:rsidRDefault="00E35632">
            <w:pPr>
              <w:pStyle w:val="ConsPlusNormal"/>
              <w:jc w:val="center"/>
            </w:pPr>
            <w:r>
              <w:t>300</w:t>
            </w:r>
          </w:p>
        </w:tc>
        <w:tc>
          <w:tcPr>
            <w:tcW w:w="2880" w:type="dxa"/>
            <w:tcBorders>
              <w:top w:val="nil"/>
              <w:bottom w:val="nil"/>
            </w:tcBorders>
          </w:tcPr>
          <w:p w:rsidR="00E35632" w:rsidRDefault="00E35632">
            <w:pPr>
              <w:pStyle w:val="ConsPlusNormal"/>
              <w:jc w:val="center"/>
            </w:pPr>
            <w:r>
              <w:t>250</w:t>
            </w:r>
          </w:p>
        </w:tc>
      </w:tr>
      <w:tr w:rsidR="00E35632">
        <w:tblPrEx>
          <w:tblBorders>
            <w:insideH w:val="none" w:sz="0" w:space="0" w:color="auto"/>
          </w:tblBorders>
        </w:tblPrEx>
        <w:tc>
          <w:tcPr>
            <w:tcW w:w="3300" w:type="dxa"/>
            <w:tcBorders>
              <w:top w:val="nil"/>
              <w:bottom w:val="nil"/>
            </w:tcBorders>
          </w:tcPr>
          <w:p w:rsidR="00E35632" w:rsidRDefault="00E35632">
            <w:pPr>
              <w:pStyle w:val="ConsPlusNormal"/>
            </w:pPr>
            <w:r>
              <w:t>влажные</w:t>
            </w:r>
          </w:p>
        </w:tc>
        <w:tc>
          <w:tcPr>
            <w:tcW w:w="2880" w:type="dxa"/>
            <w:tcBorders>
              <w:top w:val="nil"/>
              <w:bottom w:val="nil"/>
            </w:tcBorders>
          </w:tcPr>
          <w:p w:rsidR="00E35632" w:rsidRDefault="00E35632">
            <w:pPr>
              <w:pStyle w:val="ConsPlusNormal"/>
              <w:jc w:val="center"/>
            </w:pPr>
            <w:r>
              <w:t>200</w:t>
            </w:r>
          </w:p>
        </w:tc>
        <w:tc>
          <w:tcPr>
            <w:tcW w:w="2880" w:type="dxa"/>
            <w:tcBorders>
              <w:top w:val="nil"/>
              <w:bottom w:val="nil"/>
            </w:tcBorders>
          </w:tcPr>
          <w:p w:rsidR="00E35632" w:rsidRDefault="00E35632">
            <w:pPr>
              <w:pStyle w:val="ConsPlusNormal"/>
              <w:jc w:val="center"/>
            </w:pPr>
            <w:r>
              <w:t>150</w:t>
            </w:r>
          </w:p>
        </w:tc>
      </w:tr>
      <w:tr w:rsidR="00E35632">
        <w:tblPrEx>
          <w:tblBorders>
            <w:insideH w:val="none" w:sz="0" w:space="0" w:color="auto"/>
          </w:tblBorders>
        </w:tblPrEx>
        <w:tc>
          <w:tcPr>
            <w:tcW w:w="3300" w:type="dxa"/>
            <w:tcBorders>
              <w:top w:val="nil"/>
              <w:bottom w:val="single" w:sz="4" w:space="0" w:color="auto"/>
            </w:tcBorders>
          </w:tcPr>
          <w:p w:rsidR="00E35632" w:rsidRDefault="00E35632">
            <w:pPr>
              <w:pStyle w:val="ConsPlusNormal"/>
            </w:pPr>
            <w:r>
              <w:t>насыщенные водой</w:t>
            </w:r>
          </w:p>
        </w:tc>
        <w:tc>
          <w:tcPr>
            <w:tcW w:w="2880" w:type="dxa"/>
            <w:tcBorders>
              <w:top w:val="nil"/>
              <w:bottom w:val="single" w:sz="4" w:space="0" w:color="auto"/>
            </w:tcBorders>
          </w:tcPr>
          <w:p w:rsidR="00E35632" w:rsidRDefault="00E35632">
            <w:pPr>
              <w:pStyle w:val="ConsPlusNormal"/>
              <w:jc w:val="center"/>
            </w:pPr>
            <w:r>
              <w:t>150</w:t>
            </w:r>
          </w:p>
        </w:tc>
        <w:tc>
          <w:tcPr>
            <w:tcW w:w="2880" w:type="dxa"/>
            <w:tcBorders>
              <w:top w:val="nil"/>
              <w:bottom w:val="single" w:sz="4" w:space="0" w:color="auto"/>
            </w:tcBorders>
          </w:tcPr>
          <w:p w:rsidR="00E35632" w:rsidRDefault="00E35632">
            <w:pPr>
              <w:pStyle w:val="ConsPlusNormal"/>
              <w:jc w:val="center"/>
            </w:pPr>
            <w:r>
              <w:t>100</w:t>
            </w:r>
          </w:p>
        </w:tc>
      </w:tr>
    </w:tbl>
    <w:p w:rsidR="00E35632" w:rsidRDefault="00E35632">
      <w:pPr>
        <w:pStyle w:val="ConsPlusNormal"/>
        <w:jc w:val="both"/>
      </w:pPr>
    </w:p>
    <w:p w:rsidR="00E35632" w:rsidRDefault="00E35632">
      <w:pPr>
        <w:pStyle w:val="ConsPlusNormal"/>
        <w:jc w:val="right"/>
      </w:pPr>
      <w:r>
        <w:t>Таблица Б.3</w:t>
      </w:r>
    </w:p>
    <w:p w:rsidR="00E35632" w:rsidRDefault="00E35632">
      <w:pPr>
        <w:pStyle w:val="ConsPlusNormal"/>
        <w:jc w:val="both"/>
      </w:pPr>
    </w:p>
    <w:p w:rsidR="00E35632" w:rsidRDefault="00E35632">
      <w:pPr>
        <w:pStyle w:val="ConsPlusNormal"/>
        <w:jc w:val="center"/>
      </w:pPr>
      <w:bookmarkStart w:id="284" w:name="P6211"/>
      <w:bookmarkEnd w:id="284"/>
      <w:r>
        <w:rPr>
          <w:b/>
        </w:rPr>
        <w:t>Расчетные сопротивления</w:t>
      </w:r>
      <w:r>
        <w:t xml:space="preserve"> </w:t>
      </w:r>
      <w:r>
        <w:rPr>
          <w:b/>
          <w:i/>
        </w:rPr>
        <w:t>R</w:t>
      </w:r>
      <w:r>
        <w:rPr>
          <w:b/>
          <w:vertAlign w:val="subscript"/>
        </w:rPr>
        <w:t>0</w:t>
      </w:r>
      <w:r>
        <w:t xml:space="preserve"> </w:t>
      </w:r>
      <w:r>
        <w:rPr>
          <w:b/>
        </w:rPr>
        <w:t>глинистых</w:t>
      </w:r>
    </w:p>
    <w:p w:rsidR="00E35632" w:rsidRDefault="00E35632">
      <w:pPr>
        <w:pStyle w:val="ConsPlusNormal"/>
        <w:jc w:val="center"/>
      </w:pPr>
      <w:r>
        <w:rPr>
          <w:b/>
        </w:rPr>
        <w:t>(непросадочных) грунтов</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059"/>
        <w:gridCol w:w="2582"/>
        <w:gridCol w:w="2232"/>
        <w:gridCol w:w="2160"/>
      </w:tblGrid>
      <w:tr w:rsidR="00E35632">
        <w:tc>
          <w:tcPr>
            <w:tcW w:w="2059" w:type="dxa"/>
            <w:vMerge w:val="restart"/>
            <w:tcBorders>
              <w:top w:val="single" w:sz="4" w:space="0" w:color="auto"/>
              <w:bottom w:val="single" w:sz="4" w:space="0" w:color="auto"/>
            </w:tcBorders>
            <w:vAlign w:val="center"/>
          </w:tcPr>
          <w:p w:rsidR="00E35632" w:rsidRDefault="00E35632">
            <w:pPr>
              <w:pStyle w:val="ConsPlusNormal"/>
              <w:jc w:val="center"/>
            </w:pPr>
            <w:r>
              <w:t>Глинистые грунты</w:t>
            </w:r>
          </w:p>
        </w:tc>
        <w:tc>
          <w:tcPr>
            <w:tcW w:w="2582" w:type="dxa"/>
            <w:vMerge w:val="restart"/>
            <w:tcBorders>
              <w:top w:val="single" w:sz="4" w:space="0" w:color="auto"/>
              <w:bottom w:val="single" w:sz="4" w:space="0" w:color="auto"/>
            </w:tcBorders>
            <w:vAlign w:val="center"/>
          </w:tcPr>
          <w:p w:rsidR="00E35632" w:rsidRDefault="00E35632">
            <w:pPr>
              <w:pStyle w:val="ConsPlusNormal"/>
              <w:jc w:val="center"/>
            </w:pPr>
            <w:r>
              <w:t xml:space="preserve">Коэффициент пористости </w:t>
            </w:r>
            <w:r>
              <w:rPr>
                <w:i/>
              </w:rPr>
              <w:t>e</w:t>
            </w:r>
          </w:p>
        </w:tc>
        <w:tc>
          <w:tcPr>
            <w:tcW w:w="4392" w:type="dxa"/>
            <w:gridSpan w:val="2"/>
            <w:tcBorders>
              <w:top w:val="single" w:sz="4" w:space="0" w:color="auto"/>
              <w:bottom w:val="single" w:sz="4" w:space="0" w:color="auto"/>
            </w:tcBorders>
            <w:vAlign w:val="center"/>
          </w:tcPr>
          <w:p w:rsidR="00E35632" w:rsidRDefault="00E35632">
            <w:pPr>
              <w:pStyle w:val="ConsPlusNormal"/>
              <w:jc w:val="center"/>
            </w:pPr>
            <w:r>
              <w:t xml:space="preserve">Значения </w:t>
            </w:r>
            <w:r>
              <w:rPr>
                <w:i/>
              </w:rPr>
              <w:t>R</w:t>
            </w:r>
            <w:r>
              <w:rPr>
                <w:vertAlign w:val="subscript"/>
              </w:rPr>
              <w:t>0</w:t>
            </w:r>
            <w:r>
              <w:t>, кПа, при показателе текучести грунта</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2232" w:type="dxa"/>
            <w:tcBorders>
              <w:top w:val="single" w:sz="4" w:space="0" w:color="auto"/>
              <w:bottom w:val="single" w:sz="4" w:space="0" w:color="auto"/>
            </w:tcBorders>
            <w:vAlign w:val="center"/>
          </w:tcPr>
          <w:p w:rsidR="00E35632" w:rsidRDefault="00E35632">
            <w:pPr>
              <w:pStyle w:val="ConsPlusNormal"/>
              <w:jc w:val="center"/>
            </w:pPr>
            <w:r>
              <w:rPr>
                <w:i/>
              </w:rPr>
              <w:t>I</w:t>
            </w:r>
            <w:r>
              <w:rPr>
                <w:i/>
                <w:vertAlign w:val="subscript"/>
              </w:rPr>
              <w:t>L</w:t>
            </w:r>
            <w:r>
              <w:t xml:space="preserve"> = 0</w:t>
            </w:r>
          </w:p>
        </w:tc>
        <w:tc>
          <w:tcPr>
            <w:tcW w:w="2160" w:type="dxa"/>
            <w:tcBorders>
              <w:top w:val="single" w:sz="4" w:space="0" w:color="auto"/>
              <w:bottom w:val="single" w:sz="4" w:space="0" w:color="auto"/>
            </w:tcBorders>
            <w:vAlign w:val="center"/>
          </w:tcPr>
          <w:p w:rsidR="00E35632" w:rsidRDefault="00E35632">
            <w:pPr>
              <w:pStyle w:val="ConsPlusNormal"/>
              <w:jc w:val="center"/>
            </w:pPr>
            <w:r>
              <w:rPr>
                <w:i/>
              </w:rPr>
              <w:t>I</w:t>
            </w:r>
            <w:r>
              <w:rPr>
                <w:i/>
                <w:vertAlign w:val="subscript"/>
              </w:rPr>
              <w:t>L</w:t>
            </w:r>
            <w:r>
              <w:t xml:space="preserve"> = 1</w:t>
            </w:r>
          </w:p>
        </w:tc>
      </w:tr>
      <w:tr w:rsidR="00E35632">
        <w:tc>
          <w:tcPr>
            <w:tcW w:w="2059" w:type="dxa"/>
            <w:vMerge w:val="restart"/>
            <w:tcBorders>
              <w:top w:val="single" w:sz="4" w:space="0" w:color="auto"/>
              <w:bottom w:val="single" w:sz="4" w:space="0" w:color="auto"/>
            </w:tcBorders>
          </w:tcPr>
          <w:p w:rsidR="00E35632" w:rsidRDefault="00E35632">
            <w:pPr>
              <w:pStyle w:val="ConsPlusNormal"/>
            </w:pPr>
            <w:r>
              <w:t>Супеси</w:t>
            </w:r>
          </w:p>
        </w:tc>
        <w:tc>
          <w:tcPr>
            <w:tcW w:w="2582" w:type="dxa"/>
            <w:tcBorders>
              <w:top w:val="single" w:sz="4" w:space="0" w:color="auto"/>
              <w:bottom w:val="nil"/>
            </w:tcBorders>
          </w:tcPr>
          <w:p w:rsidR="00E35632" w:rsidRDefault="00E35632">
            <w:pPr>
              <w:pStyle w:val="ConsPlusNormal"/>
              <w:jc w:val="center"/>
            </w:pPr>
            <w:r>
              <w:t>0,5</w:t>
            </w:r>
          </w:p>
        </w:tc>
        <w:tc>
          <w:tcPr>
            <w:tcW w:w="2232" w:type="dxa"/>
            <w:tcBorders>
              <w:top w:val="single" w:sz="4" w:space="0" w:color="auto"/>
              <w:bottom w:val="nil"/>
            </w:tcBorders>
          </w:tcPr>
          <w:p w:rsidR="00E35632" w:rsidRDefault="00E35632">
            <w:pPr>
              <w:pStyle w:val="ConsPlusNormal"/>
              <w:jc w:val="center"/>
            </w:pPr>
            <w:r>
              <w:t>300</w:t>
            </w:r>
          </w:p>
        </w:tc>
        <w:tc>
          <w:tcPr>
            <w:tcW w:w="2160" w:type="dxa"/>
            <w:tcBorders>
              <w:top w:val="single" w:sz="4" w:space="0" w:color="auto"/>
              <w:bottom w:val="nil"/>
            </w:tcBorders>
          </w:tcPr>
          <w:p w:rsidR="00E35632" w:rsidRDefault="00E35632">
            <w:pPr>
              <w:pStyle w:val="ConsPlusNormal"/>
              <w:jc w:val="center"/>
            </w:pPr>
            <w:r>
              <w:t>200</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2582" w:type="dxa"/>
            <w:tcBorders>
              <w:top w:val="nil"/>
              <w:bottom w:val="single" w:sz="4" w:space="0" w:color="auto"/>
            </w:tcBorders>
          </w:tcPr>
          <w:p w:rsidR="00E35632" w:rsidRDefault="00E35632">
            <w:pPr>
              <w:pStyle w:val="ConsPlusNormal"/>
              <w:jc w:val="center"/>
            </w:pPr>
            <w:r>
              <w:t>0,7</w:t>
            </w:r>
          </w:p>
        </w:tc>
        <w:tc>
          <w:tcPr>
            <w:tcW w:w="2232" w:type="dxa"/>
            <w:tcBorders>
              <w:top w:val="nil"/>
              <w:bottom w:val="single" w:sz="4" w:space="0" w:color="auto"/>
            </w:tcBorders>
          </w:tcPr>
          <w:p w:rsidR="00E35632" w:rsidRDefault="00E35632">
            <w:pPr>
              <w:pStyle w:val="ConsPlusNormal"/>
              <w:jc w:val="center"/>
            </w:pPr>
            <w:r>
              <w:t>250</w:t>
            </w:r>
          </w:p>
        </w:tc>
        <w:tc>
          <w:tcPr>
            <w:tcW w:w="2160" w:type="dxa"/>
            <w:tcBorders>
              <w:top w:val="nil"/>
              <w:bottom w:val="single" w:sz="4" w:space="0" w:color="auto"/>
            </w:tcBorders>
          </w:tcPr>
          <w:p w:rsidR="00E35632" w:rsidRDefault="00E35632">
            <w:pPr>
              <w:pStyle w:val="ConsPlusNormal"/>
              <w:jc w:val="center"/>
            </w:pPr>
            <w:r>
              <w:t>150</w:t>
            </w:r>
          </w:p>
        </w:tc>
      </w:tr>
      <w:tr w:rsidR="00E35632">
        <w:tc>
          <w:tcPr>
            <w:tcW w:w="2059" w:type="dxa"/>
            <w:vMerge w:val="restart"/>
            <w:tcBorders>
              <w:top w:val="single" w:sz="4" w:space="0" w:color="auto"/>
              <w:bottom w:val="single" w:sz="4" w:space="0" w:color="auto"/>
            </w:tcBorders>
          </w:tcPr>
          <w:p w:rsidR="00E35632" w:rsidRDefault="00E35632">
            <w:pPr>
              <w:pStyle w:val="ConsPlusNormal"/>
            </w:pPr>
            <w:r>
              <w:t>Суглинки</w:t>
            </w:r>
          </w:p>
        </w:tc>
        <w:tc>
          <w:tcPr>
            <w:tcW w:w="2582" w:type="dxa"/>
            <w:tcBorders>
              <w:top w:val="single" w:sz="4" w:space="0" w:color="auto"/>
              <w:bottom w:val="nil"/>
            </w:tcBorders>
          </w:tcPr>
          <w:p w:rsidR="00E35632" w:rsidRDefault="00E35632">
            <w:pPr>
              <w:pStyle w:val="ConsPlusNormal"/>
              <w:jc w:val="center"/>
            </w:pPr>
            <w:r>
              <w:t>0,5</w:t>
            </w:r>
          </w:p>
        </w:tc>
        <w:tc>
          <w:tcPr>
            <w:tcW w:w="2232" w:type="dxa"/>
            <w:tcBorders>
              <w:top w:val="single" w:sz="4" w:space="0" w:color="auto"/>
              <w:bottom w:val="nil"/>
            </w:tcBorders>
          </w:tcPr>
          <w:p w:rsidR="00E35632" w:rsidRDefault="00E35632">
            <w:pPr>
              <w:pStyle w:val="ConsPlusNormal"/>
              <w:jc w:val="center"/>
            </w:pPr>
            <w:r>
              <w:t>350</w:t>
            </w:r>
          </w:p>
        </w:tc>
        <w:tc>
          <w:tcPr>
            <w:tcW w:w="2160" w:type="dxa"/>
            <w:tcBorders>
              <w:top w:val="single" w:sz="4" w:space="0" w:color="auto"/>
              <w:bottom w:val="nil"/>
            </w:tcBorders>
          </w:tcPr>
          <w:p w:rsidR="00E35632" w:rsidRDefault="00E35632">
            <w:pPr>
              <w:pStyle w:val="ConsPlusNormal"/>
              <w:jc w:val="center"/>
            </w:pPr>
            <w:r>
              <w:t>250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2582" w:type="dxa"/>
            <w:tcBorders>
              <w:top w:val="nil"/>
              <w:bottom w:val="nil"/>
            </w:tcBorders>
          </w:tcPr>
          <w:p w:rsidR="00E35632" w:rsidRDefault="00E35632">
            <w:pPr>
              <w:pStyle w:val="ConsPlusNormal"/>
              <w:jc w:val="center"/>
            </w:pPr>
            <w:r>
              <w:t>0,7</w:t>
            </w:r>
          </w:p>
        </w:tc>
        <w:tc>
          <w:tcPr>
            <w:tcW w:w="2232" w:type="dxa"/>
            <w:tcBorders>
              <w:top w:val="nil"/>
              <w:bottom w:val="nil"/>
            </w:tcBorders>
          </w:tcPr>
          <w:p w:rsidR="00E35632" w:rsidRDefault="00E35632">
            <w:pPr>
              <w:pStyle w:val="ConsPlusNormal"/>
              <w:jc w:val="center"/>
            </w:pPr>
            <w:r>
              <w:t>250</w:t>
            </w:r>
          </w:p>
        </w:tc>
        <w:tc>
          <w:tcPr>
            <w:tcW w:w="2160" w:type="dxa"/>
            <w:tcBorders>
              <w:top w:val="nil"/>
              <w:bottom w:val="nil"/>
            </w:tcBorders>
          </w:tcPr>
          <w:p w:rsidR="00E35632" w:rsidRDefault="00E35632">
            <w:pPr>
              <w:pStyle w:val="ConsPlusNormal"/>
              <w:jc w:val="center"/>
            </w:pPr>
            <w:r>
              <w:t>180</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2582" w:type="dxa"/>
            <w:tcBorders>
              <w:top w:val="nil"/>
              <w:bottom w:val="single" w:sz="4" w:space="0" w:color="auto"/>
            </w:tcBorders>
          </w:tcPr>
          <w:p w:rsidR="00E35632" w:rsidRDefault="00E35632">
            <w:pPr>
              <w:pStyle w:val="ConsPlusNormal"/>
              <w:jc w:val="center"/>
            </w:pPr>
            <w:r>
              <w:t>1,0</w:t>
            </w:r>
          </w:p>
        </w:tc>
        <w:tc>
          <w:tcPr>
            <w:tcW w:w="2232" w:type="dxa"/>
            <w:tcBorders>
              <w:top w:val="nil"/>
              <w:bottom w:val="single" w:sz="4" w:space="0" w:color="auto"/>
            </w:tcBorders>
          </w:tcPr>
          <w:p w:rsidR="00E35632" w:rsidRDefault="00E35632">
            <w:pPr>
              <w:pStyle w:val="ConsPlusNormal"/>
              <w:jc w:val="center"/>
            </w:pPr>
            <w:r>
              <w:t>200</w:t>
            </w:r>
          </w:p>
        </w:tc>
        <w:tc>
          <w:tcPr>
            <w:tcW w:w="2160" w:type="dxa"/>
            <w:tcBorders>
              <w:top w:val="nil"/>
              <w:bottom w:val="single" w:sz="4" w:space="0" w:color="auto"/>
            </w:tcBorders>
          </w:tcPr>
          <w:p w:rsidR="00E35632" w:rsidRDefault="00E35632">
            <w:pPr>
              <w:pStyle w:val="ConsPlusNormal"/>
              <w:jc w:val="center"/>
            </w:pPr>
            <w:r>
              <w:t>100</w:t>
            </w:r>
          </w:p>
        </w:tc>
      </w:tr>
      <w:tr w:rsidR="00E35632">
        <w:tc>
          <w:tcPr>
            <w:tcW w:w="2059" w:type="dxa"/>
            <w:vMerge w:val="restart"/>
            <w:tcBorders>
              <w:top w:val="single" w:sz="4" w:space="0" w:color="auto"/>
              <w:bottom w:val="single" w:sz="4" w:space="0" w:color="auto"/>
            </w:tcBorders>
          </w:tcPr>
          <w:p w:rsidR="00E35632" w:rsidRDefault="00E35632">
            <w:pPr>
              <w:pStyle w:val="ConsPlusNormal"/>
            </w:pPr>
            <w:r>
              <w:t>Глины</w:t>
            </w:r>
          </w:p>
        </w:tc>
        <w:tc>
          <w:tcPr>
            <w:tcW w:w="2582" w:type="dxa"/>
            <w:tcBorders>
              <w:top w:val="single" w:sz="4" w:space="0" w:color="auto"/>
              <w:bottom w:val="nil"/>
            </w:tcBorders>
          </w:tcPr>
          <w:p w:rsidR="00E35632" w:rsidRDefault="00E35632">
            <w:pPr>
              <w:pStyle w:val="ConsPlusNormal"/>
              <w:jc w:val="center"/>
            </w:pPr>
            <w:r>
              <w:t>0,5</w:t>
            </w:r>
          </w:p>
        </w:tc>
        <w:tc>
          <w:tcPr>
            <w:tcW w:w="2232" w:type="dxa"/>
            <w:tcBorders>
              <w:top w:val="single" w:sz="4" w:space="0" w:color="auto"/>
              <w:bottom w:val="nil"/>
            </w:tcBorders>
          </w:tcPr>
          <w:p w:rsidR="00E35632" w:rsidRDefault="00E35632">
            <w:pPr>
              <w:pStyle w:val="ConsPlusNormal"/>
              <w:jc w:val="center"/>
            </w:pPr>
            <w:r>
              <w:t>600</w:t>
            </w:r>
          </w:p>
        </w:tc>
        <w:tc>
          <w:tcPr>
            <w:tcW w:w="2160" w:type="dxa"/>
            <w:tcBorders>
              <w:top w:val="single" w:sz="4" w:space="0" w:color="auto"/>
              <w:bottom w:val="nil"/>
            </w:tcBorders>
          </w:tcPr>
          <w:p w:rsidR="00E35632" w:rsidRDefault="00E35632">
            <w:pPr>
              <w:pStyle w:val="ConsPlusNormal"/>
              <w:jc w:val="center"/>
            </w:pPr>
            <w:r>
              <w:t>400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2582" w:type="dxa"/>
            <w:tcBorders>
              <w:top w:val="nil"/>
              <w:bottom w:val="nil"/>
            </w:tcBorders>
          </w:tcPr>
          <w:p w:rsidR="00E35632" w:rsidRDefault="00E35632">
            <w:pPr>
              <w:pStyle w:val="ConsPlusNormal"/>
              <w:jc w:val="center"/>
            </w:pPr>
            <w:r>
              <w:t>0,6</w:t>
            </w:r>
          </w:p>
        </w:tc>
        <w:tc>
          <w:tcPr>
            <w:tcW w:w="2232" w:type="dxa"/>
            <w:tcBorders>
              <w:top w:val="nil"/>
              <w:bottom w:val="nil"/>
            </w:tcBorders>
          </w:tcPr>
          <w:p w:rsidR="00E35632" w:rsidRDefault="00E35632">
            <w:pPr>
              <w:pStyle w:val="ConsPlusNormal"/>
              <w:jc w:val="center"/>
            </w:pPr>
            <w:r>
              <w:t>500</w:t>
            </w:r>
          </w:p>
        </w:tc>
        <w:tc>
          <w:tcPr>
            <w:tcW w:w="2160" w:type="dxa"/>
            <w:tcBorders>
              <w:top w:val="nil"/>
              <w:bottom w:val="nil"/>
            </w:tcBorders>
          </w:tcPr>
          <w:p w:rsidR="00E35632" w:rsidRDefault="00E35632">
            <w:pPr>
              <w:pStyle w:val="ConsPlusNormal"/>
              <w:jc w:val="center"/>
            </w:pPr>
            <w:r>
              <w:t>300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2582" w:type="dxa"/>
            <w:tcBorders>
              <w:top w:val="nil"/>
              <w:bottom w:val="nil"/>
            </w:tcBorders>
          </w:tcPr>
          <w:p w:rsidR="00E35632" w:rsidRDefault="00E35632">
            <w:pPr>
              <w:pStyle w:val="ConsPlusNormal"/>
              <w:jc w:val="center"/>
            </w:pPr>
            <w:r>
              <w:t>0,8</w:t>
            </w:r>
          </w:p>
        </w:tc>
        <w:tc>
          <w:tcPr>
            <w:tcW w:w="2232" w:type="dxa"/>
            <w:tcBorders>
              <w:top w:val="nil"/>
              <w:bottom w:val="nil"/>
            </w:tcBorders>
          </w:tcPr>
          <w:p w:rsidR="00E35632" w:rsidRDefault="00E35632">
            <w:pPr>
              <w:pStyle w:val="ConsPlusNormal"/>
              <w:jc w:val="center"/>
            </w:pPr>
            <w:r>
              <w:t>300</w:t>
            </w:r>
          </w:p>
        </w:tc>
        <w:tc>
          <w:tcPr>
            <w:tcW w:w="2160" w:type="dxa"/>
            <w:tcBorders>
              <w:top w:val="nil"/>
              <w:bottom w:val="nil"/>
            </w:tcBorders>
          </w:tcPr>
          <w:p w:rsidR="00E35632" w:rsidRDefault="00E35632">
            <w:pPr>
              <w:pStyle w:val="ConsPlusNormal"/>
              <w:jc w:val="center"/>
            </w:pPr>
            <w:r>
              <w:t>200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2582" w:type="dxa"/>
            <w:tcBorders>
              <w:top w:val="nil"/>
              <w:bottom w:val="single" w:sz="4" w:space="0" w:color="auto"/>
            </w:tcBorders>
            <w:vAlign w:val="center"/>
          </w:tcPr>
          <w:p w:rsidR="00E35632" w:rsidRDefault="00E35632">
            <w:pPr>
              <w:pStyle w:val="ConsPlusNormal"/>
              <w:jc w:val="center"/>
            </w:pPr>
            <w:r>
              <w:t>1,1</w:t>
            </w:r>
          </w:p>
        </w:tc>
        <w:tc>
          <w:tcPr>
            <w:tcW w:w="2232" w:type="dxa"/>
            <w:tcBorders>
              <w:top w:val="nil"/>
              <w:bottom w:val="single" w:sz="4" w:space="0" w:color="auto"/>
            </w:tcBorders>
          </w:tcPr>
          <w:p w:rsidR="00E35632" w:rsidRDefault="00E35632">
            <w:pPr>
              <w:pStyle w:val="ConsPlusNormal"/>
              <w:jc w:val="center"/>
            </w:pPr>
            <w:r>
              <w:t>250</w:t>
            </w:r>
          </w:p>
        </w:tc>
        <w:tc>
          <w:tcPr>
            <w:tcW w:w="2160" w:type="dxa"/>
            <w:tcBorders>
              <w:top w:val="nil"/>
              <w:bottom w:val="single" w:sz="4" w:space="0" w:color="auto"/>
            </w:tcBorders>
          </w:tcPr>
          <w:p w:rsidR="00E35632" w:rsidRDefault="00E35632">
            <w:pPr>
              <w:pStyle w:val="ConsPlusNormal"/>
              <w:jc w:val="center"/>
            </w:pPr>
            <w:r>
              <w:t>100</w:t>
            </w:r>
          </w:p>
        </w:tc>
      </w:tr>
    </w:tbl>
    <w:p w:rsidR="00E35632" w:rsidRDefault="00E35632">
      <w:pPr>
        <w:pStyle w:val="ConsPlusNormal"/>
        <w:jc w:val="both"/>
      </w:pPr>
    </w:p>
    <w:p w:rsidR="00E35632" w:rsidRDefault="00E35632">
      <w:pPr>
        <w:pStyle w:val="ConsPlusNormal"/>
        <w:jc w:val="right"/>
      </w:pPr>
      <w:r>
        <w:t>Таблица Б.4</w:t>
      </w:r>
    </w:p>
    <w:p w:rsidR="00E35632" w:rsidRDefault="00E35632">
      <w:pPr>
        <w:pStyle w:val="ConsPlusNormal"/>
        <w:jc w:val="both"/>
      </w:pPr>
    </w:p>
    <w:p w:rsidR="00E35632" w:rsidRDefault="00E35632">
      <w:pPr>
        <w:pStyle w:val="ConsPlusNormal"/>
        <w:jc w:val="center"/>
      </w:pPr>
      <w:bookmarkStart w:id="285" w:name="P6252"/>
      <w:bookmarkEnd w:id="285"/>
      <w:r>
        <w:rPr>
          <w:b/>
        </w:rPr>
        <w:t>Расчетные сопротивления</w:t>
      </w:r>
      <w:r>
        <w:t xml:space="preserve"> </w:t>
      </w:r>
      <w:r>
        <w:rPr>
          <w:b/>
          <w:i/>
        </w:rPr>
        <w:t>R</w:t>
      </w:r>
      <w:r>
        <w:rPr>
          <w:b/>
          <w:vertAlign w:val="subscript"/>
        </w:rPr>
        <w:t>0</w:t>
      </w:r>
      <w:r>
        <w:t xml:space="preserve"> </w:t>
      </w:r>
      <w:r>
        <w:rPr>
          <w:b/>
        </w:rPr>
        <w:t>глинистых просадочных грунтов</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829"/>
        <w:gridCol w:w="1790"/>
        <w:gridCol w:w="1871"/>
        <w:gridCol w:w="1795"/>
        <w:gridCol w:w="1771"/>
      </w:tblGrid>
      <w:tr w:rsidR="00E35632">
        <w:tc>
          <w:tcPr>
            <w:tcW w:w="1829" w:type="dxa"/>
            <w:vMerge w:val="restart"/>
            <w:vAlign w:val="center"/>
          </w:tcPr>
          <w:p w:rsidR="00E35632" w:rsidRDefault="00E35632">
            <w:pPr>
              <w:pStyle w:val="ConsPlusNormal"/>
              <w:jc w:val="center"/>
            </w:pPr>
            <w:r>
              <w:t>Грунты</w:t>
            </w:r>
          </w:p>
        </w:tc>
        <w:tc>
          <w:tcPr>
            <w:tcW w:w="7227" w:type="dxa"/>
            <w:gridSpan w:val="4"/>
            <w:vAlign w:val="center"/>
          </w:tcPr>
          <w:p w:rsidR="00E35632" w:rsidRDefault="00E35632">
            <w:pPr>
              <w:pStyle w:val="ConsPlusNormal"/>
              <w:jc w:val="center"/>
            </w:pPr>
            <w:r>
              <w:t xml:space="preserve">Значения </w:t>
            </w:r>
            <w:r>
              <w:rPr>
                <w:i/>
              </w:rPr>
              <w:t>R</w:t>
            </w:r>
            <w:r>
              <w:rPr>
                <w:vertAlign w:val="subscript"/>
              </w:rPr>
              <w:t>0</w:t>
            </w:r>
            <w:r>
              <w:t>, кПа, просадочных грунтов</w:t>
            </w:r>
          </w:p>
        </w:tc>
      </w:tr>
      <w:tr w:rsidR="00E35632">
        <w:tc>
          <w:tcPr>
            <w:tcW w:w="0" w:type="auto"/>
            <w:vMerge/>
          </w:tcPr>
          <w:p w:rsidR="00E35632" w:rsidRDefault="00E35632">
            <w:pPr>
              <w:pStyle w:val="ConsPlusNormal"/>
            </w:pPr>
          </w:p>
        </w:tc>
        <w:tc>
          <w:tcPr>
            <w:tcW w:w="3661" w:type="dxa"/>
            <w:gridSpan w:val="2"/>
            <w:vAlign w:val="center"/>
          </w:tcPr>
          <w:p w:rsidR="00E35632" w:rsidRDefault="00E35632">
            <w:pPr>
              <w:pStyle w:val="ConsPlusNormal"/>
              <w:jc w:val="center"/>
            </w:pPr>
            <w:r>
              <w:t xml:space="preserve">природного сложения с плотностью в сухом состоянии </w:t>
            </w:r>
            <w:r>
              <w:rPr>
                <w:noProof/>
                <w:position w:val="-8"/>
              </w:rPr>
              <w:drawing>
                <wp:inline distT="0" distB="0" distL="0" distR="0">
                  <wp:extent cx="226060" cy="251460"/>
                  <wp:effectExtent l="0" t="0" r="0" b="0"/>
                  <wp:docPr id="6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226060" cy="251460"/>
                          </a:xfrm>
                          <a:prstGeom prst="rect">
                            <a:avLst/>
                          </a:prstGeom>
                          <a:noFill/>
                          <a:ln>
                            <a:noFill/>
                          </a:ln>
                        </pic:spPr>
                      </pic:pic>
                    </a:graphicData>
                  </a:graphic>
                </wp:inline>
              </w:drawing>
            </w:r>
            <w:r>
              <w:t>, т/м</w:t>
            </w:r>
            <w:r>
              <w:rPr>
                <w:vertAlign w:val="superscript"/>
              </w:rPr>
              <w:t>3</w:t>
            </w:r>
          </w:p>
        </w:tc>
        <w:tc>
          <w:tcPr>
            <w:tcW w:w="3566" w:type="dxa"/>
            <w:gridSpan w:val="2"/>
            <w:vAlign w:val="center"/>
          </w:tcPr>
          <w:p w:rsidR="00E35632" w:rsidRDefault="00E35632">
            <w:pPr>
              <w:pStyle w:val="ConsPlusNormal"/>
              <w:jc w:val="center"/>
            </w:pPr>
            <w:r>
              <w:t xml:space="preserve">уплотненных с плотностью в сухом состоянии </w:t>
            </w:r>
            <w:r>
              <w:rPr>
                <w:noProof/>
                <w:position w:val="-8"/>
              </w:rPr>
              <w:drawing>
                <wp:inline distT="0" distB="0" distL="0" distR="0">
                  <wp:extent cx="226060" cy="251460"/>
                  <wp:effectExtent l="0" t="0" r="0" b="0"/>
                  <wp:docPr id="6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226060" cy="251460"/>
                          </a:xfrm>
                          <a:prstGeom prst="rect">
                            <a:avLst/>
                          </a:prstGeom>
                          <a:noFill/>
                          <a:ln>
                            <a:noFill/>
                          </a:ln>
                        </pic:spPr>
                      </pic:pic>
                    </a:graphicData>
                  </a:graphic>
                </wp:inline>
              </w:drawing>
            </w:r>
            <w:r>
              <w:t>, т/м</w:t>
            </w:r>
            <w:r>
              <w:rPr>
                <w:vertAlign w:val="superscript"/>
              </w:rPr>
              <w:t>3</w:t>
            </w:r>
          </w:p>
        </w:tc>
      </w:tr>
      <w:tr w:rsidR="00E35632">
        <w:tc>
          <w:tcPr>
            <w:tcW w:w="0" w:type="auto"/>
            <w:vMerge/>
          </w:tcPr>
          <w:p w:rsidR="00E35632" w:rsidRDefault="00E35632">
            <w:pPr>
              <w:pStyle w:val="ConsPlusNormal"/>
            </w:pPr>
          </w:p>
        </w:tc>
        <w:tc>
          <w:tcPr>
            <w:tcW w:w="1790" w:type="dxa"/>
            <w:vAlign w:val="center"/>
          </w:tcPr>
          <w:p w:rsidR="00E35632" w:rsidRDefault="00E35632">
            <w:pPr>
              <w:pStyle w:val="ConsPlusNormal"/>
              <w:jc w:val="center"/>
            </w:pPr>
            <w:r>
              <w:t>1,35</w:t>
            </w:r>
          </w:p>
        </w:tc>
        <w:tc>
          <w:tcPr>
            <w:tcW w:w="1871" w:type="dxa"/>
            <w:vAlign w:val="center"/>
          </w:tcPr>
          <w:p w:rsidR="00E35632" w:rsidRDefault="00E35632">
            <w:pPr>
              <w:pStyle w:val="ConsPlusNormal"/>
              <w:jc w:val="center"/>
            </w:pPr>
            <w:r>
              <w:t>1,55</w:t>
            </w:r>
          </w:p>
        </w:tc>
        <w:tc>
          <w:tcPr>
            <w:tcW w:w="1795" w:type="dxa"/>
            <w:vAlign w:val="center"/>
          </w:tcPr>
          <w:p w:rsidR="00E35632" w:rsidRDefault="00E35632">
            <w:pPr>
              <w:pStyle w:val="ConsPlusNormal"/>
              <w:jc w:val="center"/>
            </w:pPr>
            <w:r>
              <w:t>1,60</w:t>
            </w:r>
          </w:p>
        </w:tc>
        <w:tc>
          <w:tcPr>
            <w:tcW w:w="1771" w:type="dxa"/>
            <w:vAlign w:val="center"/>
          </w:tcPr>
          <w:p w:rsidR="00E35632" w:rsidRDefault="00E35632">
            <w:pPr>
              <w:pStyle w:val="ConsPlusNormal"/>
              <w:jc w:val="center"/>
            </w:pPr>
            <w:r>
              <w:t>1,70</w:t>
            </w:r>
          </w:p>
        </w:tc>
      </w:tr>
      <w:tr w:rsidR="00E35632">
        <w:tc>
          <w:tcPr>
            <w:tcW w:w="1829" w:type="dxa"/>
          </w:tcPr>
          <w:p w:rsidR="00E35632" w:rsidRDefault="00E35632">
            <w:pPr>
              <w:pStyle w:val="ConsPlusNormal"/>
            </w:pPr>
            <w:r>
              <w:t>Супеси</w:t>
            </w:r>
          </w:p>
        </w:tc>
        <w:tc>
          <w:tcPr>
            <w:tcW w:w="1790" w:type="dxa"/>
          </w:tcPr>
          <w:p w:rsidR="00E35632" w:rsidRDefault="00E35632">
            <w:pPr>
              <w:pStyle w:val="ConsPlusNormal"/>
              <w:jc w:val="center"/>
            </w:pPr>
            <w:r>
              <w:t>300</w:t>
            </w:r>
          </w:p>
          <w:p w:rsidR="00E35632" w:rsidRDefault="00E35632">
            <w:pPr>
              <w:pStyle w:val="ConsPlusNormal"/>
              <w:jc w:val="center"/>
            </w:pPr>
            <w:r>
              <w:t>-----</w:t>
            </w:r>
          </w:p>
          <w:p w:rsidR="00E35632" w:rsidRDefault="00E35632">
            <w:pPr>
              <w:pStyle w:val="ConsPlusNormal"/>
              <w:jc w:val="center"/>
            </w:pPr>
            <w:r>
              <w:t>150</w:t>
            </w:r>
          </w:p>
        </w:tc>
        <w:tc>
          <w:tcPr>
            <w:tcW w:w="1871" w:type="dxa"/>
          </w:tcPr>
          <w:p w:rsidR="00E35632" w:rsidRDefault="00E35632">
            <w:pPr>
              <w:pStyle w:val="ConsPlusNormal"/>
              <w:jc w:val="center"/>
            </w:pPr>
            <w:r>
              <w:t>350</w:t>
            </w:r>
          </w:p>
          <w:p w:rsidR="00E35632" w:rsidRDefault="00E35632">
            <w:pPr>
              <w:pStyle w:val="ConsPlusNormal"/>
              <w:jc w:val="center"/>
            </w:pPr>
            <w:r>
              <w:t>-----</w:t>
            </w:r>
          </w:p>
          <w:p w:rsidR="00E35632" w:rsidRDefault="00E35632">
            <w:pPr>
              <w:pStyle w:val="ConsPlusNormal"/>
              <w:jc w:val="center"/>
            </w:pPr>
            <w:r>
              <w:t>180</w:t>
            </w:r>
          </w:p>
        </w:tc>
        <w:tc>
          <w:tcPr>
            <w:tcW w:w="1795" w:type="dxa"/>
          </w:tcPr>
          <w:p w:rsidR="00E35632" w:rsidRDefault="00E35632">
            <w:pPr>
              <w:pStyle w:val="ConsPlusNormal"/>
              <w:jc w:val="center"/>
            </w:pPr>
            <w:r>
              <w:t>200</w:t>
            </w:r>
          </w:p>
        </w:tc>
        <w:tc>
          <w:tcPr>
            <w:tcW w:w="1771" w:type="dxa"/>
          </w:tcPr>
          <w:p w:rsidR="00E35632" w:rsidRDefault="00E35632">
            <w:pPr>
              <w:pStyle w:val="ConsPlusNormal"/>
              <w:jc w:val="center"/>
            </w:pPr>
            <w:r>
              <w:t>250</w:t>
            </w:r>
          </w:p>
        </w:tc>
      </w:tr>
      <w:tr w:rsidR="00E35632">
        <w:tc>
          <w:tcPr>
            <w:tcW w:w="1829" w:type="dxa"/>
          </w:tcPr>
          <w:p w:rsidR="00E35632" w:rsidRDefault="00E35632">
            <w:pPr>
              <w:pStyle w:val="ConsPlusNormal"/>
            </w:pPr>
            <w:r>
              <w:t>Суглинки</w:t>
            </w:r>
          </w:p>
        </w:tc>
        <w:tc>
          <w:tcPr>
            <w:tcW w:w="1790" w:type="dxa"/>
          </w:tcPr>
          <w:p w:rsidR="00E35632" w:rsidRDefault="00E35632">
            <w:pPr>
              <w:pStyle w:val="ConsPlusNormal"/>
              <w:jc w:val="center"/>
            </w:pPr>
            <w:r>
              <w:t>350</w:t>
            </w:r>
          </w:p>
          <w:p w:rsidR="00E35632" w:rsidRDefault="00E35632">
            <w:pPr>
              <w:pStyle w:val="ConsPlusNormal"/>
              <w:jc w:val="center"/>
            </w:pPr>
            <w:r>
              <w:t>-----</w:t>
            </w:r>
          </w:p>
          <w:p w:rsidR="00E35632" w:rsidRDefault="00E35632">
            <w:pPr>
              <w:pStyle w:val="ConsPlusNormal"/>
              <w:jc w:val="center"/>
            </w:pPr>
            <w:r>
              <w:t>180</w:t>
            </w:r>
          </w:p>
        </w:tc>
        <w:tc>
          <w:tcPr>
            <w:tcW w:w="1871" w:type="dxa"/>
          </w:tcPr>
          <w:p w:rsidR="00E35632" w:rsidRDefault="00E35632">
            <w:pPr>
              <w:pStyle w:val="ConsPlusNormal"/>
              <w:jc w:val="center"/>
            </w:pPr>
            <w:r>
              <w:t>400</w:t>
            </w:r>
          </w:p>
          <w:p w:rsidR="00E35632" w:rsidRDefault="00E35632">
            <w:pPr>
              <w:pStyle w:val="ConsPlusNormal"/>
              <w:jc w:val="center"/>
            </w:pPr>
            <w:r>
              <w:t>-----</w:t>
            </w:r>
          </w:p>
          <w:p w:rsidR="00E35632" w:rsidRDefault="00E35632">
            <w:pPr>
              <w:pStyle w:val="ConsPlusNormal"/>
              <w:jc w:val="center"/>
            </w:pPr>
            <w:r>
              <w:t>200</w:t>
            </w:r>
          </w:p>
        </w:tc>
        <w:tc>
          <w:tcPr>
            <w:tcW w:w="1795" w:type="dxa"/>
          </w:tcPr>
          <w:p w:rsidR="00E35632" w:rsidRDefault="00E35632">
            <w:pPr>
              <w:pStyle w:val="ConsPlusNormal"/>
              <w:jc w:val="center"/>
            </w:pPr>
            <w:r>
              <w:t>250</w:t>
            </w:r>
          </w:p>
        </w:tc>
        <w:tc>
          <w:tcPr>
            <w:tcW w:w="1771" w:type="dxa"/>
          </w:tcPr>
          <w:p w:rsidR="00E35632" w:rsidRDefault="00E35632">
            <w:pPr>
              <w:pStyle w:val="ConsPlusNormal"/>
              <w:jc w:val="center"/>
            </w:pPr>
            <w:r>
              <w:t>300</w:t>
            </w:r>
          </w:p>
        </w:tc>
      </w:tr>
      <w:tr w:rsidR="00E35632">
        <w:tc>
          <w:tcPr>
            <w:tcW w:w="9056" w:type="dxa"/>
            <w:gridSpan w:val="5"/>
          </w:tcPr>
          <w:p w:rsidR="00E35632" w:rsidRDefault="00E35632">
            <w:pPr>
              <w:pStyle w:val="ConsPlusNormal"/>
              <w:ind w:firstLine="283"/>
              <w:jc w:val="both"/>
            </w:pPr>
            <w:r>
              <w:t xml:space="preserve">Примечание - Над чертой приведены значения </w:t>
            </w:r>
            <w:r>
              <w:rPr>
                <w:i/>
              </w:rPr>
              <w:t>R</w:t>
            </w:r>
            <w:r>
              <w:rPr>
                <w:vertAlign w:val="subscript"/>
              </w:rPr>
              <w:t>0</w:t>
            </w:r>
            <w:r>
              <w:t xml:space="preserve">, относящиеся к незамоченным просадочным грунтам с коэффициентом водонасыщения </w:t>
            </w:r>
            <w:r>
              <w:rPr>
                <w:i/>
              </w:rPr>
              <w:t>S</w:t>
            </w:r>
            <w:r>
              <w:rPr>
                <w:i/>
                <w:vertAlign w:val="subscript"/>
              </w:rPr>
              <w:t>r</w:t>
            </w:r>
            <w:r>
              <w:t xml:space="preserve"> &lt;= 0,5; под чертой - значения </w:t>
            </w:r>
            <w:r>
              <w:rPr>
                <w:i/>
              </w:rPr>
              <w:t>R</w:t>
            </w:r>
            <w:r>
              <w:rPr>
                <w:vertAlign w:val="subscript"/>
              </w:rPr>
              <w:t>0</w:t>
            </w:r>
            <w:r>
              <w:t xml:space="preserve">, относящиеся к таким же грунтам с </w:t>
            </w:r>
            <w:r>
              <w:rPr>
                <w:i/>
              </w:rPr>
              <w:t>S</w:t>
            </w:r>
            <w:r>
              <w:rPr>
                <w:i/>
                <w:vertAlign w:val="subscript"/>
              </w:rPr>
              <w:t>r</w:t>
            </w:r>
            <w:r>
              <w:t xml:space="preserve"> &gt;= 0,8, а также к замоченным просадочным грунтам.</w:t>
            </w:r>
          </w:p>
        </w:tc>
      </w:tr>
    </w:tbl>
    <w:p w:rsidR="00E35632" w:rsidRDefault="00E35632">
      <w:pPr>
        <w:pStyle w:val="ConsPlusNormal"/>
        <w:jc w:val="both"/>
      </w:pPr>
    </w:p>
    <w:p w:rsidR="00E35632" w:rsidRDefault="00E35632">
      <w:pPr>
        <w:pStyle w:val="ConsPlusNormal"/>
        <w:jc w:val="right"/>
      </w:pPr>
      <w:r>
        <w:t>Таблица Б.5</w:t>
      </w:r>
    </w:p>
    <w:p w:rsidR="00E35632" w:rsidRDefault="00E35632">
      <w:pPr>
        <w:pStyle w:val="ConsPlusNormal"/>
        <w:jc w:val="both"/>
      </w:pPr>
    </w:p>
    <w:p w:rsidR="00E35632" w:rsidRDefault="00E35632">
      <w:pPr>
        <w:pStyle w:val="ConsPlusNormal"/>
        <w:jc w:val="center"/>
      </w:pPr>
      <w:bookmarkStart w:id="286" w:name="P6284"/>
      <w:bookmarkEnd w:id="286"/>
      <w:r>
        <w:rPr>
          <w:b/>
        </w:rPr>
        <w:t>Расчетные сопротивления</w:t>
      </w:r>
      <w:r>
        <w:t xml:space="preserve"> </w:t>
      </w:r>
      <w:r>
        <w:rPr>
          <w:b/>
          <w:i/>
        </w:rPr>
        <w:t>R</w:t>
      </w:r>
      <w:r>
        <w:rPr>
          <w:b/>
          <w:vertAlign w:val="subscript"/>
        </w:rPr>
        <w:t>0</w:t>
      </w:r>
      <w:r>
        <w:t xml:space="preserve"> </w:t>
      </w:r>
      <w:r>
        <w:rPr>
          <w:b/>
        </w:rPr>
        <w:t>заторфованных песков</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940"/>
        <w:gridCol w:w="2050"/>
        <w:gridCol w:w="2045"/>
        <w:gridCol w:w="2025"/>
      </w:tblGrid>
      <w:tr w:rsidR="00E35632">
        <w:tc>
          <w:tcPr>
            <w:tcW w:w="2940" w:type="dxa"/>
            <w:vMerge w:val="restart"/>
            <w:tcBorders>
              <w:top w:val="single" w:sz="4" w:space="0" w:color="auto"/>
              <w:bottom w:val="single" w:sz="4" w:space="0" w:color="auto"/>
            </w:tcBorders>
            <w:vAlign w:val="center"/>
          </w:tcPr>
          <w:p w:rsidR="00E35632" w:rsidRDefault="00E35632">
            <w:pPr>
              <w:pStyle w:val="ConsPlusNormal"/>
              <w:jc w:val="center"/>
            </w:pPr>
            <w:r>
              <w:t>Пески средней плотности</w:t>
            </w:r>
          </w:p>
        </w:tc>
        <w:tc>
          <w:tcPr>
            <w:tcW w:w="6120" w:type="dxa"/>
            <w:gridSpan w:val="3"/>
            <w:tcBorders>
              <w:top w:val="single" w:sz="4" w:space="0" w:color="auto"/>
              <w:bottom w:val="single" w:sz="4" w:space="0" w:color="auto"/>
            </w:tcBorders>
            <w:vAlign w:val="center"/>
          </w:tcPr>
          <w:p w:rsidR="00E35632" w:rsidRDefault="00E35632">
            <w:pPr>
              <w:pStyle w:val="ConsPlusNormal"/>
              <w:jc w:val="center"/>
            </w:pPr>
            <w:r>
              <w:t xml:space="preserve">Значения </w:t>
            </w:r>
            <w:r>
              <w:rPr>
                <w:i/>
              </w:rPr>
              <w:t>R</w:t>
            </w:r>
            <w:r>
              <w:rPr>
                <w:vertAlign w:val="subscript"/>
              </w:rPr>
              <w:t>0</w:t>
            </w:r>
            <w:r>
              <w:t xml:space="preserve">, кПа, в зависимости от относительного содержания органического вещества </w:t>
            </w:r>
            <w:r>
              <w:rPr>
                <w:i/>
              </w:rPr>
              <w:t>I</w:t>
            </w:r>
            <w:r>
              <w:rPr>
                <w:i/>
                <w:vertAlign w:val="subscript"/>
              </w:rPr>
              <w:t>r</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2050" w:type="dxa"/>
            <w:tcBorders>
              <w:top w:val="single" w:sz="4" w:space="0" w:color="auto"/>
              <w:bottom w:val="single" w:sz="4" w:space="0" w:color="auto"/>
            </w:tcBorders>
            <w:vAlign w:val="center"/>
          </w:tcPr>
          <w:p w:rsidR="00E35632" w:rsidRDefault="00E35632">
            <w:pPr>
              <w:pStyle w:val="ConsPlusNormal"/>
              <w:jc w:val="center"/>
            </w:pPr>
            <w:r>
              <w:t xml:space="preserve">0,03 &lt; </w:t>
            </w:r>
            <w:r>
              <w:rPr>
                <w:i/>
              </w:rPr>
              <w:t>I</w:t>
            </w:r>
            <w:r>
              <w:rPr>
                <w:i/>
                <w:vertAlign w:val="subscript"/>
              </w:rPr>
              <w:t>r</w:t>
            </w:r>
            <w:r>
              <w:t xml:space="preserve"> &lt;= 0,1</w:t>
            </w:r>
          </w:p>
        </w:tc>
        <w:tc>
          <w:tcPr>
            <w:tcW w:w="2045" w:type="dxa"/>
            <w:tcBorders>
              <w:top w:val="single" w:sz="4" w:space="0" w:color="auto"/>
              <w:bottom w:val="single" w:sz="4" w:space="0" w:color="auto"/>
            </w:tcBorders>
            <w:vAlign w:val="center"/>
          </w:tcPr>
          <w:p w:rsidR="00E35632" w:rsidRDefault="00E35632">
            <w:pPr>
              <w:pStyle w:val="ConsPlusNormal"/>
              <w:jc w:val="center"/>
            </w:pPr>
            <w:r>
              <w:t xml:space="preserve">0,1 &lt; </w:t>
            </w:r>
            <w:r>
              <w:rPr>
                <w:i/>
              </w:rPr>
              <w:t>I</w:t>
            </w:r>
            <w:r>
              <w:rPr>
                <w:i/>
                <w:vertAlign w:val="subscript"/>
              </w:rPr>
              <w:t>r</w:t>
            </w:r>
            <w:r>
              <w:t xml:space="preserve"> &lt;= 0,25</w:t>
            </w:r>
          </w:p>
        </w:tc>
        <w:tc>
          <w:tcPr>
            <w:tcW w:w="2025" w:type="dxa"/>
            <w:tcBorders>
              <w:top w:val="single" w:sz="4" w:space="0" w:color="auto"/>
              <w:bottom w:val="single" w:sz="4" w:space="0" w:color="auto"/>
            </w:tcBorders>
            <w:vAlign w:val="center"/>
          </w:tcPr>
          <w:p w:rsidR="00E35632" w:rsidRDefault="00E35632">
            <w:pPr>
              <w:pStyle w:val="ConsPlusNormal"/>
              <w:jc w:val="center"/>
            </w:pPr>
            <w:r>
              <w:t xml:space="preserve">0,25 &lt; </w:t>
            </w:r>
            <w:r>
              <w:rPr>
                <w:i/>
              </w:rPr>
              <w:t>I</w:t>
            </w:r>
            <w:r>
              <w:rPr>
                <w:i/>
                <w:vertAlign w:val="subscript"/>
              </w:rPr>
              <w:t>r</w:t>
            </w:r>
            <w:r>
              <w:t xml:space="preserve"> &lt;= 0,40</w:t>
            </w:r>
          </w:p>
        </w:tc>
      </w:tr>
      <w:tr w:rsidR="00E35632">
        <w:tblPrEx>
          <w:tblBorders>
            <w:insideH w:val="none" w:sz="0" w:space="0" w:color="auto"/>
          </w:tblBorders>
        </w:tblPrEx>
        <w:tc>
          <w:tcPr>
            <w:tcW w:w="2940" w:type="dxa"/>
            <w:tcBorders>
              <w:top w:val="single" w:sz="4" w:space="0" w:color="auto"/>
              <w:bottom w:val="nil"/>
            </w:tcBorders>
          </w:tcPr>
          <w:p w:rsidR="00E35632" w:rsidRDefault="00E35632">
            <w:pPr>
              <w:pStyle w:val="ConsPlusNormal"/>
            </w:pPr>
            <w:r>
              <w:t>Пески мелкие:</w:t>
            </w:r>
          </w:p>
        </w:tc>
        <w:tc>
          <w:tcPr>
            <w:tcW w:w="2050" w:type="dxa"/>
            <w:tcBorders>
              <w:top w:val="single" w:sz="4" w:space="0" w:color="auto"/>
              <w:bottom w:val="nil"/>
            </w:tcBorders>
          </w:tcPr>
          <w:p w:rsidR="00E35632" w:rsidRDefault="00E35632">
            <w:pPr>
              <w:pStyle w:val="ConsPlusNormal"/>
            </w:pPr>
          </w:p>
        </w:tc>
        <w:tc>
          <w:tcPr>
            <w:tcW w:w="2045" w:type="dxa"/>
            <w:tcBorders>
              <w:top w:val="single" w:sz="4" w:space="0" w:color="auto"/>
              <w:bottom w:val="nil"/>
            </w:tcBorders>
          </w:tcPr>
          <w:p w:rsidR="00E35632" w:rsidRDefault="00E35632">
            <w:pPr>
              <w:pStyle w:val="ConsPlusNormal"/>
            </w:pPr>
          </w:p>
        </w:tc>
        <w:tc>
          <w:tcPr>
            <w:tcW w:w="2025" w:type="dxa"/>
            <w:tcBorders>
              <w:top w:val="single" w:sz="4" w:space="0" w:color="auto"/>
              <w:bottom w:val="nil"/>
            </w:tcBorders>
          </w:tcPr>
          <w:p w:rsidR="00E35632" w:rsidRDefault="00E35632">
            <w:pPr>
              <w:pStyle w:val="ConsPlusNormal"/>
            </w:pPr>
          </w:p>
        </w:tc>
      </w:tr>
      <w:tr w:rsidR="00E35632">
        <w:tblPrEx>
          <w:tblBorders>
            <w:insideH w:val="none" w:sz="0" w:space="0" w:color="auto"/>
          </w:tblBorders>
        </w:tblPrEx>
        <w:tc>
          <w:tcPr>
            <w:tcW w:w="2940" w:type="dxa"/>
            <w:tcBorders>
              <w:top w:val="nil"/>
              <w:bottom w:val="nil"/>
            </w:tcBorders>
          </w:tcPr>
          <w:p w:rsidR="00E35632" w:rsidRDefault="00E35632">
            <w:pPr>
              <w:pStyle w:val="ConsPlusNormal"/>
            </w:pPr>
            <w:r>
              <w:t>маловлажные</w:t>
            </w:r>
          </w:p>
        </w:tc>
        <w:tc>
          <w:tcPr>
            <w:tcW w:w="2050" w:type="dxa"/>
            <w:tcBorders>
              <w:top w:val="nil"/>
              <w:bottom w:val="nil"/>
            </w:tcBorders>
          </w:tcPr>
          <w:p w:rsidR="00E35632" w:rsidRDefault="00E35632">
            <w:pPr>
              <w:pStyle w:val="ConsPlusNormal"/>
              <w:jc w:val="center"/>
            </w:pPr>
            <w:r>
              <w:t>250</w:t>
            </w:r>
          </w:p>
        </w:tc>
        <w:tc>
          <w:tcPr>
            <w:tcW w:w="2045" w:type="dxa"/>
            <w:tcBorders>
              <w:top w:val="nil"/>
              <w:bottom w:val="nil"/>
            </w:tcBorders>
          </w:tcPr>
          <w:p w:rsidR="00E35632" w:rsidRDefault="00E35632">
            <w:pPr>
              <w:pStyle w:val="ConsPlusNormal"/>
              <w:jc w:val="center"/>
            </w:pPr>
            <w:r>
              <w:t>180</w:t>
            </w:r>
          </w:p>
        </w:tc>
        <w:tc>
          <w:tcPr>
            <w:tcW w:w="2025" w:type="dxa"/>
            <w:tcBorders>
              <w:top w:val="nil"/>
              <w:bottom w:val="nil"/>
            </w:tcBorders>
          </w:tcPr>
          <w:p w:rsidR="00E35632" w:rsidRDefault="00E35632">
            <w:pPr>
              <w:pStyle w:val="ConsPlusNormal"/>
              <w:jc w:val="center"/>
            </w:pPr>
            <w:r>
              <w:t>90</w:t>
            </w:r>
          </w:p>
        </w:tc>
      </w:tr>
      <w:tr w:rsidR="00E35632">
        <w:tblPrEx>
          <w:tblBorders>
            <w:insideH w:val="none" w:sz="0" w:space="0" w:color="auto"/>
          </w:tblBorders>
        </w:tblPrEx>
        <w:tc>
          <w:tcPr>
            <w:tcW w:w="2940" w:type="dxa"/>
            <w:tcBorders>
              <w:top w:val="nil"/>
              <w:bottom w:val="nil"/>
            </w:tcBorders>
          </w:tcPr>
          <w:p w:rsidR="00E35632" w:rsidRDefault="00E35632">
            <w:pPr>
              <w:pStyle w:val="ConsPlusNormal"/>
            </w:pPr>
            <w:r>
              <w:t>очень влажные и насыщенные водой</w:t>
            </w:r>
          </w:p>
        </w:tc>
        <w:tc>
          <w:tcPr>
            <w:tcW w:w="2050" w:type="dxa"/>
            <w:tcBorders>
              <w:top w:val="nil"/>
              <w:bottom w:val="nil"/>
            </w:tcBorders>
          </w:tcPr>
          <w:p w:rsidR="00E35632" w:rsidRDefault="00E35632">
            <w:pPr>
              <w:pStyle w:val="ConsPlusNormal"/>
              <w:jc w:val="center"/>
            </w:pPr>
            <w:r>
              <w:t>150</w:t>
            </w:r>
          </w:p>
        </w:tc>
        <w:tc>
          <w:tcPr>
            <w:tcW w:w="2045" w:type="dxa"/>
            <w:tcBorders>
              <w:top w:val="nil"/>
              <w:bottom w:val="nil"/>
            </w:tcBorders>
          </w:tcPr>
          <w:p w:rsidR="00E35632" w:rsidRDefault="00E35632">
            <w:pPr>
              <w:pStyle w:val="ConsPlusNormal"/>
              <w:jc w:val="center"/>
            </w:pPr>
            <w:r>
              <w:t>100</w:t>
            </w:r>
          </w:p>
        </w:tc>
        <w:tc>
          <w:tcPr>
            <w:tcW w:w="2025" w:type="dxa"/>
            <w:tcBorders>
              <w:top w:val="nil"/>
              <w:bottom w:val="nil"/>
            </w:tcBorders>
          </w:tcPr>
          <w:p w:rsidR="00E35632" w:rsidRDefault="00E35632">
            <w:pPr>
              <w:pStyle w:val="ConsPlusNormal"/>
              <w:jc w:val="center"/>
            </w:pPr>
            <w:r>
              <w:t>70</w:t>
            </w:r>
          </w:p>
        </w:tc>
      </w:tr>
      <w:tr w:rsidR="00E35632">
        <w:tblPrEx>
          <w:tblBorders>
            <w:insideH w:val="none" w:sz="0" w:space="0" w:color="auto"/>
          </w:tblBorders>
        </w:tblPrEx>
        <w:tc>
          <w:tcPr>
            <w:tcW w:w="2940" w:type="dxa"/>
            <w:tcBorders>
              <w:top w:val="nil"/>
              <w:bottom w:val="nil"/>
            </w:tcBorders>
          </w:tcPr>
          <w:p w:rsidR="00E35632" w:rsidRDefault="00E35632">
            <w:pPr>
              <w:pStyle w:val="ConsPlusNormal"/>
            </w:pPr>
            <w:r>
              <w:t>Пески пылеватые:</w:t>
            </w:r>
          </w:p>
        </w:tc>
        <w:tc>
          <w:tcPr>
            <w:tcW w:w="2050" w:type="dxa"/>
            <w:tcBorders>
              <w:top w:val="nil"/>
              <w:bottom w:val="nil"/>
            </w:tcBorders>
          </w:tcPr>
          <w:p w:rsidR="00E35632" w:rsidRDefault="00E35632">
            <w:pPr>
              <w:pStyle w:val="ConsPlusNormal"/>
            </w:pPr>
          </w:p>
        </w:tc>
        <w:tc>
          <w:tcPr>
            <w:tcW w:w="2045" w:type="dxa"/>
            <w:tcBorders>
              <w:top w:val="nil"/>
              <w:bottom w:val="nil"/>
            </w:tcBorders>
          </w:tcPr>
          <w:p w:rsidR="00E35632" w:rsidRDefault="00E35632">
            <w:pPr>
              <w:pStyle w:val="ConsPlusNormal"/>
            </w:pPr>
          </w:p>
        </w:tc>
        <w:tc>
          <w:tcPr>
            <w:tcW w:w="2025" w:type="dxa"/>
            <w:tcBorders>
              <w:top w:val="nil"/>
              <w:bottom w:val="nil"/>
            </w:tcBorders>
          </w:tcPr>
          <w:p w:rsidR="00E35632" w:rsidRDefault="00E35632">
            <w:pPr>
              <w:pStyle w:val="ConsPlusNormal"/>
            </w:pPr>
          </w:p>
        </w:tc>
      </w:tr>
      <w:tr w:rsidR="00E35632">
        <w:tblPrEx>
          <w:tblBorders>
            <w:insideH w:val="none" w:sz="0" w:space="0" w:color="auto"/>
          </w:tblBorders>
        </w:tblPrEx>
        <w:tc>
          <w:tcPr>
            <w:tcW w:w="2940" w:type="dxa"/>
            <w:tcBorders>
              <w:top w:val="nil"/>
              <w:bottom w:val="nil"/>
            </w:tcBorders>
          </w:tcPr>
          <w:p w:rsidR="00E35632" w:rsidRDefault="00E35632">
            <w:pPr>
              <w:pStyle w:val="ConsPlusNormal"/>
            </w:pPr>
            <w:r>
              <w:t>маловлажные</w:t>
            </w:r>
          </w:p>
        </w:tc>
        <w:tc>
          <w:tcPr>
            <w:tcW w:w="2050" w:type="dxa"/>
            <w:tcBorders>
              <w:top w:val="nil"/>
              <w:bottom w:val="nil"/>
            </w:tcBorders>
          </w:tcPr>
          <w:p w:rsidR="00E35632" w:rsidRDefault="00E35632">
            <w:pPr>
              <w:pStyle w:val="ConsPlusNormal"/>
              <w:jc w:val="center"/>
            </w:pPr>
            <w:r>
              <w:t>200</w:t>
            </w:r>
          </w:p>
        </w:tc>
        <w:tc>
          <w:tcPr>
            <w:tcW w:w="2045" w:type="dxa"/>
            <w:tcBorders>
              <w:top w:val="nil"/>
              <w:bottom w:val="nil"/>
            </w:tcBorders>
          </w:tcPr>
          <w:p w:rsidR="00E35632" w:rsidRDefault="00E35632">
            <w:pPr>
              <w:pStyle w:val="ConsPlusNormal"/>
              <w:jc w:val="center"/>
            </w:pPr>
            <w:r>
              <w:t>120</w:t>
            </w:r>
          </w:p>
        </w:tc>
        <w:tc>
          <w:tcPr>
            <w:tcW w:w="2025" w:type="dxa"/>
            <w:tcBorders>
              <w:top w:val="nil"/>
              <w:bottom w:val="nil"/>
            </w:tcBorders>
          </w:tcPr>
          <w:p w:rsidR="00E35632" w:rsidRDefault="00E35632">
            <w:pPr>
              <w:pStyle w:val="ConsPlusNormal"/>
              <w:jc w:val="center"/>
            </w:pPr>
            <w:r>
              <w:t>80</w:t>
            </w:r>
          </w:p>
        </w:tc>
      </w:tr>
      <w:tr w:rsidR="00E35632">
        <w:tblPrEx>
          <w:tblBorders>
            <w:insideH w:val="none" w:sz="0" w:space="0" w:color="auto"/>
          </w:tblBorders>
        </w:tblPrEx>
        <w:tc>
          <w:tcPr>
            <w:tcW w:w="2940" w:type="dxa"/>
            <w:tcBorders>
              <w:top w:val="nil"/>
              <w:bottom w:val="nil"/>
            </w:tcBorders>
          </w:tcPr>
          <w:p w:rsidR="00E35632" w:rsidRDefault="00E35632">
            <w:pPr>
              <w:pStyle w:val="ConsPlusNormal"/>
            </w:pPr>
            <w:r>
              <w:t>очень влажные</w:t>
            </w:r>
          </w:p>
        </w:tc>
        <w:tc>
          <w:tcPr>
            <w:tcW w:w="2050" w:type="dxa"/>
            <w:tcBorders>
              <w:top w:val="nil"/>
              <w:bottom w:val="nil"/>
            </w:tcBorders>
          </w:tcPr>
          <w:p w:rsidR="00E35632" w:rsidRDefault="00E35632">
            <w:pPr>
              <w:pStyle w:val="ConsPlusNormal"/>
              <w:jc w:val="center"/>
            </w:pPr>
            <w:r>
              <w:t>100</w:t>
            </w:r>
          </w:p>
        </w:tc>
        <w:tc>
          <w:tcPr>
            <w:tcW w:w="2045" w:type="dxa"/>
            <w:tcBorders>
              <w:top w:val="nil"/>
              <w:bottom w:val="nil"/>
            </w:tcBorders>
          </w:tcPr>
          <w:p w:rsidR="00E35632" w:rsidRDefault="00E35632">
            <w:pPr>
              <w:pStyle w:val="ConsPlusNormal"/>
              <w:jc w:val="center"/>
            </w:pPr>
            <w:r>
              <w:t>80</w:t>
            </w:r>
          </w:p>
        </w:tc>
        <w:tc>
          <w:tcPr>
            <w:tcW w:w="2025" w:type="dxa"/>
            <w:tcBorders>
              <w:top w:val="nil"/>
              <w:bottom w:val="nil"/>
            </w:tcBorders>
          </w:tcPr>
          <w:p w:rsidR="00E35632" w:rsidRDefault="00E35632">
            <w:pPr>
              <w:pStyle w:val="ConsPlusNormal"/>
              <w:jc w:val="center"/>
            </w:pPr>
            <w:r>
              <w:t>50</w:t>
            </w:r>
          </w:p>
        </w:tc>
      </w:tr>
      <w:tr w:rsidR="00E35632">
        <w:tblPrEx>
          <w:tblBorders>
            <w:insideH w:val="none" w:sz="0" w:space="0" w:color="auto"/>
          </w:tblBorders>
        </w:tblPrEx>
        <w:tc>
          <w:tcPr>
            <w:tcW w:w="2940" w:type="dxa"/>
            <w:tcBorders>
              <w:top w:val="nil"/>
              <w:bottom w:val="single" w:sz="4" w:space="0" w:color="auto"/>
            </w:tcBorders>
          </w:tcPr>
          <w:p w:rsidR="00E35632" w:rsidRDefault="00E35632">
            <w:pPr>
              <w:pStyle w:val="ConsPlusNormal"/>
            </w:pPr>
            <w:r>
              <w:t>насыщенные водой</w:t>
            </w:r>
          </w:p>
        </w:tc>
        <w:tc>
          <w:tcPr>
            <w:tcW w:w="2050" w:type="dxa"/>
            <w:tcBorders>
              <w:top w:val="nil"/>
              <w:bottom w:val="single" w:sz="4" w:space="0" w:color="auto"/>
            </w:tcBorders>
          </w:tcPr>
          <w:p w:rsidR="00E35632" w:rsidRDefault="00E35632">
            <w:pPr>
              <w:pStyle w:val="ConsPlusNormal"/>
              <w:jc w:val="center"/>
            </w:pPr>
            <w:r>
              <w:t>80</w:t>
            </w:r>
          </w:p>
        </w:tc>
        <w:tc>
          <w:tcPr>
            <w:tcW w:w="2045" w:type="dxa"/>
            <w:tcBorders>
              <w:top w:val="nil"/>
              <w:bottom w:val="single" w:sz="4" w:space="0" w:color="auto"/>
            </w:tcBorders>
          </w:tcPr>
          <w:p w:rsidR="00E35632" w:rsidRDefault="00E35632">
            <w:pPr>
              <w:pStyle w:val="ConsPlusNormal"/>
              <w:jc w:val="center"/>
            </w:pPr>
            <w:r>
              <w:t>60</w:t>
            </w:r>
          </w:p>
        </w:tc>
        <w:tc>
          <w:tcPr>
            <w:tcW w:w="2025" w:type="dxa"/>
            <w:tcBorders>
              <w:top w:val="nil"/>
              <w:bottom w:val="single" w:sz="4" w:space="0" w:color="auto"/>
            </w:tcBorders>
          </w:tcPr>
          <w:p w:rsidR="00E35632" w:rsidRDefault="00E35632">
            <w:pPr>
              <w:pStyle w:val="ConsPlusNormal"/>
              <w:jc w:val="center"/>
            </w:pPr>
            <w:r>
              <w:t>40</w:t>
            </w:r>
          </w:p>
        </w:tc>
      </w:tr>
      <w:tr w:rsidR="00E35632">
        <w:tc>
          <w:tcPr>
            <w:tcW w:w="9060" w:type="dxa"/>
            <w:gridSpan w:val="4"/>
            <w:tcBorders>
              <w:top w:val="single" w:sz="4" w:space="0" w:color="auto"/>
              <w:bottom w:val="single" w:sz="4" w:space="0" w:color="auto"/>
            </w:tcBorders>
          </w:tcPr>
          <w:p w:rsidR="00E35632" w:rsidRDefault="00E35632">
            <w:pPr>
              <w:pStyle w:val="ConsPlusNormal"/>
              <w:ind w:firstLine="283"/>
              <w:jc w:val="both"/>
            </w:pPr>
            <w:r>
              <w:t xml:space="preserve">Примечание - Значения </w:t>
            </w:r>
            <w:r>
              <w:rPr>
                <w:i/>
              </w:rPr>
              <w:t>R</w:t>
            </w:r>
            <w:r>
              <w:rPr>
                <w:vertAlign w:val="subscript"/>
              </w:rPr>
              <w:t>0</w:t>
            </w:r>
            <w:r>
              <w:t xml:space="preserve"> в таблице относятся к грунтам со степенью разложения </w:t>
            </w:r>
            <w:r>
              <w:rPr>
                <w:i/>
              </w:rPr>
              <w:t>D</w:t>
            </w:r>
            <w:r>
              <w:rPr>
                <w:i/>
                <w:vertAlign w:val="subscript"/>
              </w:rPr>
              <w:t>dp</w:t>
            </w:r>
            <w:r>
              <w:t xml:space="preserve"> &lt;= 20%. При </w:t>
            </w:r>
            <w:r>
              <w:rPr>
                <w:i/>
              </w:rPr>
              <w:t>D</w:t>
            </w:r>
            <w:r>
              <w:rPr>
                <w:i/>
                <w:vertAlign w:val="subscript"/>
              </w:rPr>
              <w:t>dp</w:t>
            </w:r>
            <w:r>
              <w:t xml:space="preserve"> &gt; 20% значения </w:t>
            </w:r>
            <w:r>
              <w:rPr>
                <w:i/>
              </w:rPr>
              <w:t>R</w:t>
            </w:r>
            <w:r>
              <w:rPr>
                <w:vertAlign w:val="subscript"/>
              </w:rPr>
              <w:t>0</w:t>
            </w:r>
            <w:r>
              <w:t xml:space="preserve"> принимают с коэффициентом 0,8.</w:t>
            </w:r>
          </w:p>
        </w:tc>
      </w:tr>
    </w:tbl>
    <w:p w:rsidR="00E35632" w:rsidRDefault="00E35632">
      <w:pPr>
        <w:pStyle w:val="ConsPlusNormal"/>
        <w:jc w:val="both"/>
      </w:pPr>
    </w:p>
    <w:p w:rsidR="00E35632" w:rsidRDefault="00E35632">
      <w:pPr>
        <w:pStyle w:val="ConsPlusNormal"/>
        <w:jc w:val="right"/>
      </w:pPr>
      <w:r>
        <w:t>Таблица Б.6</w:t>
      </w:r>
    </w:p>
    <w:p w:rsidR="00E35632" w:rsidRDefault="00E35632">
      <w:pPr>
        <w:pStyle w:val="ConsPlusNormal"/>
        <w:jc w:val="both"/>
      </w:pPr>
    </w:p>
    <w:p w:rsidR="00E35632" w:rsidRDefault="00E35632">
      <w:pPr>
        <w:pStyle w:val="ConsPlusNormal"/>
        <w:jc w:val="center"/>
      </w:pPr>
      <w:bookmarkStart w:id="287" w:name="P6323"/>
      <w:bookmarkEnd w:id="287"/>
      <w:r>
        <w:rPr>
          <w:b/>
        </w:rPr>
        <w:t>Расчетные сопротивления</w:t>
      </w:r>
      <w:r>
        <w:t xml:space="preserve"> </w:t>
      </w:r>
      <w:r>
        <w:rPr>
          <w:b/>
          <w:i/>
        </w:rPr>
        <w:t>R</w:t>
      </w:r>
      <w:r>
        <w:rPr>
          <w:b/>
          <w:vertAlign w:val="subscript"/>
        </w:rPr>
        <w:t>0</w:t>
      </w:r>
      <w:r>
        <w:t xml:space="preserve"> </w:t>
      </w:r>
      <w:r>
        <w:rPr>
          <w:b/>
        </w:rPr>
        <w:t>элювиальных</w:t>
      </w:r>
    </w:p>
    <w:p w:rsidR="00E35632" w:rsidRDefault="00E35632">
      <w:pPr>
        <w:pStyle w:val="ConsPlusNormal"/>
        <w:jc w:val="center"/>
      </w:pPr>
      <w:r>
        <w:rPr>
          <w:b/>
        </w:rPr>
        <w:t>крупнообломочных грунтов</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678"/>
        <w:gridCol w:w="1618"/>
        <w:gridCol w:w="1570"/>
        <w:gridCol w:w="1608"/>
        <w:gridCol w:w="1560"/>
      </w:tblGrid>
      <w:tr w:rsidR="00E35632">
        <w:tc>
          <w:tcPr>
            <w:tcW w:w="2678" w:type="dxa"/>
            <w:vMerge w:val="restart"/>
            <w:tcBorders>
              <w:top w:val="single" w:sz="4" w:space="0" w:color="auto"/>
              <w:bottom w:val="single" w:sz="4" w:space="0" w:color="auto"/>
            </w:tcBorders>
            <w:vAlign w:val="center"/>
          </w:tcPr>
          <w:p w:rsidR="00E35632" w:rsidRDefault="00E35632">
            <w:pPr>
              <w:pStyle w:val="ConsPlusNormal"/>
              <w:jc w:val="center"/>
            </w:pPr>
            <w:r>
              <w:t>Крупнообломочные грунты</w:t>
            </w:r>
          </w:p>
        </w:tc>
        <w:tc>
          <w:tcPr>
            <w:tcW w:w="6356" w:type="dxa"/>
            <w:gridSpan w:val="4"/>
            <w:tcBorders>
              <w:top w:val="single" w:sz="4" w:space="0" w:color="auto"/>
              <w:bottom w:val="single" w:sz="4" w:space="0" w:color="auto"/>
            </w:tcBorders>
            <w:vAlign w:val="center"/>
          </w:tcPr>
          <w:p w:rsidR="00E35632" w:rsidRDefault="00E35632">
            <w:pPr>
              <w:pStyle w:val="ConsPlusNormal"/>
              <w:jc w:val="center"/>
            </w:pPr>
            <w:r>
              <w:t xml:space="preserve">Значения </w:t>
            </w:r>
            <w:r>
              <w:rPr>
                <w:i/>
              </w:rPr>
              <w:t>R</w:t>
            </w:r>
            <w:r>
              <w:rPr>
                <w:vertAlign w:val="subscript"/>
              </w:rPr>
              <w:t>0</w:t>
            </w:r>
            <w:r>
              <w:t>, кПа, при исходных образующих породах</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3188" w:type="dxa"/>
            <w:gridSpan w:val="2"/>
            <w:tcBorders>
              <w:top w:val="single" w:sz="4" w:space="0" w:color="auto"/>
              <w:bottom w:val="single" w:sz="4" w:space="0" w:color="auto"/>
            </w:tcBorders>
            <w:vAlign w:val="center"/>
          </w:tcPr>
          <w:p w:rsidR="00E35632" w:rsidRDefault="00E35632">
            <w:pPr>
              <w:pStyle w:val="ConsPlusNormal"/>
              <w:jc w:val="center"/>
            </w:pPr>
            <w:r>
              <w:t>магматических и метаморфических</w:t>
            </w:r>
          </w:p>
        </w:tc>
        <w:tc>
          <w:tcPr>
            <w:tcW w:w="3168" w:type="dxa"/>
            <w:gridSpan w:val="2"/>
            <w:tcBorders>
              <w:top w:val="single" w:sz="4" w:space="0" w:color="auto"/>
              <w:bottom w:val="single" w:sz="4" w:space="0" w:color="auto"/>
            </w:tcBorders>
            <w:vAlign w:val="center"/>
          </w:tcPr>
          <w:p w:rsidR="00E35632" w:rsidRDefault="00E35632">
            <w:pPr>
              <w:pStyle w:val="ConsPlusNormal"/>
              <w:jc w:val="center"/>
            </w:pPr>
            <w:r>
              <w:t>осадочных</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618" w:type="dxa"/>
            <w:tcBorders>
              <w:top w:val="single" w:sz="4" w:space="0" w:color="auto"/>
              <w:bottom w:val="single" w:sz="4" w:space="0" w:color="auto"/>
            </w:tcBorders>
            <w:vAlign w:val="center"/>
          </w:tcPr>
          <w:p w:rsidR="00E35632" w:rsidRDefault="00E35632">
            <w:pPr>
              <w:pStyle w:val="ConsPlusNormal"/>
              <w:jc w:val="center"/>
            </w:pPr>
            <w:r>
              <w:t>содержащих кварц</w:t>
            </w:r>
          </w:p>
        </w:tc>
        <w:tc>
          <w:tcPr>
            <w:tcW w:w="1570" w:type="dxa"/>
            <w:tcBorders>
              <w:top w:val="single" w:sz="4" w:space="0" w:color="auto"/>
              <w:bottom w:val="single" w:sz="4" w:space="0" w:color="auto"/>
            </w:tcBorders>
            <w:vAlign w:val="center"/>
          </w:tcPr>
          <w:p w:rsidR="00E35632" w:rsidRDefault="00E35632">
            <w:pPr>
              <w:pStyle w:val="ConsPlusNormal"/>
              <w:jc w:val="center"/>
            </w:pPr>
            <w:r>
              <w:t>бескварцевых</w:t>
            </w:r>
          </w:p>
        </w:tc>
        <w:tc>
          <w:tcPr>
            <w:tcW w:w="1608" w:type="dxa"/>
            <w:tcBorders>
              <w:top w:val="single" w:sz="4" w:space="0" w:color="auto"/>
              <w:bottom w:val="single" w:sz="4" w:space="0" w:color="auto"/>
            </w:tcBorders>
            <w:vAlign w:val="center"/>
          </w:tcPr>
          <w:p w:rsidR="00E35632" w:rsidRDefault="00E35632">
            <w:pPr>
              <w:pStyle w:val="ConsPlusNormal"/>
              <w:jc w:val="center"/>
            </w:pPr>
            <w:r>
              <w:t>песчаники</w:t>
            </w:r>
          </w:p>
        </w:tc>
        <w:tc>
          <w:tcPr>
            <w:tcW w:w="1560" w:type="dxa"/>
            <w:tcBorders>
              <w:top w:val="single" w:sz="4" w:space="0" w:color="auto"/>
              <w:bottom w:val="single" w:sz="4" w:space="0" w:color="auto"/>
            </w:tcBorders>
            <w:vAlign w:val="center"/>
          </w:tcPr>
          <w:p w:rsidR="00E35632" w:rsidRDefault="00E35632">
            <w:pPr>
              <w:pStyle w:val="ConsPlusNormal"/>
              <w:jc w:val="center"/>
            </w:pPr>
            <w:r>
              <w:t>аргиллиты и алевролиты</w:t>
            </w:r>
          </w:p>
        </w:tc>
      </w:tr>
      <w:tr w:rsidR="00E35632">
        <w:tblPrEx>
          <w:tblBorders>
            <w:insideH w:val="none" w:sz="0" w:space="0" w:color="auto"/>
          </w:tblBorders>
        </w:tblPrEx>
        <w:tc>
          <w:tcPr>
            <w:tcW w:w="2678" w:type="dxa"/>
            <w:tcBorders>
              <w:top w:val="single" w:sz="4" w:space="0" w:color="auto"/>
              <w:bottom w:val="nil"/>
            </w:tcBorders>
          </w:tcPr>
          <w:p w:rsidR="00E35632" w:rsidRDefault="00E35632">
            <w:pPr>
              <w:pStyle w:val="ConsPlusNormal"/>
            </w:pPr>
            <w:r>
              <w:t>Глыбовые</w:t>
            </w:r>
          </w:p>
        </w:tc>
        <w:tc>
          <w:tcPr>
            <w:tcW w:w="1618" w:type="dxa"/>
            <w:tcBorders>
              <w:top w:val="single" w:sz="4" w:space="0" w:color="auto"/>
              <w:bottom w:val="nil"/>
            </w:tcBorders>
          </w:tcPr>
          <w:p w:rsidR="00E35632" w:rsidRDefault="00E35632">
            <w:pPr>
              <w:pStyle w:val="ConsPlusNormal"/>
              <w:jc w:val="center"/>
            </w:pPr>
            <w:r>
              <w:t>900</w:t>
            </w:r>
          </w:p>
        </w:tc>
        <w:tc>
          <w:tcPr>
            <w:tcW w:w="1570" w:type="dxa"/>
            <w:tcBorders>
              <w:top w:val="single" w:sz="4" w:space="0" w:color="auto"/>
              <w:bottom w:val="nil"/>
            </w:tcBorders>
          </w:tcPr>
          <w:p w:rsidR="00E35632" w:rsidRDefault="00E35632">
            <w:pPr>
              <w:pStyle w:val="ConsPlusNormal"/>
              <w:jc w:val="center"/>
            </w:pPr>
            <w:r>
              <w:t>700</w:t>
            </w:r>
          </w:p>
        </w:tc>
        <w:tc>
          <w:tcPr>
            <w:tcW w:w="1608" w:type="dxa"/>
            <w:tcBorders>
              <w:top w:val="single" w:sz="4" w:space="0" w:color="auto"/>
              <w:bottom w:val="nil"/>
            </w:tcBorders>
          </w:tcPr>
          <w:p w:rsidR="00E35632" w:rsidRDefault="00E35632">
            <w:pPr>
              <w:pStyle w:val="ConsPlusNormal"/>
              <w:jc w:val="center"/>
            </w:pPr>
            <w:r>
              <w:t>800</w:t>
            </w:r>
          </w:p>
        </w:tc>
        <w:tc>
          <w:tcPr>
            <w:tcW w:w="1560" w:type="dxa"/>
            <w:tcBorders>
              <w:top w:val="single" w:sz="4" w:space="0" w:color="auto"/>
              <w:bottom w:val="nil"/>
            </w:tcBorders>
          </w:tcPr>
          <w:p w:rsidR="00E35632" w:rsidRDefault="00E35632">
            <w:pPr>
              <w:pStyle w:val="ConsPlusNormal"/>
              <w:jc w:val="center"/>
            </w:pPr>
            <w:r>
              <w:t>600</w:t>
            </w:r>
          </w:p>
        </w:tc>
      </w:tr>
      <w:tr w:rsidR="00E35632">
        <w:tblPrEx>
          <w:tblBorders>
            <w:insideH w:val="none" w:sz="0" w:space="0" w:color="auto"/>
          </w:tblBorders>
        </w:tblPrEx>
        <w:tc>
          <w:tcPr>
            <w:tcW w:w="2678" w:type="dxa"/>
            <w:tcBorders>
              <w:top w:val="nil"/>
              <w:bottom w:val="nil"/>
            </w:tcBorders>
          </w:tcPr>
          <w:p w:rsidR="00E35632" w:rsidRDefault="00E35632">
            <w:pPr>
              <w:pStyle w:val="ConsPlusNormal"/>
            </w:pPr>
            <w:r>
              <w:t>Щебенистые невыветрелые</w:t>
            </w:r>
          </w:p>
        </w:tc>
        <w:tc>
          <w:tcPr>
            <w:tcW w:w="1618" w:type="dxa"/>
            <w:tcBorders>
              <w:top w:val="nil"/>
              <w:bottom w:val="nil"/>
            </w:tcBorders>
          </w:tcPr>
          <w:p w:rsidR="00E35632" w:rsidRDefault="00E35632">
            <w:pPr>
              <w:pStyle w:val="ConsPlusNormal"/>
              <w:jc w:val="center"/>
            </w:pPr>
            <w:r>
              <w:t>800</w:t>
            </w:r>
          </w:p>
        </w:tc>
        <w:tc>
          <w:tcPr>
            <w:tcW w:w="1570" w:type="dxa"/>
            <w:tcBorders>
              <w:top w:val="nil"/>
              <w:bottom w:val="nil"/>
            </w:tcBorders>
          </w:tcPr>
          <w:p w:rsidR="00E35632" w:rsidRDefault="00E35632">
            <w:pPr>
              <w:pStyle w:val="ConsPlusNormal"/>
              <w:jc w:val="center"/>
            </w:pPr>
            <w:r>
              <w:t>600</w:t>
            </w:r>
          </w:p>
        </w:tc>
        <w:tc>
          <w:tcPr>
            <w:tcW w:w="1608" w:type="dxa"/>
            <w:tcBorders>
              <w:top w:val="nil"/>
              <w:bottom w:val="nil"/>
            </w:tcBorders>
          </w:tcPr>
          <w:p w:rsidR="00E35632" w:rsidRDefault="00E35632">
            <w:pPr>
              <w:pStyle w:val="ConsPlusNormal"/>
              <w:jc w:val="center"/>
            </w:pPr>
            <w:r>
              <w:t>600</w:t>
            </w:r>
          </w:p>
        </w:tc>
        <w:tc>
          <w:tcPr>
            <w:tcW w:w="1560" w:type="dxa"/>
            <w:tcBorders>
              <w:top w:val="nil"/>
              <w:bottom w:val="nil"/>
            </w:tcBorders>
          </w:tcPr>
          <w:p w:rsidR="00E35632" w:rsidRDefault="00E35632">
            <w:pPr>
              <w:pStyle w:val="ConsPlusNormal"/>
              <w:jc w:val="center"/>
            </w:pPr>
            <w:r>
              <w:t>500</w:t>
            </w:r>
          </w:p>
        </w:tc>
      </w:tr>
      <w:tr w:rsidR="00E35632">
        <w:tblPrEx>
          <w:tblBorders>
            <w:insideH w:val="none" w:sz="0" w:space="0" w:color="auto"/>
          </w:tblBorders>
        </w:tblPrEx>
        <w:tc>
          <w:tcPr>
            <w:tcW w:w="2678" w:type="dxa"/>
            <w:tcBorders>
              <w:top w:val="nil"/>
              <w:bottom w:val="nil"/>
            </w:tcBorders>
          </w:tcPr>
          <w:p w:rsidR="00E35632" w:rsidRDefault="00E35632">
            <w:pPr>
              <w:pStyle w:val="ConsPlusNormal"/>
            </w:pPr>
            <w:r>
              <w:t>Щебенисто-дресвяные слабовыветрелые</w:t>
            </w:r>
          </w:p>
        </w:tc>
        <w:tc>
          <w:tcPr>
            <w:tcW w:w="1618" w:type="dxa"/>
            <w:tcBorders>
              <w:top w:val="nil"/>
              <w:bottom w:val="nil"/>
            </w:tcBorders>
          </w:tcPr>
          <w:p w:rsidR="00E35632" w:rsidRDefault="00E35632">
            <w:pPr>
              <w:pStyle w:val="ConsPlusNormal"/>
              <w:jc w:val="center"/>
            </w:pPr>
            <w:r>
              <w:t>600</w:t>
            </w:r>
          </w:p>
        </w:tc>
        <w:tc>
          <w:tcPr>
            <w:tcW w:w="1570" w:type="dxa"/>
            <w:tcBorders>
              <w:top w:val="nil"/>
              <w:bottom w:val="nil"/>
            </w:tcBorders>
          </w:tcPr>
          <w:p w:rsidR="00E35632" w:rsidRDefault="00E35632">
            <w:pPr>
              <w:pStyle w:val="ConsPlusNormal"/>
              <w:jc w:val="center"/>
            </w:pPr>
            <w:r>
              <w:t>500</w:t>
            </w:r>
          </w:p>
        </w:tc>
        <w:tc>
          <w:tcPr>
            <w:tcW w:w="1608" w:type="dxa"/>
            <w:tcBorders>
              <w:top w:val="nil"/>
              <w:bottom w:val="nil"/>
            </w:tcBorders>
          </w:tcPr>
          <w:p w:rsidR="00E35632" w:rsidRDefault="00E35632">
            <w:pPr>
              <w:pStyle w:val="ConsPlusNormal"/>
              <w:jc w:val="center"/>
            </w:pPr>
            <w:r>
              <w:t>500</w:t>
            </w:r>
          </w:p>
        </w:tc>
        <w:tc>
          <w:tcPr>
            <w:tcW w:w="1560" w:type="dxa"/>
            <w:tcBorders>
              <w:top w:val="nil"/>
              <w:bottom w:val="nil"/>
            </w:tcBorders>
          </w:tcPr>
          <w:p w:rsidR="00E35632" w:rsidRDefault="00E35632">
            <w:pPr>
              <w:pStyle w:val="ConsPlusNormal"/>
              <w:jc w:val="center"/>
            </w:pPr>
            <w:r>
              <w:t>400</w:t>
            </w:r>
          </w:p>
        </w:tc>
      </w:tr>
      <w:tr w:rsidR="00E35632">
        <w:tblPrEx>
          <w:tblBorders>
            <w:insideH w:val="none" w:sz="0" w:space="0" w:color="auto"/>
          </w:tblBorders>
        </w:tblPrEx>
        <w:tc>
          <w:tcPr>
            <w:tcW w:w="2678" w:type="dxa"/>
            <w:tcBorders>
              <w:top w:val="nil"/>
              <w:bottom w:val="single" w:sz="4" w:space="0" w:color="auto"/>
            </w:tcBorders>
          </w:tcPr>
          <w:p w:rsidR="00E35632" w:rsidRDefault="00E35632">
            <w:pPr>
              <w:pStyle w:val="ConsPlusNormal"/>
            </w:pPr>
            <w:r>
              <w:t>Дресвяные сильновыветрелые</w:t>
            </w:r>
          </w:p>
        </w:tc>
        <w:tc>
          <w:tcPr>
            <w:tcW w:w="1618" w:type="dxa"/>
            <w:tcBorders>
              <w:top w:val="nil"/>
              <w:bottom w:val="single" w:sz="4" w:space="0" w:color="auto"/>
            </w:tcBorders>
          </w:tcPr>
          <w:p w:rsidR="00E35632" w:rsidRDefault="00E35632">
            <w:pPr>
              <w:pStyle w:val="ConsPlusNormal"/>
              <w:jc w:val="center"/>
            </w:pPr>
            <w:r>
              <w:t>500</w:t>
            </w:r>
          </w:p>
        </w:tc>
        <w:tc>
          <w:tcPr>
            <w:tcW w:w="1570" w:type="dxa"/>
            <w:tcBorders>
              <w:top w:val="nil"/>
              <w:bottom w:val="single" w:sz="4" w:space="0" w:color="auto"/>
            </w:tcBorders>
          </w:tcPr>
          <w:p w:rsidR="00E35632" w:rsidRDefault="00E35632">
            <w:pPr>
              <w:pStyle w:val="ConsPlusNormal"/>
              <w:jc w:val="center"/>
            </w:pPr>
            <w:r>
              <w:t>400</w:t>
            </w:r>
          </w:p>
        </w:tc>
        <w:tc>
          <w:tcPr>
            <w:tcW w:w="1608" w:type="dxa"/>
            <w:tcBorders>
              <w:top w:val="nil"/>
              <w:bottom w:val="single" w:sz="4" w:space="0" w:color="auto"/>
            </w:tcBorders>
          </w:tcPr>
          <w:p w:rsidR="00E35632" w:rsidRDefault="00E35632">
            <w:pPr>
              <w:pStyle w:val="ConsPlusNormal"/>
              <w:jc w:val="center"/>
            </w:pPr>
            <w:r>
              <w:t>400</w:t>
            </w:r>
          </w:p>
        </w:tc>
        <w:tc>
          <w:tcPr>
            <w:tcW w:w="1560" w:type="dxa"/>
            <w:tcBorders>
              <w:top w:val="nil"/>
              <w:bottom w:val="single" w:sz="4" w:space="0" w:color="auto"/>
            </w:tcBorders>
          </w:tcPr>
          <w:p w:rsidR="00E35632" w:rsidRDefault="00E35632">
            <w:pPr>
              <w:pStyle w:val="ConsPlusNormal"/>
              <w:jc w:val="center"/>
            </w:pPr>
            <w:r>
              <w:t>300</w:t>
            </w:r>
          </w:p>
        </w:tc>
      </w:tr>
    </w:tbl>
    <w:p w:rsidR="00E35632" w:rsidRDefault="00E35632">
      <w:pPr>
        <w:pStyle w:val="ConsPlusNormal"/>
        <w:jc w:val="both"/>
      </w:pPr>
    </w:p>
    <w:p w:rsidR="00E35632" w:rsidRDefault="00E35632">
      <w:pPr>
        <w:pStyle w:val="ConsPlusNormal"/>
        <w:jc w:val="right"/>
      </w:pPr>
      <w:r>
        <w:t>Таблица Б.7</w:t>
      </w:r>
    </w:p>
    <w:p w:rsidR="00E35632" w:rsidRDefault="00E35632">
      <w:pPr>
        <w:pStyle w:val="ConsPlusNormal"/>
        <w:jc w:val="both"/>
      </w:pPr>
    </w:p>
    <w:p w:rsidR="00E35632" w:rsidRDefault="00E35632">
      <w:pPr>
        <w:pStyle w:val="ConsPlusNormal"/>
        <w:jc w:val="center"/>
      </w:pPr>
      <w:bookmarkStart w:id="288" w:name="P6357"/>
      <w:bookmarkEnd w:id="288"/>
      <w:r>
        <w:rPr>
          <w:b/>
        </w:rPr>
        <w:t>Расчетные сопротивления</w:t>
      </w:r>
      <w:r>
        <w:t xml:space="preserve"> </w:t>
      </w:r>
      <w:r>
        <w:rPr>
          <w:b/>
          <w:i/>
        </w:rPr>
        <w:t>R</w:t>
      </w:r>
      <w:r>
        <w:rPr>
          <w:b/>
          <w:vertAlign w:val="subscript"/>
        </w:rPr>
        <w:t>0</w:t>
      </w:r>
      <w:r>
        <w:t xml:space="preserve"> </w:t>
      </w:r>
      <w:r>
        <w:rPr>
          <w:b/>
        </w:rPr>
        <w:t>элювиальных песков</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029"/>
        <w:gridCol w:w="3274"/>
        <w:gridCol w:w="2688"/>
      </w:tblGrid>
      <w:tr w:rsidR="00E35632">
        <w:tc>
          <w:tcPr>
            <w:tcW w:w="3029" w:type="dxa"/>
            <w:vAlign w:val="center"/>
          </w:tcPr>
          <w:p w:rsidR="00E35632" w:rsidRDefault="00E35632">
            <w:pPr>
              <w:pStyle w:val="ConsPlusNormal"/>
              <w:jc w:val="center"/>
            </w:pPr>
            <w:r>
              <w:t>Грунты</w:t>
            </w:r>
          </w:p>
        </w:tc>
        <w:tc>
          <w:tcPr>
            <w:tcW w:w="3274" w:type="dxa"/>
            <w:vAlign w:val="center"/>
          </w:tcPr>
          <w:p w:rsidR="00E35632" w:rsidRDefault="00E35632">
            <w:pPr>
              <w:pStyle w:val="ConsPlusNormal"/>
              <w:jc w:val="center"/>
            </w:pPr>
            <w:r>
              <w:t xml:space="preserve">Коэффициент пористости </w:t>
            </w:r>
            <w:r>
              <w:rPr>
                <w:i/>
              </w:rPr>
              <w:t>e</w:t>
            </w:r>
          </w:p>
        </w:tc>
        <w:tc>
          <w:tcPr>
            <w:tcW w:w="2688" w:type="dxa"/>
            <w:vAlign w:val="center"/>
          </w:tcPr>
          <w:p w:rsidR="00E35632" w:rsidRDefault="00E35632">
            <w:pPr>
              <w:pStyle w:val="ConsPlusNormal"/>
              <w:jc w:val="center"/>
            </w:pPr>
            <w:r>
              <w:t xml:space="preserve">Значения </w:t>
            </w:r>
            <w:r>
              <w:rPr>
                <w:i/>
              </w:rPr>
              <w:t>R</w:t>
            </w:r>
            <w:r>
              <w:rPr>
                <w:vertAlign w:val="subscript"/>
              </w:rPr>
              <w:t>0</w:t>
            </w:r>
            <w:r>
              <w:t>, кПа</w:t>
            </w:r>
          </w:p>
        </w:tc>
      </w:tr>
      <w:tr w:rsidR="00E35632">
        <w:tc>
          <w:tcPr>
            <w:tcW w:w="3029" w:type="dxa"/>
            <w:vMerge w:val="restart"/>
          </w:tcPr>
          <w:p w:rsidR="00E35632" w:rsidRDefault="00E35632">
            <w:pPr>
              <w:pStyle w:val="ConsPlusNormal"/>
            </w:pPr>
            <w:r>
              <w:t>Дресвяные независимо от влажности</w:t>
            </w:r>
          </w:p>
        </w:tc>
        <w:tc>
          <w:tcPr>
            <w:tcW w:w="3274" w:type="dxa"/>
          </w:tcPr>
          <w:p w:rsidR="00E35632" w:rsidRDefault="00E35632">
            <w:pPr>
              <w:pStyle w:val="ConsPlusNormal"/>
              <w:jc w:val="center"/>
            </w:pPr>
            <w:r>
              <w:t>0,5</w:t>
            </w:r>
          </w:p>
        </w:tc>
        <w:tc>
          <w:tcPr>
            <w:tcW w:w="2688" w:type="dxa"/>
          </w:tcPr>
          <w:p w:rsidR="00E35632" w:rsidRDefault="00E35632">
            <w:pPr>
              <w:pStyle w:val="ConsPlusNormal"/>
              <w:jc w:val="center"/>
            </w:pPr>
            <w:r>
              <w:t>600</w:t>
            </w:r>
          </w:p>
        </w:tc>
      </w:tr>
      <w:tr w:rsidR="00E35632">
        <w:tc>
          <w:tcPr>
            <w:tcW w:w="0" w:type="auto"/>
            <w:vMerge/>
          </w:tcPr>
          <w:p w:rsidR="00E35632" w:rsidRDefault="00E35632">
            <w:pPr>
              <w:pStyle w:val="ConsPlusNormal"/>
            </w:pPr>
          </w:p>
        </w:tc>
        <w:tc>
          <w:tcPr>
            <w:tcW w:w="3274" w:type="dxa"/>
          </w:tcPr>
          <w:p w:rsidR="00E35632" w:rsidRDefault="00E35632">
            <w:pPr>
              <w:pStyle w:val="ConsPlusNormal"/>
              <w:jc w:val="center"/>
            </w:pPr>
            <w:r>
              <w:t>0,7</w:t>
            </w:r>
          </w:p>
        </w:tc>
        <w:tc>
          <w:tcPr>
            <w:tcW w:w="2688" w:type="dxa"/>
          </w:tcPr>
          <w:p w:rsidR="00E35632" w:rsidRDefault="00E35632">
            <w:pPr>
              <w:pStyle w:val="ConsPlusNormal"/>
              <w:jc w:val="center"/>
            </w:pPr>
            <w:r>
              <w:t>450</w:t>
            </w:r>
          </w:p>
        </w:tc>
      </w:tr>
      <w:tr w:rsidR="00E35632">
        <w:tc>
          <w:tcPr>
            <w:tcW w:w="0" w:type="auto"/>
            <w:vMerge/>
          </w:tcPr>
          <w:p w:rsidR="00E35632" w:rsidRDefault="00E35632">
            <w:pPr>
              <w:pStyle w:val="ConsPlusNormal"/>
            </w:pPr>
          </w:p>
        </w:tc>
        <w:tc>
          <w:tcPr>
            <w:tcW w:w="3274" w:type="dxa"/>
          </w:tcPr>
          <w:p w:rsidR="00E35632" w:rsidRDefault="00E35632">
            <w:pPr>
              <w:pStyle w:val="ConsPlusNormal"/>
              <w:jc w:val="center"/>
            </w:pPr>
            <w:r>
              <w:t>0,9</w:t>
            </w:r>
          </w:p>
        </w:tc>
        <w:tc>
          <w:tcPr>
            <w:tcW w:w="2688" w:type="dxa"/>
          </w:tcPr>
          <w:p w:rsidR="00E35632" w:rsidRDefault="00E35632">
            <w:pPr>
              <w:pStyle w:val="ConsPlusNormal"/>
              <w:jc w:val="center"/>
            </w:pPr>
            <w:r>
              <w:t>300</w:t>
            </w:r>
          </w:p>
        </w:tc>
      </w:tr>
      <w:tr w:rsidR="00E35632">
        <w:tc>
          <w:tcPr>
            <w:tcW w:w="3029" w:type="dxa"/>
            <w:vMerge w:val="restart"/>
          </w:tcPr>
          <w:p w:rsidR="00E35632" w:rsidRDefault="00E35632">
            <w:pPr>
              <w:pStyle w:val="ConsPlusNormal"/>
            </w:pPr>
            <w:r>
              <w:t>Крупные и средней крупности независимо от влажности</w:t>
            </w:r>
          </w:p>
        </w:tc>
        <w:tc>
          <w:tcPr>
            <w:tcW w:w="3274" w:type="dxa"/>
          </w:tcPr>
          <w:p w:rsidR="00E35632" w:rsidRDefault="00E35632">
            <w:pPr>
              <w:pStyle w:val="ConsPlusNormal"/>
              <w:jc w:val="center"/>
            </w:pPr>
            <w:r>
              <w:t>0,5</w:t>
            </w:r>
          </w:p>
        </w:tc>
        <w:tc>
          <w:tcPr>
            <w:tcW w:w="2688" w:type="dxa"/>
          </w:tcPr>
          <w:p w:rsidR="00E35632" w:rsidRDefault="00E35632">
            <w:pPr>
              <w:pStyle w:val="ConsPlusNormal"/>
              <w:jc w:val="center"/>
            </w:pPr>
            <w:r>
              <w:t>500</w:t>
            </w:r>
          </w:p>
        </w:tc>
      </w:tr>
      <w:tr w:rsidR="00E35632">
        <w:tc>
          <w:tcPr>
            <w:tcW w:w="0" w:type="auto"/>
            <w:vMerge/>
          </w:tcPr>
          <w:p w:rsidR="00E35632" w:rsidRDefault="00E35632">
            <w:pPr>
              <w:pStyle w:val="ConsPlusNormal"/>
            </w:pPr>
          </w:p>
        </w:tc>
        <w:tc>
          <w:tcPr>
            <w:tcW w:w="3274" w:type="dxa"/>
          </w:tcPr>
          <w:p w:rsidR="00E35632" w:rsidRDefault="00E35632">
            <w:pPr>
              <w:pStyle w:val="ConsPlusNormal"/>
              <w:jc w:val="center"/>
            </w:pPr>
            <w:r>
              <w:t>0,7</w:t>
            </w:r>
          </w:p>
        </w:tc>
        <w:tc>
          <w:tcPr>
            <w:tcW w:w="2688" w:type="dxa"/>
          </w:tcPr>
          <w:p w:rsidR="00E35632" w:rsidRDefault="00E35632">
            <w:pPr>
              <w:pStyle w:val="ConsPlusNormal"/>
              <w:jc w:val="center"/>
            </w:pPr>
            <w:r>
              <w:t>350</w:t>
            </w:r>
          </w:p>
        </w:tc>
      </w:tr>
      <w:tr w:rsidR="00E35632">
        <w:tc>
          <w:tcPr>
            <w:tcW w:w="0" w:type="auto"/>
            <w:vMerge/>
          </w:tcPr>
          <w:p w:rsidR="00E35632" w:rsidRDefault="00E35632">
            <w:pPr>
              <w:pStyle w:val="ConsPlusNormal"/>
            </w:pPr>
          </w:p>
        </w:tc>
        <w:tc>
          <w:tcPr>
            <w:tcW w:w="3274" w:type="dxa"/>
          </w:tcPr>
          <w:p w:rsidR="00E35632" w:rsidRDefault="00E35632">
            <w:pPr>
              <w:pStyle w:val="ConsPlusNormal"/>
              <w:jc w:val="center"/>
            </w:pPr>
            <w:r>
              <w:t>0,9</w:t>
            </w:r>
          </w:p>
        </w:tc>
        <w:tc>
          <w:tcPr>
            <w:tcW w:w="2688" w:type="dxa"/>
          </w:tcPr>
          <w:p w:rsidR="00E35632" w:rsidRDefault="00E35632">
            <w:pPr>
              <w:pStyle w:val="ConsPlusNormal"/>
              <w:jc w:val="center"/>
            </w:pPr>
            <w:r>
              <w:t>250</w:t>
            </w:r>
          </w:p>
        </w:tc>
      </w:tr>
      <w:tr w:rsidR="00E35632">
        <w:tc>
          <w:tcPr>
            <w:tcW w:w="3029" w:type="dxa"/>
            <w:vMerge w:val="restart"/>
          </w:tcPr>
          <w:p w:rsidR="00E35632" w:rsidRDefault="00E35632">
            <w:pPr>
              <w:pStyle w:val="ConsPlusNormal"/>
            </w:pPr>
            <w:r>
              <w:t>Пылеватые маловлажные и влажные</w:t>
            </w:r>
          </w:p>
        </w:tc>
        <w:tc>
          <w:tcPr>
            <w:tcW w:w="3274" w:type="dxa"/>
          </w:tcPr>
          <w:p w:rsidR="00E35632" w:rsidRDefault="00E35632">
            <w:pPr>
              <w:pStyle w:val="ConsPlusNormal"/>
              <w:jc w:val="center"/>
            </w:pPr>
            <w:r>
              <w:t>0,5</w:t>
            </w:r>
          </w:p>
        </w:tc>
        <w:tc>
          <w:tcPr>
            <w:tcW w:w="2688" w:type="dxa"/>
          </w:tcPr>
          <w:p w:rsidR="00E35632" w:rsidRDefault="00E35632">
            <w:pPr>
              <w:pStyle w:val="ConsPlusNormal"/>
              <w:jc w:val="center"/>
            </w:pPr>
            <w:r>
              <w:t>550</w:t>
            </w:r>
          </w:p>
        </w:tc>
      </w:tr>
      <w:tr w:rsidR="00E35632">
        <w:tc>
          <w:tcPr>
            <w:tcW w:w="0" w:type="auto"/>
            <w:vMerge/>
          </w:tcPr>
          <w:p w:rsidR="00E35632" w:rsidRDefault="00E35632">
            <w:pPr>
              <w:pStyle w:val="ConsPlusNormal"/>
            </w:pPr>
          </w:p>
        </w:tc>
        <w:tc>
          <w:tcPr>
            <w:tcW w:w="3274" w:type="dxa"/>
          </w:tcPr>
          <w:p w:rsidR="00E35632" w:rsidRDefault="00E35632">
            <w:pPr>
              <w:pStyle w:val="ConsPlusNormal"/>
              <w:jc w:val="center"/>
            </w:pPr>
            <w:r>
              <w:t>0,7</w:t>
            </w:r>
          </w:p>
        </w:tc>
        <w:tc>
          <w:tcPr>
            <w:tcW w:w="2688" w:type="dxa"/>
          </w:tcPr>
          <w:p w:rsidR="00E35632" w:rsidRDefault="00E35632">
            <w:pPr>
              <w:pStyle w:val="ConsPlusNormal"/>
              <w:jc w:val="center"/>
            </w:pPr>
            <w:r>
              <w:t>400</w:t>
            </w:r>
          </w:p>
        </w:tc>
      </w:tr>
      <w:tr w:rsidR="00E35632">
        <w:tc>
          <w:tcPr>
            <w:tcW w:w="0" w:type="auto"/>
            <w:vMerge/>
          </w:tcPr>
          <w:p w:rsidR="00E35632" w:rsidRDefault="00E35632">
            <w:pPr>
              <w:pStyle w:val="ConsPlusNormal"/>
            </w:pPr>
          </w:p>
        </w:tc>
        <w:tc>
          <w:tcPr>
            <w:tcW w:w="3274" w:type="dxa"/>
          </w:tcPr>
          <w:p w:rsidR="00E35632" w:rsidRDefault="00E35632">
            <w:pPr>
              <w:pStyle w:val="ConsPlusNormal"/>
              <w:jc w:val="center"/>
            </w:pPr>
            <w:r>
              <w:t>0,9</w:t>
            </w:r>
          </w:p>
        </w:tc>
        <w:tc>
          <w:tcPr>
            <w:tcW w:w="2688" w:type="dxa"/>
          </w:tcPr>
          <w:p w:rsidR="00E35632" w:rsidRDefault="00E35632">
            <w:pPr>
              <w:pStyle w:val="ConsPlusNormal"/>
              <w:jc w:val="center"/>
            </w:pPr>
            <w:r>
              <w:t>300</w:t>
            </w:r>
          </w:p>
        </w:tc>
      </w:tr>
      <w:tr w:rsidR="00E35632">
        <w:tc>
          <w:tcPr>
            <w:tcW w:w="0" w:type="auto"/>
            <w:vMerge/>
          </w:tcPr>
          <w:p w:rsidR="00E35632" w:rsidRDefault="00E35632">
            <w:pPr>
              <w:pStyle w:val="ConsPlusNormal"/>
            </w:pPr>
          </w:p>
        </w:tc>
        <w:tc>
          <w:tcPr>
            <w:tcW w:w="3274" w:type="dxa"/>
          </w:tcPr>
          <w:p w:rsidR="00E35632" w:rsidRDefault="00E35632">
            <w:pPr>
              <w:pStyle w:val="ConsPlusNormal"/>
              <w:jc w:val="center"/>
            </w:pPr>
            <w:r>
              <w:t>1,1</w:t>
            </w:r>
          </w:p>
        </w:tc>
        <w:tc>
          <w:tcPr>
            <w:tcW w:w="2688" w:type="dxa"/>
          </w:tcPr>
          <w:p w:rsidR="00E35632" w:rsidRDefault="00E35632">
            <w:pPr>
              <w:pStyle w:val="ConsPlusNormal"/>
              <w:jc w:val="center"/>
            </w:pPr>
            <w:r>
              <w:t>200</w:t>
            </w:r>
          </w:p>
        </w:tc>
      </w:tr>
      <w:tr w:rsidR="00E35632">
        <w:tc>
          <w:tcPr>
            <w:tcW w:w="8991" w:type="dxa"/>
            <w:gridSpan w:val="3"/>
          </w:tcPr>
          <w:p w:rsidR="00E35632" w:rsidRDefault="00E35632">
            <w:pPr>
              <w:pStyle w:val="ConsPlusNormal"/>
              <w:ind w:firstLine="283"/>
              <w:jc w:val="both"/>
            </w:pPr>
            <w:r>
              <w:t>Примечания</w:t>
            </w:r>
          </w:p>
          <w:p w:rsidR="00E35632" w:rsidRDefault="00E35632">
            <w:pPr>
              <w:pStyle w:val="ConsPlusNormal"/>
              <w:ind w:firstLine="283"/>
              <w:jc w:val="both"/>
            </w:pPr>
            <w:r>
              <w:t xml:space="preserve">1 Приведенные значения </w:t>
            </w:r>
            <w:r>
              <w:rPr>
                <w:i/>
              </w:rPr>
              <w:t>R</w:t>
            </w:r>
            <w:r>
              <w:rPr>
                <w:vertAlign w:val="subscript"/>
              </w:rPr>
              <w:t>0</w:t>
            </w:r>
            <w:r>
              <w:t xml:space="preserve"> относятся к элювиальным пескам, образованным при выветривании магматических кварцесодержащих пород и осадочных сцементированных песчаников.</w:t>
            </w:r>
          </w:p>
          <w:p w:rsidR="00E35632" w:rsidRDefault="00E35632">
            <w:pPr>
              <w:pStyle w:val="ConsPlusNormal"/>
              <w:ind w:firstLine="283"/>
              <w:jc w:val="both"/>
            </w:pPr>
            <w:r>
              <w:t xml:space="preserve">2 Для пылеватых песков, насыщенных водой, значения </w:t>
            </w:r>
            <w:r>
              <w:rPr>
                <w:i/>
              </w:rPr>
              <w:t>R</w:t>
            </w:r>
            <w:r>
              <w:rPr>
                <w:vertAlign w:val="subscript"/>
              </w:rPr>
              <w:t>0</w:t>
            </w:r>
            <w:r>
              <w:t xml:space="preserve"> принимают с коэффициентом 0,8 к соответствующим значениям </w:t>
            </w:r>
            <w:r>
              <w:rPr>
                <w:i/>
              </w:rPr>
              <w:t>e</w:t>
            </w:r>
            <w:r>
              <w:t>.</w:t>
            </w:r>
          </w:p>
        </w:tc>
      </w:tr>
    </w:tbl>
    <w:p w:rsidR="00E35632" w:rsidRDefault="00E35632">
      <w:pPr>
        <w:pStyle w:val="ConsPlusNormal"/>
        <w:jc w:val="both"/>
      </w:pPr>
    </w:p>
    <w:p w:rsidR="00E35632" w:rsidRDefault="00E35632">
      <w:pPr>
        <w:pStyle w:val="ConsPlusNormal"/>
        <w:jc w:val="right"/>
      </w:pPr>
      <w:r>
        <w:t>Таблица Б.8</w:t>
      </w:r>
    </w:p>
    <w:p w:rsidR="00E35632" w:rsidRDefault="00E35632">
      <w:pPr>
        <w:pStyle w:val="ConsPlusNormal"/>
        <w:jc w:val="both"/>
      </w:pPr>
    </w:p>
    <w:p w:rsidR="00E35632" w:rsidRDefault="00E35632">
      <w:pPr>
        <w:pStyle w:val="ConsPlusNormal"/>
        <w:jc w:val="center"/>
      </w:pPr>
      <w:bookmarkStart w:id="289" w:name="P6391"/>
      <w:bookmarkEnd w:id="289"/>
      <w:r>
        <w:rPr>
          <w:b/>
        </w:rPr>
        <w:t>Расчетные сопротивления</w:t>
      </w:r>
      <w:r>
        <w:t xml:space="preserve"> </w:t>
      </w:r>
      <w:r>
        <w:rPr>
          <w:b/>
          <w:i/>
        </w:rPr>
        <w:t>R</w:t>
      </w:r>
      <w:r>
        <w:rPr>
          <w:b/>
          <w:vertAlign w:val="subscript"/>
        </w:rPr>
        <w:t>0</w:t>
      </w:r>
      <w:r>
        <w:t xml:space="preserve"> </w:t>
      </w:r>
      <w:r>
        <w:rPr>
          <w:b/>
        </w:rPr>
        <w:t>элювиальных глинистых грунтов</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165"/>
        <w:gridCol w:w="2136"/>
        <w:gridCol w:w="2376"/>
        <w:gridCol w:w="2376"/>
      </w:tblGrid>
      <w:tr w:rsidR="00E35632">
        <w:tc>
          <w:tcPr>
            <w:tcW w:w="2165" w:type="dxa"/>
            <w:vMerge w:val="restart"/>
            <w:tcBorders>
              <w:top w:val="single" w:sz="4" w:space="0" w:color="auto"/>
              <w:bottom w:val="single" w:sz="4" w:space="0" w:color="auto"/>
            </w:tcBorders>
            <w:vAlign w:val="center"/>
          </w:tcPr>
          <w:p w:rsidR="00E35632" w:rsidRDefault="00E35632">
            <w:pPr>
              <w:pStyle w:val="ConsPlusNormal"/>
              <w:jc w:val="center"/>
            </w:pPr>
            <w:r>
              <w:t>Грунты</w:t>
            </w:r>
          </w:p>
        </w:tc>
        <w:tc>
          <w:tcPr>
            <w:tcW w:w="2136" w:type="dxa"/>
            <w:vMerge w:val="restart"/>
            <w:tcBorders>
              <w:top w:val="single" w:sz="4" w:space="0" w:color="auto"/>
              <w:bottom w:val="single" w:sz="4" w:space="0" w:color="auto"/>
            </w:tcBorders>
            <w:vAlign w:val="center"/>
          </w:tcPr>
          <w:p w:rsidR="00E35632" w:rsidRDefault="00E35632">
            <w:pPr>
              <w:pStyle w:val="ConsPlusNormal"/>
              <w:jc w:val="center"/>
            </w:pPr>
            <w:r>
              <w:t xml:space="preserve">Коэффициент пористости </w:t>
            </w:r>
            <w:r>
              <w:rPr>
                <w:i/>
              </w:rPr>
              <w:t>e</w:t>
            </w:r>
          </w:p>
        </w:tc>
        <w:tc>
          <w:tcPr>
            <w:tcW w:w="4752" w:type="dxa"/>
            <w:gridSpan w:val="2"/>
            <w:tcBorders>
              <w:top w:val="single" w:sz="4" w:space="0" w:color="auto"/>
              <w:bottom w:val="single" w:sz="4" w:space="0" w:color="auto"/>
            </w:tcBorders>
            <w:vAlign w:val="center"/>
          </w:tcPr>
          <w:p w:rsidR="00E35632" w:rsidRDefault="00E35632">
            <w:pPr>
              <w:pStyle w:val="ConsPlusNormal"/>
              <w:jc w:val="center"/>
            </w:pPr>
            <w:r>
              <w:t xml:space="preserve">Значения </w:t>
            </w:r>
            <w:r>
              <w:rPr>
                <w:i/>
              </w:rPr>
              <w:t>R</w:t>
            </w:r>
            <w:r>
              <w:rPr>
                <w:vertAlign w:val="subscript"/>
              </w:rPr>
              <w:t>0</w:t>
            </w:r>
            <w:r>
              <w:t xml:space="preserve">, кПа, при показателе текучести </w:t>
            </w:r>
            <w:r>
              <w:rPr>
                <w:i/>
              </w:rPr>
              <w:t>I</w:t>
            </w:r>
            <w:r>
              <w:rPr>
                <w:i/>
                <w:vertAlign w:val="subscript"/>
              </w:rPr>
              <w:t>L</w:t>
            </w:r>
            <w:r>
              <w:t>, равном</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2376" w:type="dxa"/>
            <w:tcBorders>
              <w:top w:val="single" w:sz="4" w:space="0" w:color="auto"/>
              <w:bottom w:val="single" w:sz="4" w:space="0" w:color="auto"/>
            </w:tcBorders>
            <w:vAlign w:val="center"/>
          </w:tcPr>
          <w:p w:rsidR="00E35632" w:rsidRDefault="00E35632">
            <w:pPr>
              <w:pStyle w:val="ConsPlusNormal"/>
              <w:jc w:val="center"/>
            </w:pPr>
            <w:r>
              <w:rPr>
                <w:i/>
              </w:rPr>
              <w:t>I</w:t>
            </w:r>
            <w:r>
              <w:rPr>
                <w:i/>
                <w:vertAlign w:val="subscript"/>
              </w:rPr>
              <w:t>L</w:t>
            </w:r>
            <w:r>
              <w:t xml:space="preserve"> = 0</w:t>
            </w:r>
          </w:p>
        </w:tc>
        <w:tc>
          <w:tcPr>
            <w:tcW w:w="2376" w:type="dxa"/>
            <w:tcBorders>
              <w:top w:val="single" w:sz="4" w:space="0" w:color="auto"/>
              <w:bottom w:val="single" w:sz="4" w:space="0" w:color="auto"/>
            </w:tcBorders>
            <w:vAlign w:val="center"/>
          </w:tcPr>
          <w:p w:rsidR="00E35632" w:rsidRDefault="00E35632">
            <w:pPr>
              <w:pStyle w:val="ConsPlusNormal"/>
              <w:jc w:val="center"/>
            </w:pPr>
            <w:r>
              <w:rPr>
                <w:i/>
              </w:rPr>
              <w:t>I</w:t>
            </w:r>
            <w:r>
              <w:rPr>
                <w:i/>
                <w:vertAlign w:val="subscript"/>
              </w:rPr>
              <w:t>L</w:t>
            </w:r>
            <w:r>
              <w:t xml:space="preserve"> = 1</w:t>
            </w:r>
          </w:p>
        </w:tc>
      </w:tr>
      <w:tr w:rsidR="00E35632">
        <w:tc>
          <w:tcPr>
            <w:tcW w:w="2165" w:type="dxa"/>
            <w:vMerge w:val="restart"/>
            <w:tcBorders>
              <w:top w:val="single" w:sz="4" w:space="0" w:color="auto"/>
              <w:bottom w:val="single" w:sz="4" w:space="0" w:color="auto"/>
            </w:tcBorders>
          </w:tcPr>
          <w:p w:rsidR="00E35632" w:rsidRDefault="00E35632">
            <w:pPr>
              <w:pStyle w:val="ConsPlusNormal"/>
            </w:pPr>
            <w:r>
              <w:t>Супеси</w:t>
            </w:r>
          </w:p>
        </w:tc>
        <w:tc>
          <w:tcPr>
            <w:tcW w:w="2136" w:type="dxa"/>
            <w:tcBorders>
              <w:top w:val="single" w:sz="4" w:space="0" w:color="auto"/>
              <w:bottom w:val="nil"/>
            </w:tcBorders>
          </w:tcPr>
          <w:p w:rsidR="00E35632" w:rsidRDefault="00E35632">
            <w:pPr>
              <w:pStyle w:val="ConsPlusNormal"/>
              <w:jc w:val="center"/>
            </w:pPr>
            <w:r>
              <w:t>0,5</w:t>
            </w:r>
          </w:p>
        </w:tc>
        <w:tc>
          <w:tcPr>
            <w:tcW w:w="2376" w:type="dxa"/>
            <w:tcBorders>
              <w:top w:val="single" w:sz="4" w:space="0" w:color="auto"/>
              <w:bottom w:val="nil"/>
            </w:tcBorders>
          </w:tcPr>
          <w:p w:rsidR="00E35632" w:rsidRDefault="00E35632">
            <w:pPr>
              <w:pStyle w:val="ConsPlusNormal"/>
              <w:jc w:val="center"/>
            </w:pPr>
            <w:r>
              <w:t>300</w:t>
            </w:r>
          </w:p>
        </w:tc>
        <w:tc>
          <w:tcPr>
            <w:tcW w:w="2376" w:type="dxa"/>
            <w:tcBorders>
              <w:top w:val="single" w:sz="4" w:space="0" w:color="auto"/>
              <w:bottom w:val="nil"/>
            </w:tcBorders>
          </w:tcPr>
          <w:p w:rsidR="00E35632" w:rsidRDefault="00E35632">
            <w:pPr>
              <w:pStyle w:val="ConsPlusNormal"/>
              <w:jc w:val="center"/>
            </w:pPr>
            <w:r>
              <w:t>250</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2136" w:type="dxa"/>
            <w:tcBorders>
              <w:top w:val="nil"/>
              <w:bottom w:val="single" w:sz="4" w:space="0" w:color="auto"/>
            </w:tcBorders>
          </w:tcPr>
          <w:p w:rsidR="00E35632" w:rsidRDefault="00E35632">
            <w:pPr>
              <w:pStyle w:val="ConsPlusNormal"/>
              <w:jc w:val="center"/>
            </w:pPr>
            <w:r>
              <w:t>0,7</w:t>
            </w:r>
          </w:p>
        </w:tc>
        <w:tc>
          <w:tcPr>
            <w:tcW w:w="2376" w:type="dxa"/>
            <w:tcBorders>
              <w:top w:val="nil"/>
              <w:bottom w:val="single" w:sz="4" w:space="0" w:color="auto"/>
            </w:tcBorders>
          </w:tcPr>
          <w:p w:rsidR="00E35632" w:rsidRDefault="00E35632">
            <w:pPr>
              <w:pStyle w:val="ConsPlusNormal"/>
              <w:jc w:val="center"/>
            </w:pPr>
            <w:r>
              <w:t>250</w:t>
            </w:r>
          </w:p>
        </w:tc>
        <w:tc>
          <w:tcPr>
            <w:tcW w:w="2376" w:type="dxa"/>
            <w:tcBorders>
              <w:top w:val="nil"/>
              <w:bottom w:val="single" w:sz="4" w:space="0" w:color="auto"/>
            </w:tcBorders>
          </w:tcPr>
          <w:p w:rsidR="00E35632" w:rsidRDefault="00E35632">
            <w:pPr>
              <w:pStyle w:val="ConsPlusNormal"/>
              <w:jc w:val="center"/>
            </w:pPr>
            <w:r>
              <w:t>200</w:t>
            </w:r>
          </w:p>
        </w:tc>
      </w:tr>
      <w:tr w:rsidR="00E35632">
        <w:tc>
          <w:tcPr>
            <w:tcW w:w="2165" w:type="dxa"/>
            <w:vMerge w:val="restart"/>
            <w:tcBorders>
              <w:top w:val="single" w:sz="4" w:space="0" w:color="auto"/>
              <w:bottom w:val="single" w:sz="4" w:space="0" w:color="auto"/>
            </w:tcBorders>
          </w:tcPr>
          <w:p w:rsidR="00E35632" w:rsidRDefault="00E35632">
            <w:pPr>
              <w:pStyle w:val="ConsPlusNormal"/>
            </w:pPr>
            <w:r>
              <w:t>Суглинки</w:t>
            </w:r>
          </w:p>
        </w:tc>
        <w:tc>
          <w:tcPr>
            <w:tcW w:w="2136" w:type="dxa"/>
            <w:tcBorders>
              <w:top w:val="single" w:sz="4" w:space="0" w:color="auto"/>
              <w:bottom w:val="nil"/>
            </w:tcBorders>
          </w:tcPr>
          <w:p w:rsidR="00E35632" w:rsidRDefault="00E35632">
            <w:pPr>
              <w:pStyle w:val="ConsPlusNormal"/>
              <w:jc w:val="center"/>
            </w:pPr>
            <w:r>
              <w:t>0,5</w:t>
            </w:r>
          </w:p>
        </w:tc>
        <w:tc>
          <w:tcPr>
            <w:tcW w:w="2376" w:type="dxa"/>
            <w:tcBorders>
              <w:top w:val="single" w:sz="4" w:space="0" w:color="auto"/>
              <w:bottom w:val="nil"/>
            </w:tcBorders>
          </w:tcPr>
          <w:p w:rsidR="00E35632" w:rsidRDefault="00E35632">
            <w:pPr>
              <w:pStyle w:val="ConsPlusNormal"/>
              <w:jc w:val="center"/>
            </w:pPr>
            <w:r>
              <w:t>300</w:t>
            </w:r>
          </w:p>
        </w:tc>
        <w:tc>
          <w:tcPr>
            <w:tcW w:w="2376" w:type="dxa"/>
            <w:tcBorders>
              <w:top w:val="single" w:sz="4" w:space="0" w:color="auto"/>
              <w:bottom w:val="nil"/>
            </w:tcBorders>
          </w:tcPr>
          <w:p w:rsidR="00E35632" w:rsidRDefault="00E35632">
            <w:pPr>
              <w:pStyle w:val="ConsPlusNormal"/>
              <w:jc w:val="center"/>
            </w:pPr>
            <w:r>
              <w:t>250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2136" w:type="dxa"/>
            <w:tcBorders>
              <w:top w:val="nil"/>
              <w:bottom w:val="nil"/>
            </w:tcBorders>
          </w:tcPr>
          <w:p w:rsidR="00E35632" w:rsidRDefault="00E35632">
            <w:pPr>
              <w:pStyle w:val="ConsPlusNormal"/>
              <w:jc w:val="center"/>
            </w:pPr>
            <w:r>
              <w:t>0,7</w:t>
            </w:r>
          </w:p>
        </w:tc>
        <w:tc>
          <w:tcPr>
            <w:tcW w:w="2376" w:type="dxa"/>
            <w:tcBorders>
              <w:top w:val="nil"/>
              <w:bottom w:val="nil"/>
            </w:tcBorders>
          </w:tcPr>
          <w:p w:rsidR="00E35632" w:rsidRDefault="00E35632">
            <w:pPr>
              <w:pStyle w:val="ConsPlusNormal"/>
              <w:jc w:val="center"/>
            </w:pPr>
            <w:r>
              <w:t>250</w:t>
            </w:r>
          </w:p>
        </w:tc>
        <w:tc>
          <w:tcPr>
            <w:tcW w:w="2376" w:type="dxa"/>
            <w:tcBorders>
              <w:top w:val="nil"/>
              <w:bottom w:val="nil"/>
            </w:tcBorders>
          </w:tcPr>
          <w:p w:rsidR="00E35632" w:rsidRDefault="00E35632">
            <w:pPr>
              <w:pStyle w:val="ConsPlusNormal"/>
              <w:jc w:val="center"/>
            </w:pPr>
            <w:r>
              <w:t>180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2136" w:type="dxa"/>
            <w:tcBorders>
              <w:top w:val="nil"/>
              <w:bottom w:val="nil"/>
            </w:tcBorders>
          </w:tcPr>
          <w:p w:rsidR="00E35632" w:rsidRDefault="00E35632">
            <w:pPr>
              <w:pStyle w:val="ConsPlusNormal"/>
              <w:jc w:val="center"/>
            </w:pPr>
            <w:r>
              <w:t>0,9</w:t>
            </w:r>
          </w:p>
        </w:tc>
        <w:tc>
          <w:tcPr>
            <w:tcW w:w="2376" w:type="dxa"/>
            <w:tcBorders>
              <w:top w:val="nil"/>
              <w:bottom w:val="nil"/>
            </w:tcBorders>
          </w:tcPr>
          <w:p w:rsidR="00E35632" w:rsidRDefault="00E35632">
            <w:pPr>
              <w:pStyle w:val="ConsPlusNormal"/>
              <w:jc w:val="center"/>
            </w:pPr>
            <w:r>
              <w:t>200</w:t>
            </w:r>
          </w:p>
        </w:tc>
        <w:tc>
          <w:tcPr>
            <w:tcW w:w="2376" w:type="dxa"/>
            <w:tcBorders>
              <w:top w:val="nil"/>
              <w:bottom w:val="nil"/>
            </w:tcBorders>
          </w:tcPr>
          <w:p w:rsidR="00E35632" w:rsidRDefault="00E35632">
            <w:pPr>
              <w:pStyle w:val="ConsPlusNormal"/>
              <w:jc w:val="center"/>
            </w:pPr>
            <w:r>
              <w:t>130</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2136" w:type="dxa"/>
            <w:tcBorders>
              <w:top w:val="nil"/>
              <w:bottom w:val="single" w:sz="4" w:space="0" w:color="auto"/>
            </w:tcBorders>
          </w:tcPr>
          <w:p w:rsidR="00E35632" w:rsidRDefault="00E35632">
            <w:pPr>
              <w:pStyle w:val="ConsPlusNormal"/>
              <w:jc w:val="center"/>
            </w:pPr>
            <w:r>
              <w:t>1,1</w:t>
            </w:r>
          </w:p>
        </w:tc>
        <w:tc>
          <w:tcPr>
            <w:tcW w:w="2376" w:type="dxa"/>
            <w:tcBorders>
              <w:top w:val="nil"/>
              <w:bottom w:val="single" w:sz="4" w:space="0" w:color="auto"/>
            </w:tcBorders>
          </w:tcPr>
          <w:p w:rsidR="00E35632" w:rsidRDefault="00E35632">
            <w:pPr>
              <w:pStyle w:val="ConsPlusNormal"/>
              <w:jc w:val="center"/>
            </w:pPr>
            <w:r>
              <w:t>150</w:t>
            </w:r>
          </w:p>
        </w:tc>
        <w:tc>
          <w:tcPr>
            <w:tcW w:w="2376" w:type="dxa"/>
            <w:tcBorders>
              <w:top w:val="nil"/>
              <w:bottom w:val="single" w:sz="4" w:space="0" w:color="auto"/>
            </w:tcBorders>
          </w:tcPr>
          <w:p w:rsidR="00E35632" w:rsidRDefault="00E35632">
            <w:pPr>
              <w:pStyle w:val="ConsPlusNormal"/>
              <w:jc w:val="center"/>
            </w:pPr>
            <w:r>
              <w:t>100</w:t>
            </w:r>
          </w:p>
        </w:tc>
      </w:tr>
      <w:tr w:rsidR="00E35632">
        <w:tc>
          <w:tcPr>
            <w:tcW w:w="2165" w:type="dxa"/>
            <w:vMerge w:val="restart"/>
            <w:tcBorders>
              <w:top w:val="single" w:sz="4" w:space="0" w:color="auto"/>
              <w:bottom w:val="single" w:sz="4" w:space="0" w:color="auto"/>
            </w:tcBorders>
          </w:tcPr>
          <w:p w:rsidR="00E35632" w:rsidRDefault="00E35632">
            <w:pPr>
              <w:pStyle w:val="ConsPlusNormal"/>
            </w:pPr>
            <w:r>
              <w:t>Глины</w:t>
            </w:r>
          </w:p>
        </w:tc>
        <w:tc>
          <w:tcPr>
            <w:tcW w:w="2136" w:type="dxa"/>
            <w:tcBorders>
              <w:top w:val="single" w:sz="4" w:space="0" w:color="auto"/>
              <w:bottom w:val="nil"/>
            </w:tcBorders>
          </w:tcPr>
          <w:p w:rsidR="00E35632" w:rsidRDefault="00E35632">
            <w:pPr>
              <w:pStyle w:val="ConsPlusNormal"/>
              <w:jc w:val="center"/>
            </w:pPr>
            <w:r>
              <w:t>0,6</w:t>
            </w:r>
          </w:p>
        </w:tc>
        <w:tc>
          <w:tcPr>
            <w:tcW w:w="2376" w:type="dxa"/>
            <w:tcBorders>
              <w:top w:val="single" w:sz="4" w:space="0" w:color="auto"/>
              <w:bottom w:val="nil"/>
            </w:tcBorders>
          </w:tcPr>
          <w:p w:rsidR="00E35632" w:rsidRDefault="00E35632">
            <w:pPr>
              <w:pStyle w:val="ConsPlusNormal"/>
              <w:jc w:val="center"/>
            </w:pPr>
            <w:r>
              <w:t>500</w:t>
            </w:r>
          </w:p>
        </w:tc>
        <w:tc>
          <w:tcPr>
            <w:tcW w:w="2376" w:type="dxa"/>
            <w:tcBorders>
              <w:top w:val="single" w:sz="4" w:space="0" w:color="auto"/>
              <w:bottom w:val="nil"/>
            </w:tcBorders>
          </w:tcPr>
          <w:p w:rsidR="00E35632" w:rsidRDefault="00E35632">
            <w:pPr>
              <w:pStyle w:val="ConsPlusNormal"/>
              <w:jc w:val="center"/>
            </w:pPr>
            <w:r>
              <w:t>300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2136" w:type="dxa"/>
            <w:tcBorders>
              <w:top w:val="nil"/>
              <w:bottom w:val="nil"/>
            </w:tcBorders>
          </w:tcPr>
          <w:p w:rsidR="00E35632" w:rsidRDefault="00E35632">
            <w:pPr>
              <w:pStyle w:val="ConsPlusNormal"/>
              <w:jc w:val="center"/>
            </w:pPr>
            <w:r>
              <w:t>0,8</w:t>
            </w:r>
          </w:p>
        </w:tc>
        <w:tc>
          <w:tcPr>
            <w:tcW w:w="2376" w:type="dxa"/>
            <w:tcBorders>
              <w:top w:val="nil"/>
              <w:bottom w:val="nil"/>
            </w:tcBorders>
          </w:tcPr>
          <w:p w:rsidR="00E35632" w:rsidRDefault="00E35632">
            <w:pPr>
              <w:pStyle w:val="ConsPlusNormal"/>
              <w:jc w:val="center"/>
            </w:pPr>
            <w:r>
              <w:t>300</w:t>
            </w:r>
          </w:p>
        </w:tc>
        <w:tc>
          <w:tcPr>
            <w:tcW w:w="2376" w:type="dxa"/>
            <w:tcBorders>
              <w:top w:val="nil"/>
              <w:bottom w:val="nil"/>
            </w:tcBorders>
          </w:tcPr>
          <w:p w:rsidR="00E35632" w:rsidRDefault="00E35632">
            <w:pPr>
              <w:pStyle w:val="ConsPlusNormal"/>
              <w:jc w:val="center"/>
            </w:pPr>
            <w:r>
              <w:t>200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2136" w:type="dxa"/>
            <w:tcBorders>
              <w:top w:val="nil"/>
              <w:bottom w:val="nil"/>
            </w:tcBorders>
          </w:tcPr>
          <w:p w:rsidR="00E35632" w:rsidRDefault="00E35632">
            <w:pPr>
              <w:pStyle w:val="ConsPlusNormal"/>
              <w:jc w:val="center"/>
            </w:pPr>
            <w:r>
              <w:t>1,1</w:t>
            </w:r>
          </w:p>
        </w:tc>
        <w:tc>
          <w:tcPr>
            <w:tcW w:w="2376" w:type="dxa"/>
            <w:tcBorders>
              <w:top w:val="nil"/>
              <w:bottom w:val="nil"/>
            </w:tcBorders>
          </w:tcPr>
          <w:p w:rsidR="00E35632" w:rsidRDefault="00E35632">
            <w:pPr>
              <w:pStyle w:val="ConsPlusNormal"/>
              <w:jc w:val="center"/>
            </w:pPr>
            <w:r>
              <w:t>250</w:t>
            </w:r>
          </w:p>
        </w:tc>
        <w:tc>
          <w:tcPr>
            <w:tcW w:w="2376" w:type="dxa"/>
            <w:tcBorders>
              <w:top w:val="nil"/>
              <w:bottom w:val="nil"/>
            </w:tcBorders>
          </w:tcPr>
          <w:p w:rsidR="00E35632" w:rsidRDefault="00E35632">
            <w:pPr>
              <w:pStyle w:val="ConsPlusNormal"/>
              <w:jc w:val="center"/>
            </w:pPr>
            <w:r>
              <w:t>150</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2136" w:type="dxa"/>
            <w:tcBorders>
              <w:top w:val="nil"/>
              <w:bottom w:val="single" w:sz="4" w:space="0" w:color="auto"/>
            </w:tcBorders>
          </w:tcPr>
          <w:p w:rsidR="00E35632" w:rsidRDefault="00E35632">
            <w:pPr>
              <w:pStyle w:val="ConsPlusNormal"/>
              <w:jc w:val="center"/>
            </w:pPr>
            <w:r>
              <w:t>1,25</w:t>
            </w:r>
          </w:p>
        </w:tc>
        <w:tc>
          <w:tcPr>
            <w:tcW w:w="2376" w:type="dxa"/>
            <w:tcBorders>
              <w:top w:val="nil"/>
              <w:bottom w:val="single" w:sz="4" w:space="0" w:color="auto"/>
            </w:tcBorders>
          </w:tcPr>
          <w:p w:rsidR="00E35632" w:rsidRDefault="00E35632">
            <w:pPr>
              <w:pStyle w:val="ConsPlusNormal"/>
              <w:jc w:val="center"/>
            </w:pPr>
            <w:r>
              <w:t>200</w:t>
            </w:r>
          </w:p>
        </w:tc>
        <w:tc>
          <w:tcPr>
            <w:tcW w:w="2376" w:type="dxa"/>
            <w:tcBorders>
              <w:top w:val="nil"/>
              <w:bottom w:val="single" w:sz="4" w:space="0" w:color="auto"/>
            </w:tcBorders>
          </w:tcPr>
          <w:p w:rsidR="00E35632" w:rsidRDefault="00E35632">
            <w:pPr>
              <w:pStyle w:val="ConsPlusNormal"/>
              <w:jc w:val="center"/>
            </w:pPr>
            <w:r>
              <w:t>100</w:t>
            </w:r>
          </w:p>
        </w:tc>
      </w:tr>
      <w:tr w:rsidR="00E35632">
        <w:tc>
          <w:tcPr>
            <w:tcW w:w="9053" w:type="dxa"/>
            <w:gridSpan w:val="4"/>
            <w:tcBorders>
              <w:top w:val="single" w:sz="4" w:space="0" w:color="auto"/>
              <w:bottom w:val="single" w:sz="4" w:space="0" w:color="auto"/>
            </w:tcBorders>
          </w:tcPr>
          <w:p w:rsidR="00E35632" w:rsidRDefault="00E35632">
            <w:pPr>
              <w:pStyle w:val="ConsPlusNormal"/>
              <w:ind w:firstLine="283"/>
              <w:jc w:val="both"/>
            </w:pPr>
            <w:r>
              <w:t xml:space="preserve">Примечание - Приведенные значения </w:t>
            </w:r>
            <w:r>
              <w:rPr>
                <w:i/>
              </w:rPr>
              <w:t>R</w:t>
            </w:r>
            <w:r>
              <w:rPr>
                <w:vertAlign w:val="subscript"/>
              </w:rPr>
              <w:t>0</w:t>
            </w:r>
            <w:r>
              <w:t xml:space="preserve"> относятся к элювиальным глинистым слабоструктурным грунтам, образованным при выветривании магматических пород. Для глинистых аргиллито-алевролитовых грунтов значения </w:t>
            </w:r>
            <w:r>
              <w:rPr>
                <w:i/>
              </w:rPr>
              <w:t>R</w:t>
            </w:r>
            <w:r>
              <w:rPr>
                <w:vertAlign w:val="subscript"/>
              </w:rPr>
              <w:t>0</w:t>
            </w:r>
            <w:r>
              <w:t xml:space="preserve"> принимают с коэффициентом 0,9.</w:t>
            </w:r>
          </w:p>
        </w:tc>
      </w:tr>
    </w:tbl>
    <w:p w:rsidR="00E35632" w:rsidRDefault="00E35632">
      <w:pPr>
        <w:pStyle w:val="ConsPlusNormal"/>
        <w:jc w:val="both"/>
      </w:pPr>
    </w:p>
    <w:p w:rsidR="00E35632" w:rsidRDefault="00E35632">
      <w:pPr>
        <w:pStyle w:val="ConsPlusNormal"/>
        <w:jc w:val="right"/>
      </w:pPr>
      <w:r>
        <w:t>Таблица Б.9</w:t>
      </w:r>
    </w:p>
    <w:p w:rsidR="00E35632" w:rsidRDefault="00E35632">
      <w:pPr>
        <w:pStyle w:val="ConsPlusNormal"/>
        <w:jc w:val="both"/>
      </w:pPr>
    </w:p>
    <w:p w:rsidR="00E35632" w:rsidRDefault="00E35632">
      <w:pPr>
        <w:pStyle w:val="ConsPlusNormal"/>
        <w:jc w:val="center"/>
      </w:pPr>
      <w:bookmarkStart w:id="290" w:name="P6435"/>
      <w:bookmarkEnd w:id="290"/>
      <w:r>
        <w:rPr>
          <w:b/>
        </w:rPr>
        <w:t>Расчетные сопротивления</w:t>
      </w:r>
      <w:r>
        <w:t xml:space="preserve"> </w:t>
      </w:r>
      <w:r>
        <w:rPr>
          <w:b/>
          <w:i/>
        </w:rPr>
        <w:t>R</w:t>
      </w:r>
      <w:r>
        <w:rPr>
          <w:b/>
          <w:vertAlign w:val="subscript"/>
        </w:rPr>
        <w:t>0</w:t>
      </w:r>
      <w:r>
        <w:t xml:space="preserve"> </w:t>
      </w:r>
      <w:r>
        <w:rPr>
          <w:b/>
        </w:rPr>
        <w:t>насыпных грунтов</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73"/>
        <w:gridCol w:w="1430"/>
        <w:gridCol w:w="1577"/>
        <w:gridCol w:w="1428"/>
        <w:gridCol w:w="1452"/>
      </w:tblGrid>
      <w:tr w:rsidR="00E35632">
        <w:tc>
          <w:tcPr>
            <w:tcW w:w="3173" w:type="dxa"/>
            <w:vMerge w:val="restart"/>
            <w:vAlign w:val="center"/>
          </w:tcPr>
          <w:p w:rsidR="00E35632" w:rsidRDefault="00E35632">
            <w:pPr>
              <w:pStyle w:val="ConsPlusNormal"/>
              <w:jc w:val="center"/>
            </w:pPr>
            <w:r>
              <w:t>Характеристики насыпи</w:t>
            </w:r>
          </w:p>
        </w:tc>
        <w:tc>
          <w:tcPr>
            <w:tcW w:w="5887" w:type="dxa"/>
            <w:gridSpan w:val="4"/>
            <w:vAlign w:val="center"/>
          </w:tcPr>
          <w:p w:rsidR="00E35632" w:rsidRDefault="00E35632">
            <w:pPr>
              <w:pStyle w:val="ConsPlusNormal"/>
              <w:jc w:val="center"/>
            </w:pPr>
            <w:r>
              <w:t xml:space="preserve">Значения </w:t>
            </w:r>
            <w:r>
              <w:rPr>
                <w:i/>
              </w:rPr>
              <w:t>R</w:t>
            </w:r>
            <w:r>
              <w:rPr>
                <w:vertAlign w:val="subscript"/>
              </w:rPr>
              <w:t>0</w:t>
            </w:r>
            <w:r>
              <w:t>, кПа</w:t>
            </w:r>
          </w:p>
        </w:tc>
      </w:tr>
      <w:tr w:rsidR="00E35632">
        <w:tc>
          <w:tcPr>
            <w:tcW w:w="0" w:type="auto"/>
            <w:vMerge/>
          </w:tcPr>
          <w:p w:rsidR="00E35632" w:rsidRDefault="00E35632">
            <w:pPr>
              <w:pStyle w:val="ConsPlusNormal"/>
            </w:pPr>
          </w:p>
        </w:tc>
        <w:tc>
          <w:tcPr>
            <w:tcW w:w="3007" w:type="dxa"/>
            <w:gridSpan w:val="2"/>
            <w:vAlign w:val="center"/>
          </w:tcPr>
          <w:p w:rsidR="00E35632" w:rsidRDefault="00E35632">
            <w:pPr>
              <w:pStyle w:val="ConsPlusNormal"/>
              <w:jc w:val="center"/>
            </w:pPr>
            <w:r>
              <w:t xml:space="preserve">Пески крупные, средней крупности и мелкие, шлаки и т.п. при коэффициенте водонасыщения </w:t>
            </w:r>
            <w:r>
              <w:rPr>
                <w:i/>
              </w:rPr>
              <w:t>S</w:t>
            </w:r>
            <w:r>
              <w:rPr>
                <w:i/>
                <w:vertAlign w:val="subscript"/>
              </w:rPr>
              <w:t>r</w:t>
            </w:r>
          </w:p>
        </w:tc>
        <w:tc>
          <w:tcPr>
            <w:tcW w:w="2880" w:type="dxa"/>
            <w:gridSpan w:val="2"/>
            <w:vAlign w:val="center"/>
          </w:tcPr>
          <w:p w:rsidR="00E35632" w:rsidRDefault="00E35632">
            <w:pPr>
              <w:pStyle w:val="ConsPlusNormal"/>
              <w:jc w:val="center"/>
            </w:pPr>
            <w:r>
              <w:t xml:space="preserve">Пески пылеватые, супеси, суглинки, глины, золы и т.п. при коэффициенте водонасыщения </w:t>
            </w:r>
            <w:r>
              <w:rPr>
                <w:i/>
              </w:rPr>
              <w:t>S</w:t>
            </w:r>
            <w:r>
              <w:rPr>
                <w:i/>
                <w:vertAlign w:val="subscript"/>
              </w:rPr>
              <w:t>r</w:t>
            </w:r>
          </w:p>
        </w:tc>
      </w:tr>
      <w:tr w:rsidR="00E35632">
        <w:tc>
          <w:tcPr>
            <w:tcW w:w="0" w:type="auto"/>
            <w:vMerge/>
          </w:tcPr>
          <w:p w:rsidR="00E35632" w:rsidRDefault="00E35632">
            <w:pPr>
              <w:pStyle w:val="ConsPlusNormal"/>
            </w:pPr>
          </w:p>
        </w:tc>
        <w:tc>
          <w:tcPr>
            <w:tcW w:w="1430" w:type="dxa"/>
            <w:vAlign w:val="center"/>
          </w:tcPr>
          <w:p w:rsidR="00E35632" w:rsidRDefault="00E35632">
            <w:pPr>
              <w:pStyle w:val="ConsPlusNormal"/>
              <w:jc w:val="center"/>
            </w:pPr>
            <w:r>
              <w:rPr>
                <w:i/>
              </w:rPr>
              <w:t>S</w:t>
            </w:r>
            <w:r>
              <w:rPr>
                <w:i/>
                <w:vertAlign w:val="subscript"/>
              </w:rPr>
              <w:t>r</w:t>
            </w:r>
            <w:r>
              <w:t xml:space="preserve"> &lt;= 0,5</w:t>
            </w:r>
          </w:p>
        </w:tc>
        <w:tc>
          <w:tcPr>
            <w:tcW w:w="1577" w:type="dxa"/>
            <w:vAlign w:val="center"/>
          </w:tcPr>
          <w:p w:rsidR="00E35632" w:rsidRDefault="00E35632">
            <w:pPr>
              <w:pStyle w:val="ConsPlusNormal"/>
              <w:jc w:val="center"/>
            </w:pPr>
            <w:r>
              <w:rPr>
                <w:i/>
              </w:rPr>
              <w:t>S</w:t>
            </w:r>
            <w:r>
              <w:rPr>
                <w:i/>
                <w:vertAlign w:val="subscript"/>
              </w:rPr>
              <w:t>r</w:t>
            </w:r>
            <w:r>
              <w:t xml:space="preserve"> &gt;= 0,8</w:t>
            </w:r>
          </w:p>
        </w:tc>
        <w:tc>
          <w:tcPr>
            <w:tcW w:w="1428" w:type="dxa"/>
            <w:vAlign w:val="center"/>
          </w:tcPr>
          <w:p w:rsidR="00E35632" w:rsidRDefault="00E35632">
            <w:pPr>
              <w:pStyle w:val="ConsPlusNormal"/>
              <w:jc w:val="center"/>
            </w:pPr>
            <w:r>
              <w:rPr>
                <w:i/>
              </w:rPr>
              <w:t>S</w:t>
            </w:r>
            <w:r>
              <w:rPr>
                <w:i/>
                <w:vertAlign w:val="subscript"/>
              </w:rPr>
              <w:t>r</w:t>
            </w:r>
            <w:r>
              <w:t xml:space="preserve"> &lt;= 0,5</w:t>
            </w:r>
          </w:p>
        </w:tc>
        <w:tc>
          <w:tcPr>
            <w:tcW w:w="1452" w:type="dxa"/>
            <w:vAlign w:val="center"/>
          </w:tcPr>
          <w:p w:rsidR="00E35632" w:rsidRDefault="00E35632">
            <w:pPr>
              <w:pStyle w:val="ConsPlusNormal"/>
              <w:jc w:val="center"/>
            </w:pPr>
            <w:r>
              <w:rPr>
                <w:i/>
              </w:rPr>
              <w:t>S</w:t>
            </w:r>
            <w:r>
              <w:rPr>
                <w:i/>
                <w:vertAlign w:val="subscript"/>
              </w:rPr>
              <w:t>r</w:t>
            </w:r>
            <w:r>
              <w:t xml:space="preserve"> &gt;= 0,8</w:t>
            </w:r>
          </w:p>
        </w:tc>
      </w:tr>
      <w:tr w:rsidR="00E35632">
        <w:tc>
          <w:tcPr>
            <w:tcW w:w="3173" w:type="dxa"/>
          </w:tcPr>
          <w:p w:rsidR="00E35632" w:rsidRDefault="00E35632">
            <w:pPr>
              <w:pStyle w:val="ConsPlusNormal"/>
            </w:pPr>
            <w:r>
              <w:t>Насыпи, планомерно возведенные с уплотнением</w:t>
            </w:r>
          </w:p>
        </w:tc>
        <w:tc>
          <w:tcPr>
            <w:tcW w:w="1430" w:type="dxa"/>
            <w:vAlign w:val="bottom"/>
          </w:tcPr>
          <w:p w:rsidR="00E35632" w:rsidRDefault="00E35632">
            <w:pPr>
              <w:pStyle w:val="ConsPlusNormal"/>
              <w:jc w:val="center"/>
            </w:pPr>
            <w:r>
              <w:t>250</w:t>
            </w:r>
          </w:p>
        </w:tc>
        <w:tc>
          <w:tcPr>
            <w:tcW w:w="1577" w:type="dxa"/>
            <w:vAlign w:val="bottom"/>
          </w:tcPr>
          <w:p w:rsidR="00E35632" w:rsidRDefault="00E35632">
            <w:pPr>
              <w:pStyle w:val="ConsPlusNormal"/>
              <w:jc w:val="center"/>
            </w:pPr>
            <w:r>
              <w:t>200</w:t>
            </w:r>
          </w:p>
        </w:tc>
        <w:tc>
          <w:tcPr>
            <w:tcW w:w="1428" w:type="dxa"/>
            <w:vAlign w:val="bottom"/>
          </w:tcPr>
          <w:p w:rsidR="00E35632" w:rsidRDefault="00E35632">
            <w:pPr>
              <w:pStyle w:val="ConsPlusNormal"/>
              <w:jc w:val="center"/>
            </w:pPr>
            <w:r>
              <w:t>180</w:t>
            </w:r>
          </w:p>
        </w:tc>
        <w:tc>
          <w:tcPr>
            <w:tcW w:w="1452" w:type="dxa"/>
            <w:vAlign w:val="bottom"/>
          </w:tcPr>
          <w:p w:rsidR="00E35632" w:rsidRDefault="00E35632">
            <w:pPr>
              <w:pStyle w:val="ConsPlusNormal"/>
              <w:jc w:val="center"/>
            </w:pPr>
            <w:r>
              <w:t>150</w:t>
            </w:r>
          </w:p>
        </w:tc>
      </w:tr>
      <w:tr w:rsidR="00E35632">
        <w:tblPrEx>
          <w:tblBorders>
            <w:insideH w:val="nil"/>
          </w:tblBorders>
        </w:tblPrEx>
        <w:tc>
          <w:tcPr>
            <w:tcW w:w="3173" w:type="dxa"/>
            <w:tcBorders>
              <w:bottom w:val="nil"/>
            </w:tcBorders>
          </w:tcPr>
          <w:p w:rsidR="00E35632" w:rsidRDefault="00E35632">
            <w:pPr>
              <w:pStyle w:val="ConsPlusNormal"/>
            </w:pPr>
            <w:r>
              <w:t>Отвалы грунтов и отходов производств:</w:t>
            </w:r>
          </w:p>
        </w:tc>
        <w:tc>
          <w:tcPr>
            <w:tcW w:w="1430" w:type="dxa"/>
            <w:tcBorders>
              <w:bottom w:val="nil"/>
            </w:tcBorders>
            <w:vAlign w:val="bottom"/>
          </w:tcPr>
          <w:p w:rsidR="00E35632" w:rsidRDefault="00E35632">
            <w:pPr>
              <w:pStyle w:val="ConsPlusNormal"/>
            </w:pPr>
          </w:p>
        </w:tc>
        <w:tc>
          <w:tcPr>
            <w:tcW w:w="1577" w:type="dxa"/>
            <w:tcBorders>
              <w:bottom w:val="nil"/>
            </w:tcBorders>
            <w:vAlign w:val="bottom"/>
          </w:tcPr>
          <w:p w:rsidR="00E35632" w:rsidRDefault="00E35632">
            <w:pPr>
              <w:pStyle w:val="ConsPlusNormal"/>
            </w:pPr>
          </w:p>
        </w:tc>
        <w:tc>
          <w:tcPr>
            <w:tcW w:w="1428" w:type="dxa"/>
            <w:tcBorders>
              <w:bottom w:val="nil"/>
            </w:tcBorders>
            <w:vAlign w:val="bottom"/>
          </w:tcPr>
          <w:p w:rsidR="00E35632" w:rsidRDefault="00E35632">
            <w:pPr>
              <w:pStyle w:val="ConsPlusNormal"/>
            </w:pPr>
          </w:p>
        </w:tc>
        <w:tc>
          <w:tcPr>
            <w:tcW w:w="1452" w:type="dxa"/>
            <w:tcBorders>
              <w:bottom w:val="nil"/>
            </w:tcBorders>
            <w:vAlign w:val="bottom"/>
          </w:tcPr>
          <w:p w:rsidR="00E35632" w:rsidRDefault="00E35632">
            <w:pPr>
              <w:pStyle w:val="ConsPlusNormal"/>
            </w:pPr>
          </w:p>
        </w:tc>
      </w:tr>
      <w:tr w:rsidR="00E35632">
        <w:tblPrEx>
          <w:tblBorders>
            <w:insideH w:val="nil"/>
          </w:tblBorders>
        </w:tblPrEx>
        <w:tc>
          <w:tcPr>
            <w:tcW w:w="3173" w:type="dxa"/>
            <w:tcBorders>
              <w:top w:val="nil"/>
              <w:bottom w:val="nil"/>
            </w:tcBorders>
          </w:tcPr>
          <w:p w:rsidR="00E35632" w:rsidRDefault="00E35632">
            <w:pPr>
              <w:pStyle w:val="ConsPlusNormal"/>
            </w:pPr>
            <w:r>
              <w:t>с уплотнением</w:t>
            </w:r>
          </w:p>
        </w:tc>
        <w:tc>
          <w:tcPr>
            <w:tcW w:w="1430" w:type="dxa"/>
            <w:tcBorders>
              <w:top w:val="nil"/>
              <w:bottom w:val="nil"/>
            </w:tcBorders>
            <w:vAlign w:val="bottom"/>
          </w:tcPr>
          <w:p w:rsidR="00E35632" w:rsidRDefault="00E35632">
            <w:pPr>
              <w:pStyle w:val="ConsPlusNormal"/>
              <w:jc w:val="center"/>
            </w:pPr>
            <w:r>
              <w:t>250</w:t>
            </w:r>
          </w:p>
        </w:tc>
        <w:tc>
          <w:tcPr>
            <w:tcW w:w="1577" w:type="dxa"/>
            <w:tcBorders>
              <w:top w:val="nil"/>
              <w:bottom w:val="nil"/>
            </w:tcBorders>
            <w:vAlign w:val="bottom"/>
          </w:tcPr>
          <w:p w:rsidR="00E35632" w:rsidRDefault="00E35632">
            <w:pPr>
              <w:pStyle w:val="ConsPlusNormal"/>
              <w:jc w:val="center"/>
            </w:pPr>
            <w:r>
              <w:t>200</w:t>
            </w:r>
          </w:p>
        </w:tc>
        <w:tc>
          <w:tcPr>
            <w:tcW w:w="1428" w:type="dxa"/>
            <w:tcBorders>
              <w:top w:val="nil"/>
              <w:bottom w:val="nil"/>
            </w:tcBorders>
            <w:vAlign w:val="bottom"/>
          </w:tcPr>
          <w:p w:rsidR="00E35632" w:rsidRDefault="00E35632">
            <w:pPr>
              <w:pStyle w:val="ConsPlusNormal"/>
              <w:jc w:val="center"/>
            </w:pPr>
            <w:r>
              <w:t>180</w:t>
            </w:r>
          </w:p>
        </w:tc>
        <w:tc>
          <w:tcPr>
            <w:tcW w:w="1452" w:type="dxa"/>
            <w:tcBorders>
              <w:top w:val="nil"/>
              <w:bottom w:val="nil"/>
            </w:tcBorders>
            <w:vAlign w:val="bottom"/>
          </w:tcPr>
          <w:p w:rsidR="00E35632" w:rsidRDefault="00E35632">
            <w:pPr>
              <w:pStyle w:val="ConsPlusNormal"/>
              <w:jc w:val="center"/>
            </w:pPr>
            <w:r>
              <w:t>150</w:t>
            </w:r>
          </w:p>
        </w:tc>
      </w:tr>
      <w:tr w:rsidR="00E35632">
        <w:tblPrEx>
          <w:tblBorders>
            <w:insideH w:val="nil"/>
          </w:tblBorders>
        </w:tblPrEx>
        <w:tc>
          <w:tcPr>
            <w:tcW w:w="3173" w:type="dxa"/>
            <w:tcBorders>
              <w:top w:val="nil"/>
            </w:tcBorders>
          </w:tcPr>
          <w:p w:rsidR="00E35632" w:rsidRDefault="00E35632">
            <w:pPr>
              <w:pStyle w:val="ConsPlusNormal"/>
            </w:pPr>
            <w:r>
              <w:t>без уплотнения</w:t>
            </w:r>
          </w:p>
        </w:tc>
        <w:tc>
          <w:tcPr>
            <w:tcW w:w="1430" w:type="dxa"/>
            <w:tcBorders>
              <w:top w:val="nil"/>
            </w:tcBorders>
            <w:vAlign w:val="bottom"/>
          </w:tcPr>
          <w:p w:rsidR="00E35632" w:rsidRDefault="00E35632">
            <w:pPr>
              <w:pStyle w:val="ConsPlusNormal"/>
              <w:jc w:val="center"/>
            </w:pPr>
            <w:r>
              <w:t>180</w:t>
            </w:r>
          </w:p>
        </w:tc>
        <w:tc>
          <w:tcPr>
            <w:tcW w:w="1577" w:type="dxa"/>
            <w:tcBorders>
              <w:top w:val="nil"/>
            </w:tcBorders>
            <w:vAlign w:val="bottom"/>
          </w:tcPr>
          <w:p w:rsidR="00E35632" w:rsidRDefault="00E35632">
            <w:pPr>
              <w:pStyle w:val="ConsPlusNormal"/>
              <w:jc w:val="center"/>
            </w:pPr>
            <w:r>
              <w:t>150</w:t>
            </w:r>
          </w:p>
        </w:tc>
        <w:tc>
          <w:tcPr>
            <w:tcW w:w="1428" w:type="dxa"/>
            <w:tcBorders>
              <w:top w:val="nil"/>
            </w:tcBorders>
            <w:vAlign w:val="bottom"/>
          </w:tcPr>
          <w:p w:rsidR="00E35632" w:rsidRDefault="00E35632">
            <w:pPr>
              <w:pStyle w:val="ConsPlusNormal"/>
              <w:jc w:val="center"/>
            </w:pPr>
            <w:r>
              <w:t>120</w:t>
            </w:r>
          </w:p>
        </w:tc>
        <w:tc>
          <w:tcPr>
            <w:tcW w:w="1452" w:type="dxa"/>
            <w:tcBorders>
              <w:top w:val="nil"/>
            </w:tcBorders>
            <w:vAlign w:val="bottom"/>
          </w:tcPr>
          <w:p w:rsidR="00E35632" w:rsidRDefault="00E35632">
            <w:pPr>
              <w:pStyle w:val="ConsPlusNormal"/>
              <w:jc w:val="center"/>
            </w:pPr>
            <w:r>
              <w:t>100</w:t>
            </w:r>
          </w:p>
        </w:tc>
      </w:tr>
      <w:tr w:rsidR="00E35632">
        <w:tblPrEx>
          <w:tblBorders>
            <w:insideH w:val="nil"/>
          </w:tblBorders>
        </w:tblPrEx>
        <w:tc>
          <w:tcPr>
            <w:tcW w:w="3173" w:type="dxa"/>
            <w:tcBorders>
              <w:bottom w:val="nil"/>
            </w:tcBorders>
          </w:tcPr>
          <w:p w:rsidR="00E35632" w:rsidRDefault="00E35632">
            <w:pPr>
              <w:pStyle w:val="ConsPlusNormal"/>
            </w:pPr>
            <w:r>
              <w:t>Свалки грунтов и отходов производств:</w:t>
            </w:r>
          </w:p>
        </w:tc>
        <w:tc>
          <w:tcPr>
            <w:tcW w:w="1430" w:type="dxa"/>
            <w:tcBorders>
              <w:bottom w:val="nil"/>
            </w:tcBorders>
            <w:vAlign w:val="bottom"/>
          </w:tcPr>
          <w:p w:rsidR="00E35632" w:rsidRDefault="00E35632">
            <w:pPr>
              <w:pStyle w:val="ConsPlusNormal"/>
            </w:pPr>
          </w:p>
        </w:tc>
        <w:tc>
          <w:tcPr>
            <w:tcW w:w="1577" w:type="dxa"/>
            <w:tcBorders>
              <w:bottom w:val="nil"/>
            </w:tcBorders>
            <w:vAlign w:val="bottom"/>
          </w:tcPr>
          <w:p w:rsidR="00E35632" w:rsidRDefault="00E35632">
            <w:pPr>
              <w:pStyle w:val="ConsPlusNormal"/>
            </w:pPr>
          </w:p>
        </w:tc>
        <w:tc>
          <w:tcPr>
            <w:tcW w:w="1428" w:type="dxa"/>
            <w:tcBorders>
              <w:bottom w:val="nil"/>
            </w:tcBorders>
            <w:vAlign w:val="bottom"/>
          </w:tcPr>
          <w:p w:rsidR="00E35632" w:rsidRDefault="00E35632">
            <w:pPr>
              <w:pStyle w:val="ConsPlusNormal"/>
            </w:pPr>
          </w:p>
        </w:tc>
        <w:tc>
          <w:tcPr>
            <w:tcW w:w="1452" w:type="dxa"/>
            <w:tcBorders>
              <w:bottom w:val="nil"/>
            </w:tcBorders>
            <w:vAlign w:val="bottom"/>
          </w:tcPr>
          <w:p w:rsidR="00E35632" w:rsidRDefault="00E35632">
            <w:pPr>
              <w:pStyle w:val="ConsPlusNormal"/>
            </w:pPr>
          </w:p>
        </w:tc>
      </w:tr>
      <w:tr w:rsidR="00E35632">
        <w:tblPrEx>
          <w:tblBorders>
            <w:insideH w:val="nil"/>
          </w:tblBorders>
        </w:tblPrEx>
        <w:tc>
          <w:tcPr>
            <w:tcW w:w="3173" w:type="dxa"/>
            <w:tcBorders>
              <w:top w:val="nil"/>
              <w:bottom w:val="nil"/>
            </w:tcBorders>
          </w:tcPr>
          <w:p w:rsidR="00E35632" w:rsidRDefault="00E35632">
            <w:pPr>
              <w:pStyle w:val="ConsPlusNormal"/>
            </w:pPr>
            <w:r>
              <w:t>с уплотнением</w:t>
            </w:r>
          </w:p>
        </w:tc>
        <w:tc>
          <w:tcPr>
            <w:tcW w:w="1430" w:type="dxa"/>
            <w:tcBorders>
              <w:top w:val="nil"/>
              <w:bottom w:val="nil"/>
            </w:tcBorders>
            <w:vAlign w:val="bottom"/>
          </w:tcPr>
          <w:p w:rsidR="00E35632" w:rsidRDefault="00E35632">
            <w:pPr>
              <w:pStyle w:val="ConsPlusNormal"/>
              <w:jc w:val="center"/>
            </w:pPr>
            <w:r>
              <w:t>150</w:t>
            </w:r>
          </w:p>
        </w:tc>
        <w:tc>
          <w:tcPr>
            <w:tcW w:w="1577" w:type="dxa"/>
            <w:tcBorders>
              <w:top w:val="nil"/>
              <w:bottom w:val="nil"/>
            </w:tcBorders>
            <w:vAlign w:val="bottom"/>
          </w:tcPr>
          <w:p w:rsidR="00E35632" w:rsidRDefault="00E35632">
            <w:pPr>
              <w:pStyle w:val="ConsPlusNormal"/>
              <w:jc w:val="center"/>
            </w:pPr>
            <w:r>
              <w:t>120</w:t>
            </w:r>
          </w:p>
        </w:tc>
        <w:tc>
          <w:tcPr>
            <w:tcW w:w="1428" w:type="dxa"/>
            <w:tcBorders>
              <w:top w:val="nil"/>
              <w:bottom w:val="nil"/>
            </w:tcBorders>
            <w:vAlign w:val="bottom"/>
          </w:tcPr>
          <w:p w:rsidR="00E35632" w:rsidRDefault="00E35632">
            <w:pPr>
              <w:pStyle w:val="ConsPlusNormal"/>
              <w:jc w:val="center"/>
            </w:pPr>
            <w:r>
              <w:t>120</w:t>
            </w:r>
          </w:p>
        </w:tc>
        <w:tc>
          <w:tcPr>
            <w:tcW w:w="1452" w:type="dxa"/>
            <w:tcBorders>
              <w:top w:val="nil"/>
              <w:bottom w:val="nil"/>
            </w:tcBorders>
            <w:vAlign w:val="bottom"/>
          </w:tcPr>
          <w:p w:rsidR="00E35632" w:rsidRDefault="00E35632">
            <w:pPr>
              <w:pStyle w:val="ConsPlusNormal"/>
              <w:jc w:val="center"/>
            </w:pPr>
            <w:r>
              <w:t>100</w:t>
            </w:r>
          </w:p>
        </w:tc>
      </w:tr>
      <w:tr w:rsidR="00E35632">
        <w:tblPrEx>
          <w:tblBorders>
            <w:insideH w:val="nil"/>
          </w:tblBorders>
        </w:tblPrEx>
        <w:tc>
          <w:tcPr>
            <w:tcW w:w="3173" w:type="dxa"/>
            <w:tcBorders>
              <w:top w:val="nil"/>
            </w:tcBorders>
          </w:tcPr>
          <w:p w:rsidR="00E35632" w:rsidRDefault="00E35632">
            <w:pPr>
              <w:pStyle w:val="ConsPlusNormal"/>
            </w:pPr>
            <w:r>
              <w:t>без уплотнения</w:t>
            </w:r>
          </w:p>
        </w:tc>
        <w:tc>
          <w:tcPr>
            <w:tcW w:w="1430" w:type="dxa"/>
            <w:tcBorders>
              <w:top w:val="nil"/>
            </w:tcBorders>
            <w:vAlign w:val="bottom"/>
          </w:tcPr>
          <w:p w:rsidR="00E35632" w:rsidRDefault="00E35632">
            <w:pPr>
              <w:pStyle w:val="ConsPlusNormal"/>
              <w:jc w:val="center"/>
            </w:pPr>
            <w:r>
              <w:t>120</w:t>
            </w:r>
          </w:p>
        </w:tc>
        <w:tc>
          <w:tcPr>
            <w:tcW w:w="1577" w:type="dxa"/>
            <w:tcBorders>
              <w:top w:val="nil"/>
            </w:tcBorders>
            <w:vAlign w:val="bottom"/>
          </w:tcPr>
          <w:p w:rsidR="00E35632" w:rsidRDefault="00E35632">
            <w:pPr>
              <w:pStyle w:val="ConsPlusNormal"/>
              <w:jc w:val="center"/>
            </w:pPr>
            <w:r>
              <w:t>100</w:t>
            </w:r>
          </w:p>
        </w:tc>
        <w:tc>
          <w:tcPr>
            <w:tcW w:w="1428" w:type="dxa"/>
            <w:tcBorders>
              <w:top w:val="nil"/>
            </w:tcBorders>
            <w:vAlign w:val="bottom"/>
          </w:tcPr>
          <w:p w:rsidR="00E35632" w:rsidRDefault="00E35632">
            <w:pPr>
              <w:pStyle w:val="ConsPlusNormal"/>
              <w:jc w:val="center"/>
            </w:pPr>
            <w:r>
              <w:t>100</w:t>
            </w:r>
          </w:p>
        </w:tc>
        <w:tc>
          <w:tcPr>
            <w:tcW w:w="1452" w:type="dxa"/>
            <w:tcBorders>
              <w:top w:val="nil"/>
            </w:tcBorders>
            <w:vAlign w:val="bottom"/>
          </w:tcPr>
          <w:p w:rsidR="00E35632" w:rsidRDefault="00E35632">
            <w:pPr>
              <w:pStyle w:val="ConsPlusNormal"/>
              <w:jc w:val="center"/>
            </w:pPr>
            <w:r>
              <w:t>80</w:t>
            </w:r>
          </w:p>
        </w:tc>
      </w:tr>
      <w:tr w:rsidR="00E35632">
        <w:tc>
          <w:tcPr>
            <w:tcW w:w="9060" w:type="dxa"/>
            <w:gridSpan w:val="5"/>
          </w:tcPr>
          <w:p w:rsidR="00E35632" w:rsidRDefault="00E35632">
            <w:pPr>
              <w:pStyle w:val="ConsPlusNormal"/>
              <w:ind w:firstLine="283"/>
              <w:jc w:val="both"/>
            </w:pPr>
            <w:r>
              <w:t>Примечания</w:t>
            </w:r>
          </w:p>
          <w:p w:rsidR="00E35632" w:rsidRDefault="00E35632">
            <w:pPr>
              <w:pStyle w:val="ConsPlusNormal"/>
              <w:ind w:firstLine="283"/>
              <w:jc w:val="both"/>
            </w:pPr>
            <w:r>
              <w:t xml:space="preserve">1 Значения </w:t>
            </w:r>
            <w:r>
              <w:rPr>
                <w:i/>
              </w:rPr>
              <w:t>R</w:t>
            </w:r>
            <w:r>
              <w:rPr>
                <w:vertAlign w:val="subscript"/>
              </w:rPr>
              <w:t>0</w:t>
            </w:r>
            <w:r>
              <w:t xml:space="preserve"> относятся к насыпным грунтам с содержанием органических веществ </w:t>
            </w:r>
            <w:r>
              <w:rPr>
                <w:i/>
              </w:rPr>
              <w:t>I</w:t>
            </w:r>
            <w:r>
              <w:rPr>
                <w:i/>
                <w:vertAlign w:val="subscript"/>
              </w:rPr>
              <w:t>r</w:t>
            </w:r>
            <w:r>
              <w:t xml:space="preserve"> &lt;= 0,1.</w:t>
            </w:r>
          </w:p>
          <w:p w:rsidR="00E35632" w:rsidRDefault="00E35632">
            <w:pPr>
              <w:pStyle w:val="ConsPlusNormal"/>
              <w:ind w:firstLine="283"/>
              <w:jc w:val="both"/>
            </w:pPr>
            <w:r>
              <w:t xml:space="preserve">2 Для неслежавшихся отвалов и свалок грунтов и отходов производств значения </w:t>
            </w:r>
            <w:r>
              <w:rPr>
                <w:i/>
              </w:rPr>
              <w:t>R</w:t>
            </w:r>
            <w:r>
              <w:rPr>
                <w:vertAlign w:val="subscript"/>
              </w:rPr>
              <w:t>0</w:t>
            </w:r>
            <w:r>
              <w:t xml:space="preserve"> принимают с коэффициентом 0,8.</w:t>
            </w:r>
          </w:p>
        </w:tc>
      </w:tr>
    </w:tbl>
    <w:p w:rsidR="00E35632" w:rsidRDefault="00E35632">
      <w:pPr>
        <w:pStyle w:val="ConsPlusNormal"/>
        <w:jc w:val="both"/>
      </w:pPr>
    </w:p>
    <w:p w:rsidR="00E35632" w:rsidRDefault="00E35632">
      <w:pPr>
        <w:pStyle w:val="ConsPlusNormal"/>
        <w:jc w:val="right"/>
      </w:pPr>
      <w:r>
        <w:t>Таблица Б.10</w:t>
      </w:r>
    </w:p>
    <w:p w:rsidR="00E35632" w:rsidRDefault="00E35632">
      <w:pPr>
        <w:pStyle w:val="ConsPlusNormal"/>
        <w:jc w:val="both"/>
      </w:pPr>
    </w:p>
    <w:p w:rsidR="00E35632" w:rsidRDefault="00E35632">
      <w:pPr>
        <w:pStyle w:val="ConsPlusNormal"/>
        <w:jc w:val="center"/>
      </w:pPr>
      <w:bookmarkStart w:id="291" w:name="P6486"/>
      <w:bookmarkEnd w:id="291"/>
      <w:r>
        <w:rPr>
          <w:b/>
        </w:rPr>
        <w:t>Расчетные сопротивления грунтов обратной</w:t>
      </w:r>
    </w:p>
    <w:p w:rsidR="00E35632" w:rsidRDefault="00E35632">
      <w:pPr>
        <w:pStyle w:val="ConsPlusNormal"/>
        <w:jc w:val="center"/>
      </w:pPr>
      <w:r>
        <w:rPr>
          <w:b/>
        </w:rPr>
        <w:t>засыпки</w:t>
      </w:r>
      <w:r>
        <w:t xml:space="preserve"> </w:t>
      </w:r>
      <w:r>
        <w:rPr>
          <w:b/>
          <w:i/>
        </w:rPr>
        <w:t>R</w:t>
      </w:r>
      <w:r>
        <w:rPr>
          <w:b/>
          <w:vertAlign w:val="subscript"/>
        </w:rPr>
        <w:t>0</w:t>
      </w:r>
      <w:r>
        <w:t xml:space="preserve"> </w:t>
      </w:r>
      <w:r>
        <w:rPr>
          <w:b/>
        </w:rPr>
        <w:t>для выдергиваемых фундаментов</w:t>
      </w:r>
    </w:p>
    <w:p w:rsidR="00E35632" w:rsidRDefault="00E35632">
      <w:pPr>
        <w:pStyle w:val="ConsPlusNormal"/>
        <w:jc w:val="center"/>
      </w:pPr>
      <w:r>
        <w:rPr>
          <w:b/>
        </w:rPr>
        <w:t>опор воздушных линий электропередачи</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740"/>
        <w:gridCol w:w="1718"/>
        <w:gridCol w:w="2002"/>
        <w:gridCol w:w="1713"/>
        <w:gridCol w:w="1887"/>
      </w:tblGrid>
      <w:tr w:rsidR="00E35632">
        <w:tc>
          <w:tcPr>
            <w:tcW w:w="1740" w:type="dxa"/>
            <w:vMerge w:val="restart"/>
            <w:vAlign w:val="center"/>
          </w:tcPr>
          <w:p w:rsidR="00E35632" w:rsidRDefault="00E35632">
            <w:pPr>
              <w:pStyle w:val="ConsPlusNormal"/>
              <w:jc w:val="center"/>
            </w:pPr>
            <w:r>
              <w:t>Относительное заглубление фундамента </w:t>
            </w:r>
            <w:r>
              <w:rPr>
                <w:noProof/>
                <w:position w:val="-3"/>
              </w:rPr>
              <w:drawing>
                <wp:inline distT="0" distB="0" distL="0" distR="0">
                  <wp:extent cx="605790" cy="182880"/>
                  <wp:effectExtent l="0" t="0" r="0" b="0"/>
                  <wp:docPr id="6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605790" cy="182880"/>
                          </a:xfrm>
                          <a:prstGeom prst="rect">
                            <a:avLst/>
                          </a:prstGeom>
                          <a:noFill/>
                          <a:ln>
                            <a:noFill/>
                          </a:ln>
                        </pic:spPr>
                      </pic:pic>
                    </a:graphicData>
                  </a:graphic>
                </wp:inline>
              </w:drawing>
            </w:r>
          </w:p>
        </w:tc>
        <w:tc>
          <w:tcPr>
            <w:tcW w:w="7320" w:type="dxa"/>
            <w:gridSpan w:val="4"/>
            <w:vAlign w:val="center"/>
          </w:tcPr>
          <w:p w:rsidR="00E35632" w:rsidRDefault="00E35632">
            <w:pPr>
              <w:pStyle w:val="ConsPlusNormal"/>
              <w:jc w:val="center"/>
            </w:pPr>
            <w:r>
              <w:t xml:space="preserve">Значения </w:t>
            </w:r>
            <w:r>
              <w:rPr>
                <w:i/>
              </w:rPr>
              <w:t>R</w:t>
            </w:r>
            <w:r>
              <w:rPr>
                <w:vertAlign w:val="subscript"/>
              </w:rPr>
              <w:t>0</w:t>
            </w:r>
            <w:r>
              <w:t>, кПа</w:t>
            </w:r>
          </w:p>
        </w:tc>
      </w:tr>
      <w:tr w:rsidR="00E35632">
        <w:tc>
          <w:tcPr>
            <w:tcW w:w="0" w:type="auto"/>
            <w:vMerge/>
          </w:tcPr>
          <w:p w:rsidR="00E35632" w:rsidRDefault="00E35632">
            <w:pPr>
              <w:pStyle w:val="ConsPlusNormal"/>
            </w:pPr>
          </w:p>
        </w:tc>
        <w:tc>
          <w:tcPr>
            <w:tcW w:w="3720" w:type="dxa"/>
            <w:gridSpan w:val="2"/>
            <w:vAlign w:val="center"/>
          </w:tcPr>
          <w:p w:rsidR="00E35632" w:rsidRDefault="00E35632">
            <w:pPr>
              <w:pStyle w:val="ConsPlusNormal"/>
              <w:jc w:val="center"/>
            </w:pPr>
            <w:r>
              <w:t xml:space="preserve">Глинистые грунты при показателе текучести </w:t>
            </w:r>
            <w:r>
              <w:rPr>
                <w:i/>
              </w:rPr>
              <w:t>I</w:t>
            </w:r>
            <w:r>
              <w:rPr>
                <w:i/>
                <w:vertAlign w:val="subscript"/>
              </w:rPr>
              <w:t>L</w:t>
            </w:r>
            <w:r>
              <w:t xml:space="preserve"> &lt;= 0,5 и плотности грунта обратной засыпки, т/м</w:t>
            </w:r>
            <w:r>
              <w:rPr>
                <w:vertAlign w:val="superscript"/>
              </w:rPr>
              <w:t>3</w:t>
            </w:r>
          </w:p>
        </w:tc>
        <w:tc>
          <w:tcPr>
            <w:tcW w:w="3600" w:type="dxa"/>
            <w:gridSpan w:val="2"/>
            <w:vAlign w:val="center"/>
          </w:tcPr>
          <w:p w:rsidR="00E35632" w:rsidRDefault="00E35632">
            <w:pPr>
              <w:pStyle w:val="ConsPlusNormal"/>
              <w:jc w:val="center"/>
            </w:pPr>
            <w:r>
              <w:t>Пески средней крупности и мелкие маловлажные и влажные при плотности грунта обратной засыпки, т/м</w:t>
            </w:r>
            <w:r>
              <w:rPr>
                <w:vertAlign w:val="superscript"/>
              </w:rPr>
              <w:t>3</w:t>
            </w:r>
          </w:p>
        </w:tc>
      </w:tr>
      <w:tr w:rsidR="00E35632">
        <w:tc>
          <w:tcPr>
            <w:tcW w:w="0" w:type="auto"/>
            <w:vMerge/>
          </w:tcPr>
          <w:p w:rsidR="00E35632" w:rsidRDefault="00E35632">
            <w:pPr>
              <w:pStyle w:val="ConsPlusNormal"/>
            </w:pPr>
          </w:p>
        </w:tc>
        <w:tc>
          <w:tcPr>
            <w:tcW w:w="1718" w:type="dxa"/>
            <w:vAlign w:val="center"/>
          </w:tcPr>
          <w:p w:rsidR="00E35632" w:rsidRDefault="00E35632">
            <w:pPr>
              <w:pStyle w:val="ConsPlusNormal"/>
              <w:jc w:val="center"/>
            </w:pPr>
            <w:r>
              <w:t>1,55</w:t>
            </w:r>
          </w:p>
        </w:tc>
        <w:tc>
          <w:tcPr>
            <w:tcW w:w="2002" w:type="dxa"/>
            <w:vAlign w:val="center"/>
          </w:tcPr>
          <w:p w:rsidR="00E35632" w:rsidRDefault="00E35632">
            <w:pPr>
              <w:pStyle w:val="ConsPlusNormal"/>
              <w:jc w:val="center"/>
            </w:pPr>
            <w:r>
              <w:t>1,70</w:t>
            </w:r>
          </w:p>
        </w:tc>
        <w:tc>
          <w:tcPr>
            <w:tcW w:w="1713" w:type="dxa"/>
            <w:vAlign w:val="center"/>
          </w:tcPr>
          <w:p w:rsidR="00E35632" w:rsidRDefault="00E35632">
            <w:pPr>
              <w:pStyle w:val="ConsPlusNormal"/>
              <w:jc w:val="center"/>
            </w:pPr>
            <w:r>
              <w:t>1,55</w:t>
            </w:r>
          </w:p>
        </w:tc>
        <w:tc>
          <w:tcPr>
            <w:tcW w:w="1887" w:type="dxa"/>
            <w:vAlign w:val="center"/>
          </w:tcPr>
          <w:p w:rsidR="00E35632" w:rsidRDefault="00E35632">
            <w:pPr>
              <w:pStyle w:val="ConsPlusNormal"/>
              <w:jc w:val="center"/>
            </w:pPr>
            <w:r>
              <w:t>1,70</w:t>
            </w:r>
          </w:p>
        </w:tc>
      </w:tr>
      <w:tr w:rsidR="00E35632">
        <w:tc>
          <w:tcPr>
            <w:tcW w:w="1740" w:type="dxa"/>
          </w:tcPr>
          <w:p w:rsidR="00E35632" w:rsidRDefault="00E35632">
            <w:pPr>
              <w:pStyle w:val="ConsPlusNormal"/>
              <w:jc w:val="center"/>
            </w:pPr>
            <w:r>
              <w:t>0,8</w:t>
            </w:r>
          </w:p>
        </w:tc>
        <w:tc>
          <w:tcPr>
            <w:tcW w:w="1718" w:type="dxa"/>
          </w:tcPr>
          <w:p w:rsidR="00E35632" w:rsidRDefault="00E35632">
            <w:pPr>
              <w:pStyle w:val="ConsPlusNormal"/>
              <w:jc w:val="center"/>
            </w:pPr>
            <w:r>
              <w:t>32</w:t>
            </w:r>
          </w:p>
        </w:tc>
        <w:tc>
          <w:tcPr>
            <w:tcW w:w="2002" w:type="dxa"/>
          </w:tcPr>
          <w:p w:rsidR="00E35632" w:rsidRDefault="00E35632">
            <w:pPr>
              <w:pStyle w:val="ConsPlusNormal"/>
              <w:jc w:val="center"/>
            </w:pPr>
            <w:r>
              <w:t>36</w:t>
            </w:r>
          </w:p>
        </w:tc>
        <w:tc>
          <w:tcPr>
            <w:tcW w:w="1713" w:type="dxa"/>
          </w:tcPr>
          <w:p w:rsidR="00E35632" w:rsidRDefault="00E35632">
            <w:pPr>
              <w:pStyle w:val="ConsPlusNormal"/>
              <w:jc w:val="center"/>
            </w:pPr>
            <w:r>
              <w:t>32</w:t>
            </w:r>
          </w:p>
        </w:tc>
        <w:tc>
          <w:tcPr>
            <w:tcW w:w="1887" w:type="dxa"/>
          </w:tcPr>
          <w:p w:rsidR="00E35632" w:rsidRDefault="00E35632">
            <w:pPr>
              <w:pStyle w:val="ConsPlusNormal"/>
              <w:jc w:val="center"/>
            </w:pPr>
            <w:r>
              <w:t>40</w:t>
            </w:r>
          </w:p>
        </w:tc>
      </w:tr>
      <w:tr w:rsidR="00E35632">
        <w:tc>
          <w:tcPr>
            <w:tcW w:w="1740" w:type="dxa"/>
          </w:tcPr>
          <w:p w:rsidR="00E35632" w:rsidRDefault="00E35632">
            <w:pPr>
              <w:pStyle w:val="ConsPlusNormal"/>
              <w:jc w:val="center"/>
            </w:pPr>
            <w:r>
              <w:t>1,0</w:t>
            </w:r>
          </w:p>
        </w:tc>
        <w:tc>
          <w:tcPr>
            <w:tcW w:w="1718" w:type="dxa"/>
          </w:tcPr>
          <w:p w:rsidR="00E35632" w:rsidRDefault="00E35632">
            <w:pPr>
              <w:pStyle w:val="ConsPlusNormal"/>
              <w:jc w:val="center"/>
            </w:pPr>
            <w:r>
              <w:t>40</w:t>
            </w:r>
          </w:p>
        </w:tc>
        <w:tc>
          <w:tcPr>
            <w:tcW w:w="2002" w:type="dxa"/>
          </w:tcPr>
          <w:p w:rsidR="00E35632" w:rsidRDefault="00E35632">
            <w:pPr>
              <w:pStyle w:val="ConsPlusNormal"/>
              <w:jc w:val="center"/>
            </w:pPr>
            <w:r>
              <w:t>45</w:t>
            </w:r>
          </w:p>
        </w:tc>
        <w:tc>
          <w:tcPr>
            <w:tcW w:w="1713" w:type="dxa"/>
          </w:tcPr>
          <w:p w:rsidR="00E35632" w:rsidRDefault="00E35632">
            <w:pPr>
              <w:pStyle w:val="ConsPlusNormal"/>
              <w:jc w:val="center"/>
            </w:pPr>
            <w:r>
              <w:t>40</w:t>
            </w:r>
          </w:p>
        </w:tc>
        <w:tc>
          <w:tcPr>
            <w:tcW w:w="1887" w:type="dxa"/>
          </w:tcPr>
          <w:p w:rsidR="00E35632" w:rsidRDefault="00E35632">
            <w:pPr>
              <w:pStyle w:val="ConsPlusNormal"/>
              <w:jc w:val="center"/>
            </w:pPr>
            <w:r>
              <w:t>50</w:t>
            </w:r>
          </w:p>
        </w:tc>
      </w:tr>
      <w:tr w:rsidR="00E35632">
        <w:tc>
          <w:tcPr>
            <w:tcW w:w="1740" w:type="dxa"/>
          </w:tcPr>
          <w:p w:rsidR="00E35632" w:rsidRDefault="00E35632">
            <w:pPr>
              <w:pStyle w:val="ConsPlusNormal"/>
              <w:jc w:val="center"/>
            </w:pPr>
            <w:r>
              <w:t>1,5</w:t>
            </w:r>
          </w:p>
        </w:tc>
        <w:tc>
          <w:tcPr>
            <w:tcW w:w="1718" w:type="dxa"/>
          </w:tcPr>
          <w:p w:rsidR="00E35632" w:rsidRDefault="00E35632">
            <w:pPr>
              <w:pStyle w:val="ConsPlusNormal"/>
              <w:jc w:val="center"/>
            </w:pPr>
            <w:r>
              <w:t>50</w:t>
            </w:r>
          </w:p>
        </w:tc>
        <w:tc>
          <w:tcPr>
            <w:tcW w:w="2002" w:type="dxa"/>
          </w:tcPr>
          <w:p w:rsidR="00E35632" w:rsidRDefault="00E35632">
            <w:pPr>
              <w:pStyle w:val="ConsPlusNormal"/>
              <w:jc w:val="center"/>
            </w:pPr>
            <w:r>
              <w:t>65</w:t>
            </w:r>
          </w:p>
        </w:tc>
        <w:tc>
          <w:tcPr>
            <w:tcW w:w="1713" w:type="dxa"/>
          </w:tcPr>
          <w:p w:rsidR="00E35632" w:rsidRDefault="00E35632">
            <w:pPr>
              <w:pStyle w:val="ConsPlusNormal"/>
              <w:jc w:val="center"/>
            </w:pPr>
            <w:r>
              <w:t>55</w:t>
            </w:r>
          </w:p>
        </w:tc>
        <w:tc>
          <w:tcPr>
            <w:tcW w:w="1887" w:type="dxa"/>
          </w:tcPr>
          <w:p w:rsidR="00E35632" w:rsidRDefault="00E35632">
            <w:pPr>
              <w:pStyle w:val="ConsPlusNormal"/>
              <w:jc w:val="center"/>
            </w:pPr>
            <w:r>
              <w:t>65</w:t>
            </w:r>
          </w:p>
        </w:tc>
      </w:tr>
      <w:tr w:rsidR="00E35632">
        <w:tc>
          <w:tcPr>
            <w:tcW w:w="1740" w:type="dxa"/>
          </w:tcPr>
          <w:p w:rsidR="00E35632" w:rsidRDefault="00E35632">
            <w:pPr>
              <w:pStyle w:val="ConsPlusNormal"/>
              <w:jc w:val="center"/>
            </w:pPr>
            <w:r>
              <w:t>2,0</w:t>
            </w:r>
          </w:p>
        </w:tc>
        <w:tc>
          <w:tcPr>
            <w:tcW w:w="1718" w:type="dxa"/>
          </w:tcPr>
          <w:p w:rsidR="00E35632" w:rsidRDefault="00E35632">
            <w:pPr>
              <w:pStyle w:val="ConsPlusNormal"/>
              <w:jc w:val="center"/>
            </w:pPr>
            <w:r>
              <w:t>60</w:t>
            </w:r>
          </w:p>
        </w:tc>
        <w:tc>
          <w:tcPr>
            <w:tcW w:w="2002" w:type="dxa"/>
          </w:tcPr>
          <w:p w:rsidR="00E35632" w:rsidRDefault="00E35632">
            <w:pPr>
              <w:pStyle w:val="ConsPlusNormal"/>
              <w:jc w:val="center"/>
            </w:pPr>
            <w:r>
              <w:t>85</w:t>
            </w:r>
          </w:p>
        </w:tc>
        <w:tc>
          <w:tcPr>
            <w:tcW w:w="1713" w:type="dxa"/>
          </w:tcPr>
          <w:p w:rsidR="00E35632" w:rsidRDefault="00E35632">
            <w:pPr>
              <w:pStyle w:val="ConsPlusNormal"/>
              <w:jc w:val="center"/>
            </w:pPr>
            <w:r>
              <w:t>70</w:t>
            </w:r>
          </w:p>
        </w:tc>
        <w:tc>
          <w:tcPr>
            <w:tcW w:w="1887" w:type="dxa"/>
          </w:tcPr>
          <w:p w:rsidR="00E35632" w:rsidRDefault="00E35632">
            <w:pPr>
              <w:pStyle w:val="ConsPlusNormal"/>
              <w:jc w:val="center"/>
            </w:pPr>
            <w:r>
              <w:t>85</w:t>
            </w:r>
          </w:p>
        </w:tc>
      </w:tr>
      <w:tr w:rsidR="00E35632">
        <w:tc>
          <w:tcPr>
            <w:tcW w:w="1740" w:type="dxa"/>
          </w:tcPr>
          <w:p w:rsidR="00E35632" w:rsidRDefault="00E35632">
            <w:pPr>
              <w:pStyle w:val="ConsPlusNormal"/>
              <w:jc w:val="center"/>
            </w:pPr>
            <w:r>
              <w:t>2,5</w:t>
            </w:r>
          </w:p>
        </w:tc>
        <w:tc>
          <w:tcPr>
            <w:tcW w:w="1718" w:type="dxa"/>
          </w:tcPr>
          <w:p w:rsidR="00E35632" w:rsidRDefault="00E35632">
            <w:pPr>
              <w:pStyle w:val="ConsPlusNormal"/>
              <w:jc w:val="center"/>
            </w:pPr>
            <w:r>
              <w:t>-</w:t>
            </w:r>
          </w:p>
        </w:tc>
        <w:tc>
          <w:tcPr>
            <w:tcW w:w="2002" w:type="dxa"/>
          </w:tcPr>
          <w:p w:rsidR="00E35632" w:rsidRDefault="00E35632">
            <w:pPr>
              <w:pStyle w:val="ConsPlusNormal"/>
              <w:jc w:val="center"/>
            </w:pPr>
            <w:r>
              <w:t>100</w:t>
            </w:r>
          </w:p>
        </w:tc>
        <w:tc>
          <w:tcPr>
            <w:tcW w:w="1713" w:type="dxa"/>
          </w:tcPr>
          <w:p w:rsidR="00E35632" w:rsidRDefault="00E35632">
            <w:pPr>
              <w:pStyle w:val="ConsPlusNormal"/>
              <w:jc w:val="center"/>
            </w:pPr>
            <w:r>
              <w:t>-</w:t>
            </w:r>
          </w:p>
        </w:tc>
        <w:tc>
          <w:tcPr>
            <w:tcW w:w="1887" w:type="dxa"/>
          </w:tcPr>
          <w:p w:rsidR="00E35632" w:rsidRDefault="00E35632">
            <w:pPr>
              <w:pStyle w:val="ConsPlusNormal"/>
              <w:jc w:val="center"/>
            </w:pPr>
            <w:r>
              <w:t>100</w:t>
            </w:r>
          </w:p>
        </w:tc>
      </w:tr>
      <w:tr w:rsidR="00E35632">
        <w:tc>
          <w:tcPr>
            <w:tcW w:w="9060" w:type="dxa"/>
            <w:gridSpan w:val="5"/>
          </w:tcPr>
          <w:p w:rsidR="00E35632" w:rsidRDefault="00E35632">
            <w:pPr>
              <w:pStyle w:val="ConsPlusNormal"/>
              <w:ind w:firstLine="283"/>
              <w:jc w:val="both"/>
            </w:pPr>
            <w:r>
              <w:t>Примечания</w:t>
            </w:r>
          </w:p>
          <w:p w:rsidR="00E35632" w:rsidRDefault="00E35632">
            <w:pPr>
              <w:pStyle w:val="ConsPlusNormal"/>
              <w:ind w:firstLine="283"/>
              <w:jc w:val="both"/>
            </w:pPr>
            <w:r>
              <w:t xml:space="preserve">1 Значения </w:t>
            </w:r>
            <w:r>
              <w:rPr>
                <w:i/>
              </w:rPr>
              <w:t>R</w:t>
            </w:r>
            <w:r>
              <w:rPr>
                <w:vertAlign w:val="subscript"/>
              </w:rPr>
              <w:t>0</w:t>
            </w:r>
            <w:r>
              <w:t xml:space="preserve"> для глин и суглинков с показателем текучести 0,5 &lt; </w:t>
            </w:r>
            <w:r>
              <w:rPr>
                <w:i/>
              </w:rPr>
              <w:t>I</w:t>
            </w:r>
            <w:r>
              <w:rPr>
                <w:i/>
                <w:vertAlign w:val="subscript"/>
              </w:rPr>
              <w:t>L</w:t>
            </w:r>
            <w:r>
              <w:t xml:space="preserve"> &lt;= 0,75 и супесей при 0,5 &lt; </w:t>
            </w:r>
            <w:r>
              <w:rPr>
                <w:i/>
              </w:rPr>
              <w:t>I</w:t>
            </w:r>
            <w:r>
              <w:rPr>
                <w:i/>
                <w:vertAlign w:val="subscript"/>
              </w:rPr>
              <w:t>L</w:t>
            </w:r>
            <w:r>
              <w:t xml:space="preserve"> &lt;= 1,0 принимают по графе "глинистые грунты" с введением коэффициентов соответственно 0,85 и 0,7.</w:t>
            </w:r>
          </w:p>
          <w:p w:rsidR="00E35632" w:rsidRDefault="00E35632">
            <w:pPr>
              <w:pStyle w:val="ConsPlusNormal"/>
              <w:ind w:firstLine="283"/>
              <w:jc w:val="both"/>
            </w:pPr>
            <w:r>
              <w:t xml:space="preserve">2 Значения </w:t>
            </w:r>
            <w:r>
              <w:rPr>
                <w:i/>
              </w:rPr>
              <w:t>R</w:t>
            </w:r>
            <w:r>
              <w:rPr>
                <w:vertAlign w:val="subscript"/>
              </w:rPr>
              <w:t>0</w:t>
            </w:r>
            <w:r>
              <w:t xml:space="preserve"> для пылеватых песков принимают как для песков средней крупности и мелких с коэффициентом 0,85.</w:t>
            </w:r>
          </w:p>
        </w:tc>
      </w:tr>
    </w:tbl>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right"/>
        <w:outlineLvl w:val="0"/>
      </w:pPr>
      <w:r>
        <w:rPr>
          <w:b/>
        </w:rPr>
        <w:t>Приложение В</w:t>
      </w:r>
    </w:p>
    <w:p w:rsidR="00E35632" w:rsidRDefault="00E35632">
      <w:pPr>
        <w:pStyle w:val="ConsPlusNormal"/>
        <w:jc w:val="right"/>
      </w:pPr>
      <w:r>
        <w:t xml:space="preserve">(в ред. </w:t>
      </w:r>
      <w:hyperlink r:id="rId967">
        <w:r>
          <w:rPr>
            <w:color w:val="0000FF"/>
          </w:rPr>
          <w:t>Изменения N 3</w:t>
        </w:r>
      </w:hyperlink>
      <w:r>
        <w:t>, утв. Приказом Минстроя России от 22.11.2019 N 722/пр)</w:t>
      </w:r>
    </w:p>
    <w:p w:rsidR="00E35632" w:rsidRDefault="00E35632">
      <w:pPr>
        <w:pStyle w:val="ConsPlusNormal"/>
        <w:jc w:val="both"/>
      </w:pPr>
    </w:p>
    <w:p w:rsidR="00E35632" w:rsidRDefault="00E35632">
      <w:pPr>
        <w:pStyle w:val="ConsPlusTitle"/>
        <w:jc w:val="center"/>
      </w:pPr>
      <w:bookmarkStart w:id="292" w:name="P6534"/>
      <w:bookmarkEnd w:id="292"/>
      <w:r>
        <w:t>ОПРЕДЕЛЕНИЕ ОСАДКИ ОСНОВАНИЯ ФУНДАМЕНТА</w:t>
      </w:r>
    </w:p>
    <w:p w:rsidR="00E35632" w:rsidRDefault="00E35632">
      <w:pPr>
        <w:pStyle w:val="ConsPlusTitle"/>
        <w:jc w:val="center"/>
      </w:pPr>
      <w:r>
        <w:t>МЕТОДОМ ЛИНЕЙНО ДЕФОРМИРУЕМОГО СЛОЯ</w:t>
      </w:r>
    </w:p>
    <w:p w:rsidR="00E35632" w:rsidRDefault="00E35632">
      <w:pPr>
        <w:pStyle w:val="ConsPlusNormal"/>
        <w:jc w:val="both"/>
      </w:pPr>
    </w:p>
    <w:p w:rsidR="00E35632" w:rsidRDefault="00E35632">
      <w:pPr>
        <w:pStyle w:val="ConsPlusNormal"/>
        <w:ind w:firstLine="540"/>
        <w:jc w:val="both"/>
      </w:pPr>
      <w:r>
        <w:t xml:space="preserve">В.1 Среднюю осадку основания фундамента </w:t>
      </w:r>
      <w:r>
        <w:rPr>
          <w:noProof/>
          <w:position w:val="-2"/>
        </w:rPr>
        <w:drawing>
          <wp:inline distT="0" distB="0" distL="0" distR="0">
            <wp:extent cx="142240" cy="175895"/>
            <wp:effectExtent l="0" t="0" r="0" b="0"/>
            <wp:docPr id="6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142240" cy="175895"/>
                    </a:xfrm>
                    <a:prstGeom prst="rect">
                      <a:avLst/>
                    </a:prstGeom>
                    <a:noFill/>
                    <a:ln>
                      <a:noFill/>
                    </a:ln>
                  </pic:spPr>
                </pic:pic>
              </a:graphicData>
            </a:graphic>
          </wp:inline>
        </w:drawing>
      </w:r>
      <w:r>
        <w:t xml:space="preserve">, см, с использованием расчетной схемы в виде линейно деформируемого слоя </w:t>
      </w:r>
      <w:hyperlink w:anchor="P6854">
        <w:r>
          <w:rPr>
            <w:color w:val="0000FF"/>
          </w:rPr>
          <w:t>(рисунок В.1)</w:t>
        </w:r>
      </w:hyperlink>
      <w:r>
        <w:t>, вычисляют по формуле</w:t>
      </w:r>
    </w:p>
    <w:p w:rsidR="00E35632" w:rsidRDefault="00E35632">
      <w:pPr>
        <w:pStyle w:val="ConsPlusNormal"/>
        <w:jc w:val="both"/>
      </w:pPr>
    </w:p>
    <w:p w:rsidR="00E35632" w:rsidRDefault="00E35632">
      <w:pPr>
        <w:pStyle w:val="ConsPlusNormal"/>
        <w:jc w:val="center"/>
      </w:pPr>
      <w:bookmarkStart w:id="293" w:name="P6539"/>
      <w:bookmarkEnd w:id="293"/>
      <w:r>
        <w:rPr>
          <w:noProof/>
          <w:position w:val="-27"/>
        </w:rPr>
        <w:drawing>
          <wp:inline distT="0" distB="0" distL="0" distR="0">
            <wp:extent cx="1438275" cy="483870"/>
            <wp:effectExtent l="0" t="0" r="0" b="0"/>
            <wp:docPr id="6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1438275" cy="483870"/>
                    </a:xfrm>
                    <a:prstGeom prst="rect">
                      <a:avLst/>
                    </a:prstGeom>
                    <a:noFill/>
                    <a:ln>
                      <a:noFill/>
                    </a:ln>
                  </pic:spPr>
                </pic:pic>
              </a:graphicData>
            </a:graphic>
          </wp:inline>
        </w:drawing>
      </w:r>
      <w:r>
        <w:t xml:space="preserve"> (В.1)</w:t>
      </w:r>
    </w:p>
    <w:p w:rsidR="00E35632" w:rsidRDefault="00E35632">
      <w:pPr>
        <w:pStyle w:val="ConsPlusNormal"/>
        <w:jc w:val="both"/>
      </w:pPr>
    </w:p>
    <w:p w:rsidR="00E35632" w:rsidRDefault="00E35632">
      <w:pPr>
        <w:pStyle w:val="ConsPlusNormal"/>
        <w:ind w:firstLine="540"/>
        <w:jc w:val="both"/>
      </w:pPr>
      <w:r>
        <w:t xml:space="preserve">где </w:t>
      </w:r>
      <w:r>
        <w:rPr>
          <w:i/>
        </w:rPr>
        <w:t>p</w:t>
      </w:r>
      <w:r>
        <w:t xml:space="preserve"> - среднее давление под подошвой фундамента;</w:t>
      </w:r>
    </w:p>
    <w:p w:rsidR="00E35632" w:rsidRDefault="00E35632">
      <w:pPr>
        <w:pStyle w:val="ConsPlusNormal"/>
        <w:spacing w:before="220"/>
        <w:ind w:firstLine="540"/>
        <w:jc w:val="both"/>
      </w:pPr>
      <w:r>
        <w:rPr>
          <w:i/>
        </w:rPr>
        <w:t>b</w:t>
      </w:r>
      <w:r>
        <w:t xml:space="preserve"> - ширина прямоугольного или диаметр круглого фундамента;</w:t>
      </w:r>
    </w:p>
    <w:p w:rsidR="00E35632" w:rsidRDefault="00E35632">
      <w:pPr>
        <w:pStyle w:val="ConsPlusNormal"/>
        <w:spacing w:before="220"/>
        <w:ind w:firstLine="540"/>
        <w:jc w:val="both"/>
      </w:pPr>
      <w:r>
        <w:rPr>
          <w:i/>
        </w:rPr>
        <w:t>k</w:t>
      </w:r>
      <w:r>
        <w:rPr>
          <w:i/>
          <w:vertAlign w:val="subscript"/>
        </w:rPr>
        <w:t>c</w:t>
      </w:r>
      <w:r>
        <w:t xml:space="preserve"> и </w:t>
      </w:r>
      <w:r>
        <w:rPr>
          <w:i/>
        </w:rPr>
        <w:t>k</w:t>
      </w:r>
      <w:r>
        <w:rPr>
          <w:i/>
          <w:vertAlign w:val="subscript"/>
        </w:rPr>
        <w:t>m</w:t>
      </w:r>
      <w:r>
        <w:t xml:space="preserve"> - коэффициенты, принимаемые по </w:t>
      </w:r>
      <w:hyperlink w:anchor="P6551">
        <w:r>
          <w:rPr>
            <w:color w:val="0000FF"/>
          </w:rPr>
          <w:t>таблицам В.1</w:t>
        </w:r>
      </w:hyperlink>
      <w:r>
        <w:t xml:space="preserve"> и </w:t>
      </w:r>
      <w:hyperlink w:anchor="P6568">
        <w:r>
          <w:rPr>
            <w:color w:val="0000FF"/>
          </w:rPr>
          <w:t>В.2</w:t>
        </w:r>
      </w:hyperlink>
      <w:r>
        <w:t>;</w:t>
      </w:r>
    </w:p>
    <w:p w:rsidR="00E35632" w:rsidRDefault="00E35632">
      <w:pPr>
        <w:pStyle w:val="ConsPlusNormal"/>
        <w:spacing w:before="220"/>
        <w:ind w:firstLine="540"/>
        <w:jc w:val="both"/>
      </w:pPr>
      <w:r>
        <w:rPr>
          <w:i/>
        </w:rPr>
        <w:t>n</w:t>
      </w:r>
      <w:r>
        <w:t xml:space="preserve"> - число слоев, различающихся по сжимаемости в пределах расчетной толщи слоя </w:t>
      </w:r>
      <w:r>
        <w:rPr>
          <w:i/>
        </w:rPr>
        <w:t>H</w:t>
      </w:r>
      <w:r>
        <w:t xml:space="preserve">, определяемой в соответствии с требованиями </w:t>
      </w:r>
      <w:hyperlink w:anchor="P6845">
        <w:r>
          <w:rPr>
            <w:color w:val="0000FF"/>
          </w:rPr>
          <w:t>В.2</w:t>
        </w:r>
      </w:hyperlink>
      <w:r>
        <w:t>;</w:t>
      </w:r>
    </w:p>
    <w:p w:rsidR="00E35632" w:rsidRDefault="00E35632">
      <w:pPr>
        <w:pStyle w:val="ConsPlusNormal"/>
        <w:spacing w:before="220"/>
        <w:ind w:firstLine="540"/>
        <w:jc w:val="both"/>
      </w:pPr>
      <w:r>
        <w:rPr>
          <w:i/>
        </w:rPr>
        <w:t>k</w:t>
      </w:r>
      <w:r>
        <w:rPr>
          <w:i/>
          <w:vertAlign w:val="subscript"/>
        </w:rPr>
        <w:t>i</w:t>
      </w:r>
      <w:r>
        <w:t xml:space="preserve"> и </w:t>
      </w:r>
      <w:r>
        <w:rPr>
          <w:i/>
        </w:rPr>
        <w:t>k</w:t>
      </w:r>
      <w:r>
        <w:rPr>
          <w:i/>
          <w:vertAlign w:val="subscript"/>
        </w:rPr>
        <w:t>i-1</w:t>
      </w:r>
      <w:r>
        <w:t xml:space="preserve"> - коэффициенты, определяемые по </w:t>
      </w:r>
      <w:hyperlink w:anchor="P6578">
        <w:r>
          <w:rPr>
            <w:color w:val="0000FF"/>
          </w:rPr>
          <w:t>таблице В.3</w:t>
        </w:r>
      </w:hyperlink>
      <w:r>
        <w:t xml:space="preserve"> в зависимости от формы фундамента, соотношения сторон прямоугольного фундамента и относительной глубины, на которой расположены подошва и кровля </w:t>
      </w:r>
      <w:r>
        <w:rPr>
          <w:i/>
        </w:rPr>
        <w:t>i</w:t>
      </w:r>
      <w:r>
        <w:t>-го слоя соответственно;</w:t>
      </w:r>
    </w:p>
    <w:p w:rsidR="00E35632" w:rsidRDefault="00E35632">
      <w:pPr>
        <w:pStyle w:val="ConsPlusNormal"/>
        <w:spacing w:before="220"/>
        <w:ind w:firstLine="540"/>
        <w:jc w:val="both"/>
      </w:pPr>
      <w:r>
        <w:rPr>
          <w:i/>
        </w:rPr>
        <w:t>E</w:t>
      </w:r>
      <w:r>
        <w:rPr>
          <w:i/>
          <w:vertAlign w:val="subscript"/>
        </w:rPr>
        <w:t>i</w:t>
      </w:r>
      <w:r>
        <w:t xml:space="preserve"> - модуль деформации </w:t>
      </w:r>
      <w:r>
        <w:rPr>
          <w:i/>
        </w:rPr>
        <w:t>i</w:t>
      </w:r>
      <w:r>
        <w:t>-го слоя грунта.</w:t>
      </w:r>
    </w:p>
    <w:p w:rsidR="00E35632" w:rsidRDefault="00E35632">
      <w:pPr>
        <w:pStyle w:val="ConsPlusNormal"/>
        <w:spacing w:before="220"/>
        <w:ind w:firstLine="540"/>
        <w:jc w:val="both"/>
      </w:pPr>
      <w:r>
        <w:t>Примечания</w:t>
      </w:r>
    </w:p>
    <w:p w:rsidR="00E35632" w:rsidRDefault="00E35632">
      <w:pPr>
        <w:pStyle w:val="ConsPlusNormal"/>
        <w:spacing w:before="220"/>
        <w:ind w:firstLine="540"/>
        <w:jc w:val="both"/>
      </w:pPr>
      <w:r>
        <w:t xml:space="preserve">1 </w:t>
      </w:r>
      <w:hyperlink w:anchor="P6539">
        <w:r>
          <w:rPr>
            <w:color w:val="0000FF"/>
          </w:rPr>
          <w:t>Формула (В.1)</w:t>
        </w:r>
      </w:hyperlink>
      <w:r>
        <w:t xml:space="preserve"> служит для определения средней осадки основания фундамента, загруженного равномерно распределенной по ограниченной площади нагрузкой.</w:t>
      </w:r>
    </w:p>
    <w:p w:rsidR="00E35632" w:rsidRDefault="00E35632">
      <w:pPr>
        <w:pStyle w:val="ConsPlusNormal"/>
        <w:spacing w:before="220"/>
        <w:ind w:firstLine="540"/>
        <w:jc w:val="both"/>
      </w:pPr>
      <w:r>
        <w:t xml:space="preserve">2 </w:t>
      </w:r>
      <w:hyperlink w:anchor="P6539">
        <w:r>
          <w:rPr>
            <w:color w:val="0000FF"/>
          </w:rPr>
          <w:t>Формулу (В.1)</w:t>
        </w:r>
      </w:hyperlink>
      <w:r>
        <w:t xml:space="preserve"> допускается применять в случаях, указанных в </w:t>
      </w:r>
      <w:hyperlink w:anchor="P837">
        <w:r>
          <w:rPr>
            <w:color w:val="0000FF"/>
          </w:rPr>
          <w:t>5.6.6</w:t>
        </w:r>
      </w:hyperlink>
      <w:r>
        <w:t>.</w:t>
      </w:r>
    </w:p>
    <w:p w:rsidR="00E35632" w:rsidRDefault="00E35632">
      <w:pPr>
        <w:pStyle w:val="ConsPlusNormal"/>
        <w:jc w:val="both"/>
      </w:pPr>
    </w:p>
    <w:p w:rsidR="00E35632" w:rsidRDefault="00E35632">
      <w:pPr>
        <w:pStyle w:val="ConsPlusNormal"/>
        <w:jc w:val="right"/>
      </w:pPr>
      <w:bookmarkStart w:id="294" w:name="P6551"/>
      <w:bookmarkEnd w:id="294"/>
      <w:r>
        <w:t>Таблица В.1</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603"/>
        <w:gridCol w:w="4421"/>
      </w:tblGrid>
      <w:tr w:rsidR="00E35632">
        <w:tc>
          <w:tcPr>
            <w:tcW w:w="4603" w:type="dxa"/>
            <w:vAlign w:val="center"/>
          </w:tcPr>
          <w:p w:rsidR="00E35632" w:rsidRDefault="00E35632">
            <w:pPr>
              <w:pStyle w:val="ConsPlusNormal"/>
              <w:jc w:val="center"/>
            </w:pPr>
            <w:r>
              <w:t>Относительная толщина слоя </w:t>
            </w:r>
            <w:r>
              <w:rPr>
                <w:noProof/>
                <w:position w:val="-6"/>
              </w:rPr>
              <w:drawing>
                <wp:inline distT="0" distB="0" distL="0" distR="0">
                  <wp:extent cx="760095" cy="219075"/>
                  <wp:effectExtent l="0" t="0" r="0" b="0"/>
                  <wp:docPr id="6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760095" cy="219075"/>
                          </a:xfrm>
                          <a:prstGeom prst="rect">
                            <a:avLst/>
                          </a:prstGeom>
                          <a:noFill/>
                          <a:ln>
                            <a:noFill/>
                          </a:ln>
                        </pic:spPr>
                      </pic:pic>
                    </a:graphicData>
                  </a:graphic>
                </wp:inline>
              </w:drawing>
            </w:r>
          </w:p>
        </w:tc>
        <w:tc>
          <w:tcPr>
            <w:tcW w:w="4421" w:type="dxa"/>
            <w:vAlign w:val="center"/>
          </w:tcPr>
          <w:p w:rsidR="00E35632" w:rsidRDefault="00E35632">
            <w:pPr>
              <w:pStyle w:val="ConsPlusNormal"/>
              <w:jc w:val="center"/>
            </w:pPr>
            <w:r>
              <w:t xml:space="preserve">Коэффициент </w:t>
            </w:r>
            <w:r>
              <w:rPr>
                <w:i/>
              </w:rPr>
              <w:t>k</w:t>
            </w:r>
            <w:r>
              <w:rPr>
                <w:i/>
                <w:vertAlign w:val="subscript"/>
              </w:rPr>
              <w:t>c</w:t>
            </w:r>
          </w:p>
        </w:tc>
      </w:tr>
      <w:tr w:rsidR="00E35632">
        <w:tc>
          <w:tcPr>
            <w:tcW w:w="4603" w:type="dxa"/>
          </w:tcPr>
          <w:p w:rsidR="00E35632" w:rsidRDefault="00E35632">
            <w:pPr>
              <w:pStyle w:val="ConsPlusNormal"/>
              <w:jc w:val="center"/>
            </w:pPr>
            <w:r>
              <w:rPr>
                <w:noProof/>
                <w:position w:val="-6"/>
              </w:rPr>
              <w:drawing>
                <wp:inline distT="0" distB="0" distL="0" distR="0">
                  <wp:extent cx="802005" cy="219075"/>
                  <wp:effectExtent l="0" t="0" r="0" b="0"/>
                  <wp:docPr id="68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802005" cy="219075"/>
                          </a:xfrm>
                          <a:prstGeom prst="rect">
                            <a:avLst/>
                          </a:prstGeom>
                          <a:noFill/>
                          <a:ln>
                            <a:noFill/>
                          </a:ln>
                        </pic:spPr>
                      </pic:pic>
                    </a:graphicData>
                  </a:graphic>
                </wp:inline>
              </w:drawing>
            </w:r>
          </w:p>
        </w:tc>
        <w:tc>
          <w:tcPr>
            <w:tcW w:w="4421" w:type="dxa"/>
          </w:tcPr>
          <w:p w:rsidR="00E35632" w:rsidRDefault="00E35632">
            <w:pPr>
              <w:pStyle w:val="ConsPlusNormal"/>
              <w:jc w:val="center"/>
            </w:pPr>
            <w:r>
              <w:t>1,5</w:t>
            </w:r>
          </w:p>
        </w:tc>
      </w:tr>
      <w:tr w:rsidR="00E35632">
        <w:tc>
          <w:tcPr>
            <w:tcW w:w="4603" w:type="dxa"/>
          </w:tcPr>
          <w:p w:rsidR="00E35632" w:rsidRDefault="00E35632">
            <w:pPr>
              <w:pStyle w:val="ConsPlusNormal"/>
              <w:jc w:val="center"/>
            </w:pPr>
            <w:r>
              <w:rPr>
                <w:noProof/>
                <w:position w:val="-6"/>
              </w:rPr>
              <w:drawing>
                <wp:inline distT="0" distB="0" distL="0" distR="0">
                  <wp:extent cx="789940" cy="219075"/>
                  <wp:effectExtent l="0" t="0" r="0" b="0"/>
                  <wp:docPr id="68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789940" cy="219075"/>
                          </a:xfrm>
                          <a:prstGeom prst="rect">
                            <a:avLst/>
                          </a:prstGeom>
                          <a:noFill/>
                          <a:ln>
                            <a:noFill/>
                          </a:ln>
                        </pic:spPr>
                      </pic:pic>
                    </a:graphicData>
                  </a:graphic>
                </wp:inline>
              </w:drawing>
            </w:r>
          </w:p>
        </w:tc>
        <w:tc>
          <w:tcPr>
            <w:tcW w:w="4421" w:type="dxa"/>
          </w:tcPr>
          <w:p w:rsidR="00E35632" w:rsidRDefault="00E35632">
            <w:pPr>
              <w:pStyle w:val="ConsPlusNormal"/>
              <w:jc w:val="center"/>
            </w:pPr>
            <w:r>
              <w:t>1,4</w:t>
            </w:r>
          </w:p>
        </w:tc>
      </w:tr>
      <w:tr w:rsidR="00E35632">
        <w:tc>
          <w:tcPr>
            <w:tcW w:w="4603" w:type="dxa"/>
          </w:tcPr>
          <w:p w:rsidR="00E35632" w:rsidRDefault="00E35632">
            <w:pPr>
              <w:pStyle w:val="ConsPlusNormal"/>
              <w:jc w:val="center"/>
            </w:pPr>
            <w:r>
              <w:rPr>
                <w:noProof/>
                <w:position w:val="-6"/>
              </w:rPr>
              <w:drawing>
                <wp:inline distT="0" distB="0" distL="0" distR="0">
                  <wp:extent cx="636270" cy="219075"/>
                  <wp:effectExtent l="0" t="0" r="0" b="0"/>
                  <wp:docPr id="68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636270" cy="219075"/>
                          </a:xfrm>
                          <a:prstGeom prst="rect">
                            <a:avLst/>
                          </a:prstGeom>
                          <a:noFill/>
                          <a:ln>
                            <a:noFill/>
                          </a:ln>
                        </pic:spPr>
                      </pic:pic>
                    </a:graphicData>
                  </a:graphic>
                </wp:inline>
              </w:drawing>
            </w:r>
          </w:p>
        </w:tc>
        <w:tc>
          <w:tcPr>
            <w:tcW w:w="4421" w:type="dxa"/>
          </w:tcPr>
          <w:p w:rsidR="00E35632" w:rsidRDefault="00E35632">
            <w:pPr>
              <w:pStyle w:val="ConsPlusNormal"/>
              <w:jc w:val="center"/>
            </w:pPr>
            <w:r>
              <w:t>1,3</w:t>
            </w:r>
          </w:p>
        </w:tc>
      </w:tr>
      <w:tr w:rsidR="00E35632">
        <w:tc>
          <w:tcPr>
            <w:tcW w:w="4603" w:type="dxa"/>
          </w:tcPr>
          <w:p w:rsidR="00E35632" w:rsidRDefault="00E35632">
            <w:pPr>
              <w:pStyle w:val="ConsPlusNormal"/>
              <w:jc w:val="center"/>
            </w:pPr>
            <w:r>
              <w:rPr>
                <w:noProof/>
                <w:position w:val="-6"/>
              </w:rPr>
              <w:drawing>
                <wp:inline distT="0" distB="0" distL="0" distR="0">
                  <wp:extent cx="670560" cy="219075"/>
                  <wp:effectExtent l="0" t="0" r="0" b="0"/>
                  <wp:docPr id="68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670560" cy="219075"/>
                          </a:xfrm>
                          <a:prstGeom prst="rect">
                            <a:avLst/>
                          </a:prstGeom>
                          <a:noFill/>
                          <a:ln>
                            <a:noFill/>
                          </a:ln>
                        </pic:spPr>
                      </pic:pic>
                    </a:graphicData>
                  </a:graphic>
                </wp:inline>
              </w:drawing>
            </w:r>
          </w:p>
        </w:tc>
        <w:tc>
          <w:tcPr>
            <w:tcW w:w="4421" w:type="dxa"/>
          </w:tcPr>
          <w:p w:rsidR="00E35632" w:rsidRDefault="00E35632">
            <w:pPr>
              <w:pStyle w:val="ConsPlusNormal"/>
              <w:jc w:val="center"/>
            </w:pPr>
            <w:r>
              <w:t>1,2</w:t>
            </w:r>
          </w:p>
        </w:tc>
      </w:tr>
      <w:tr w:rsidR="00E35632">
        <w:tc>
          <w:tcPr>
            <w:tcW w:w="4603" w:type="dxa"/>
          </w:tcPr>
          <w:p w:rsidR="00E35632" w:rsidRDefault="00E35632">
            <w:pPr>
              <w:pStyle w:val="ConsPlusNormal"/>
              <w:jc w:val="center"/>
            </w:pPr>
            <w:r>
              <w:rPr>
                <w:noProof/>
                <w:position w:val="-6"/>
              </w:rPr>
              <w:drawing>
                <wp:inline distT="0" distB="0" distL="0" distR="0">
                  <wp:extent cx="655955" cy="219075"/>
                  <wp:effectExtent l="0" t="0" r="0" b="0"/>
                  <wp:docPr id="68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55955" cy="219075"/>
                          </a:xfrm>
                          <a:prstGeom prst="rect">
                            <a:avLst/>
                          </a:prstGeom>
                          <a:noFill/>
                          <a:ln>
                            <a:noFill/>
                          </a:ln>
                        </pic:spPr>
                      </pic:pic>
                    </a:graphicData>
                  </a:graphic>
                </wp:inline>
              </w:drawing>
            </w:r>
          </w:p>
        </w:tc>
        <w:tc>
          <w:tcPr>
            <w:tcW w:w="4421" w:type="dxa"/>
          </w:tcPr>
          <w:p w:rsidR="00E35632" w:rsidRDefault="00E35632">
            <w:pPr>
              <w:pStyle w:val="ConsPlusNormal"/>
              <w:jc w:val="center"/>
            </w:pPr>
            <w:r>
              <w:t>1,1</w:t>
            </w:r>
          </w:p>
        </w:tc>
      </w:tr>
      <w:tr w:rsidR="00E35632">
        <w:tc>
          <w:tcPr>
            <w:tcW w:w="4603" w:type="dxa"/>
          </w:tcPr>
          <w:p w:rsidR="00E35632" w:rsidRDefault="00E35632">
            <w:pPr>
              <w:pStyle w:val="ConsPlusNormal"/>
              <w:jc w:val="center"/>
            </w:pPr>
            <w:r>
              <w:rPr>
                <w:noProof/>
                <w:position w:val="-6"/>
              </w:rPr>
              <w:drawing>
                <wp:inline distT="0" distB="0" distL="0" distR="0">
                  <wp:extent cx="428625" cy="219075"/>
                  <wp:effectExtent l="0" t="0" r="0" b="0"/>
                  <wp:docPr id="68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428625" cy="219075"/>
                          </a:xfrm>
                          <a:prstGeom prst="rect">
                            <a:avLst/>
                          </a:prstGeom>
                          <a:noFill/>
                          <a:ln>
                            <a:noFill/>
                          </a:ln>
                        </pic:spPr>
                      </pic:pic>
                    </a:graphicData>
                  </a:graphic>
                </wp:inline>
              </w:drawing>
            </w:r>
          </w:p>
        </w:tc>
        <w:tc>
          <w:tcPr>
            <w:tcW w:w="4421" w:type="dxa"/>
          </w:tcPr>
          <w:p w:rsidR="00E35632" w:rsidRDefault="00E35632">
            <w:pPr>
              <w:pStyle w:val="ConsPlusNormal"/>
              <w:jc w:val="center"/>
            </w:pPr>
            <w:r>
              <w:t>1,0</w:t>
            </w:r>
          </w:p>
        </w:tc>
      </w:tr>
    </w:tbl>
    <w:p w:rsidR="00E35632" w:rsidRDefault="00E35632">
      <w:pPr>
        <w:pStyle w:val="ConsPlusNormal"/>
        <w:jc w:val="both"/>
      </w:pPr>
    </w:p>
    <w:p w:rsidR="00E35632" w:rsidRDefault="00E35632">
      <w:pPr>
        <w:pStyle w:val="ConsPlusNormal"/>
        <w:jc w:val="right"/>
      </w:pPr>
      <w:bookmarkStart w:id="295" w:name="P6568"/>
      <w:bookmarkEnd w:id="295"/>
      <w:r>
        <w:t>Таблица В.2</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940"/>
        <w:gridCol w:w="3120"/>
        <w:gridCol w:w="2930"/>
      </w:tblGrid>
      <w:tr w:rsidR="00E35632">
        <w:tc>
          <w:tcPr>
            <w:tcW w:w="8990" w:type="dxa"/>
            <w:gridSpan w:val="3"/>
            <w:vAlign w:val="center"/>
          </w:tcPr>
          <w:p w:rsidR="00E35632" w:rsidRDefault="00E35632">
            <w:pPr>
              <w:pStyle w:val="ConsPlusNormal"/>
              <w:jc w:val="center"/>
            </w:pPr>
            <w:r>
              <w:t xml:space="preserve">Коэффициент </w:t>
            </w:r>
            <w:r>
              <w:rPr>
                <w:i/>
              </w:rPr>
              <w:t>k</w:t>
            </w:r>
            <w:r>
              <w:rPr>
                <w:i/>
                <w:vertAlign w:val="subscript"/>
              </w:rPr>
              <w:t>m</w:t>
            </w:r>
            <w:r>
              <w:t xml:space="preserve"> при ширине фундамента </w:t>
            </w:r>
            <w:r>
              <w:rPr>
                <w:i/>
              </w:rPr>
              <w:t>b</w:t>
            </w:r>
            <w:r>
              <w:t>, м, равной</w:t>
            </w:r>
          </w:p>
        </w:tc>
      </w:tr>
      <w:tr w:rsidR="00E35632">
        <w:tc>
          <w:tcPr>
            <w:tcW w:w="2940" w:type="dxa"/>
            <w:vAlign w:val="center"/>
          </w:tcPr>
          <w:p w:rsidR="00E35632" w:rsidRDefault="00E35632">
            <w:pPr>
              <w:pStyle w:val="ConsPlusNormal"/>
              <w:jc w:val="center"/>
            </w:pPr>
            <w:r>
              <w:rPr>
                <w:i/>
              </w:rPr>
              <w:t>b</w:t>
            </w:r>
            <w:r>
              <w:t xml:space="preserve"> &lt; 10</w:t>
            </w:r>
          </w:p>
        </w:tc>
        <w:tc>
          <w:tcPr>
            <w:tcW w:w="3120" w:type="dxa"/>
            <w:vAlign w:val="center"/>
          </w:tcPr>
          <w:p w:rsidR="00E35632" w:rsidRDefault="00E35632">
            <w:pPr>
              <w:pStyle w:val="ConsPlusNormal"/>
              <w:jc w:val="center"/>
            </w:pPr>
            <w:r>
              <w:t xml:space="preserve">10 &lt;= </w:t>
            </w:r>
            <w:r>
              <w:rPr>
                <w:i/>
              </w:rPr>
              <w:t>b</w:t>
            </w:r>
            <w:r>
              <w:t xml:space="preserve"> &lt;= 15</w:t>
            </w:r>
          </w:p>
        </w:tc>
        <w:tc>
          <w:tcPr>
            <w:tcW w:w="2930" w:type="dxa"/>
            <w:vAlign w:val="center"/>
          </w:tcPr>
          <w:p w:rsidR="00E35632" w:rsidRDefault="00E35632">
            <w:pPr>
              <w:pStyle w:val="ConsPlusNormal"/>
              <w:jc w:val="center"/>
            </w:pPr>
            <w:r>
              <w:rPr>
                <w:i/>
              </w:rPr>
              <w:t>b</w:t>
            </w:r>
            <w:r>
              <w:t xml:space="preserve"> &gt; 15</w:t>
            </w:r>
          </w:p>
        </w:tc>
      </w:tr>
      <w:tr w:rsidR="00E35632">
        <w:tc>
          <w:tcPr>
            <w:tcW w:w="2940" w:type="dxa"/>
          </w:tcPr>
          <w:p w:rsidR="00E35632" w:rsidRDefault="00E35632">
            <w:pPr>
              <w:pStyle w:val="ConsPlusNormal"/>
              <w:jc w:val="center"/>
            </w:pPr>
            <w:r>
              <w:t>1</w:t>
            </w:r>
          </w:p>
        </w:tc>
        <w:tc>
          <w:tcPr>
            <w:tcW w:w="3120" w:type="dxa"/>
          </w:tcPr>
          <w:p w:rsidR="00E35632" w:rsidRDefault="00E35632">
            <w:pPr>
              <w:pStyle w:val="ConsPlusNormal"/>
              <w:jc w:val="center"/>
            </w:pPr>
            <w:r>
              <w:t>1,35</w:t>
            </w:r>
          </w:p>
        </w:tc>
        <w:tc>
          <w:tcPr>
            <w:tcW w:w="2930" w:type="dxa"/>
          </w:tcPr>
          <w:p w:rsidR="00E35632" w:rsidRDefault="00E35632">
            <w:pPr>
              <w:pStyle w:val="ConsPlusNormal"/>
              <w:jc w:val="center"/>
            </w:pPr>
            <w:r>
              <w:t>1,5</w:t>
            </w:r>
          </w:p>
        </w:tc>
      </w:tr>
    </w:tbl>
    <w:p w:rsidR="00E35632" w:rsidRDefault="00E35632">
      <w:pPr>
        <w:pStyle w:val="ConsPlusNormal"/>
        <w:jc w:val="both"/>
      </w:pPr>
    </w:p>
    <w:p w:rsidR="00E35632" w:rsidRDefault="00E35632">
      <w:pPr>
        <w:pStyle w:val="ConsPlusNormal"/>
        <w:jc w:val="right"/>
      </w:pPr>
      <w:bookmarkStart w:id="296" w:name="P6578"/>
      <w:bookmarkEnd w:id="296"/>
      <w:r>
        <w:t>Таблица В.3</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140"/>
        <w:gridCol w:w="960"/>
        <w:gridCol w:w="960"/>
        <w:gridCol w:w="979"/>
        <w:gridCol w:w="974"/>
        <w:gridCol w:w="965"/>
        <w:gridCol w:w="975"/>
        <w:gridCol w:w="970"/>
        <w:gridCol w:w="1137"/>
      </w:tblGrid>
      <w:tr w:rsidR="00E35632">
        <w:tc>
          <w:tcPr>
            <w:tcW w:w="1140" w:type="dxa"/>
            <w:vMerge w:val="restart"/>
            <w:vAlign w:val="center"/>
          </w:tcPr>
          <w:p w:rsidR="00E35632" w:rsidRDefault="00E35632">
            <w:pPr>
              <w:pStyle w:val="ConsPlusNormal"/>
              <w:jc w:val="center"/>
            </w:pPr>
            <w:r>
              <w:rPr>
                <w:noProof/>
                <w:position w:val="-5"/>
              </w:rPr>
              <w:drawing>
                <wp:inline distT="0" distB="0" distL="0" distR="0">
                  <wp:extent cx="645160" cy="215265"/>
                  <wp:effectExtent l="0" t="0" r="0" b="0"/>
                  <wp:docPr id="69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645160" cy="215265"/>
                          </a:xfrm>
                          <a:prstGeom prst="rect">
                            <a:avLst/>
                          </a:prstGeom>
                          <a:noFill/>
                          <a:ln>
                            <a:noFill/>
                          </a:ln>
                        </pic:spPr>
                      </pic:pic>
                    </a:graphicData>
                  </a:graphic>
                </wp:inline>
              </w:drawing>
            </w:r>
          </w:p>
        </w:tc>
        <w:tc>
          <w:tcPr>
            <w:tcW w:w="6783" w:type="dxa"/>
            <w:gridSpan w:val="7"/>
            <w:vAlign w:val="center"/>
          </w:tcPr>
          <w:p w:rsidR="00E35632" w:rsidRDefault="00E35632">
            <w:pPr>
              <w:pStyle w:val="ConsPlusNormal"/>
              <w:jc w:val="center"/>
            </w:pPr>
            <w:r>
              <w:t xml:space="preserve">Коэффициент </w:t>
            </w:r>
            <w:r>
              <w:rPr>
                <w:i/>
              </w:rPr>
              <w:t>k</w:t>
            </w:r>
            <w:r>
              <w:t xml:space="preserve"> для фундаментов</w:t>
            </w:r>
          </w:p>
        </w:tc>
        <w:tc>
          <w:tcPr>
            <w:tcW w:w="1137" w:type="dxa"/>
            <w:vMerge w:val="restart"/>
            <w:vAlign w:val="center"/>
          </w:tcPr>
          <w:p w:rsidR="00E35632" w:rsidRDefault="00E35632">
            <w:pPr>
              <w:pStyle w:val="ConsPlusNormal"/>
              <w:jc w:val="center"/>
            </w:pPr>
            <w:r>
              <w:t>ленточных </w:t>
            </w:r>
            <w:r>
              <w:rPr>
                <w:noProof/>
                <w:position w:val="-6"/>
              </w:rPr>
              <w:drawing>
                <wp:inline distT="0" distB="0" distL="0" distR="0">
                  <wp:extent cx="578485" cy="219075"/>
                  <wp:effectExtent l="0" t="0" r="0" b="0"/>
                  <wp:docPr id="69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578485" cy="219075"/>
                          </a:xfrm>
                          <a:prstGeom prst="rect">
                            <a:avLst/>
                          </a:prstGeom>
                          <a:noFill/>
                          <a:ln>
                            <a:noFill/>
                          </a:ln>
                        </pic:spPr>
                      </pic:pic>
                    </a:graphicData>
                  </a:graphic>
                </wp:inline>
              </w:drawing>
            </w:r>
          </w:p>
        </w:tc>
      </w:tr>
      <w:tr w:rsidR="00E35632">
        <w:tc>
          <w:tcPr>
            <w:tcW w:w="0" w:type="auto"/>
            <w:vMerge/>
          </w:tcPr>
          <w:p w:rsidR="00E35632" w:rsidRDefault="00E35632">
            <w:pPr>
              <w:pStyle w:val="ConsPlusNormal"/>
            </w:pPr>
          </w:p>
        </w:tc>
        <w:tc>
          <w:tcPr>
            <w:tcW w:w="960" w:type="dxa"/>
            <w:vMerge w:val="restart"/>
            <w:vAlign w:val="center"/>
          </w:tcPr>
          <w:p w:rsidR="00E35632" w:rsidRDefault="00E35632">
            <w:pPr>
              <w:pStyle w:val="ConsPlusNormal"/>
              <w:jc w:val="center"/>
            </w:pPr>
            <w:r>
              <w:t>круглых</w:t>
            </w:r>
          </w:p>
        </w:tc>
        <w:tc>
          <w:tcPr>
            <w:tcW w:w="5823" w:type="dxa"/>
            <w:gridSpan w:val="6"/>
            <w:vAlign w:val="center"/>
          </w:tcPr>
          <w:p w:rsidR="00E35632" w:rsidRDefault="00E35632">
            <w:pPr>
              <w:pStyle w:val="ConsPlusNormal"/>
              <w:jc w:val="center"/>
            </w:pPr>
            <w:r>
              <w:t xml:space="preserve">прямоугольных с соотношением сторон </w:t>
            </w:r>
            <w:r>
              <w:rPr>
                <w:noProof/>
                <w:position w:val="-6"/>
              </w:rPr>
              <w:drawing>
                <wp:inline distT="0" distB="0" distL="0" distR="0">
                  <wp:extent cx="544830" cy="219075"/>
                  <wp:effectExtent l="0" t="0" r="0" b="0"/>
                  <wp:docPr id="69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544830" cy="219075"/>
                          </a:xfrm>
                          <a:prstGeom prst="rect">
                            <a:avLst/>
                          </a:prstGeom>
                          <a:noFill/>
                          <a:ln>
                            <a:noFill/>
                          </a:ln>
                        </pic:spPr>
                      </pic:pic>
                    </a:graphicData>
                  </a:graphic>
                </wp:inline>
              </w:drawing>
            </w:r>
            <w:r>
              <w:t>, равным</w:t>
            </w:r>
          </w:p>
        </w:tc>
        <w:tc>
          <w:tcPr>
            <w:tcW w:w="0" w:type="auto"/>
            <w:vMerge/>
          </w:tcPr>
          <w:p w:rsidR="00E35632" w:rsidRDefault="00E35632">
            <w:pPr>
              <w:pStyle w:val="ConsPlusNormal"/>
            </w:pPr>
          </w:p>
        </w:tc>
      </w:tr>
      <w:tr w:rsidR="00E35632">
        <w:tc>
          <w:tcPr>
            <w:tcW w:w="0" w:type="auto"/>
            <w:vMerge/>
          </w:tcPr>
          <w:p w:rsidR="00E35632" w:rsidRDefault="00E35632">
            <w:pPr>
              <w:pStyle w:val="ConsPlusNormal"/>
            </w:pPr>
          </w:p>
        </w:tc>
        <w:tc>
          <w:tcPr>
            <w:tcW w:w="0" w:type="auto"/>
            <w:vMerge/>
          </w:tcPr>
          <w:p w:rsidR="00E35632" w:rsidRDefault="00E35632">
            <w:pPr>
              <w:pStyle w:val="ConsPlusNormal"/>
            </w:pPr>
          </w:p>
        </w:tc>
        <w:tc>
          <w:tcPr>
            <w:tcW w:w="960" w:type="dxa"/>
            <w:vAlign w:val="center"/>
          </w:tcPr>
          <w:p w:rsidR="00E35632" w:rsidRDefault="00E35632">
            <w:pPr>
              <w:pStyle w:val="ConsPlusNormal"/>
              <w:jc w:val="center"/>
            </w:pPr>
            <w:r>
              <w:t>1,0</w:t>
            </w:r>
          </w:p>
        </w:tc>
        <w:tc>
          <w:tcPr>
            <w:tcW w:w="979" w:type="dxa"/>
            <w:vAlign w:val="center"/>
          </w:tcPr>
          <w:p w:rsidR="00E35632" w:rsidRDefault="00E35632">
            <w:pPr>
              <w:pStyle w:val="ConsPlusNormal"/>
              <w:jc w:val="center"/>
            </w:pPr>
            <w:r>
              <w:t>1,4</w:t>
            </w:r>
          </w:p>
        </w:tc>
        <w:tc>
          <w:tcPr>
            <w:tcW w:w="974" w:type="dxa"/>
            <w:vAlign w:val="center"/>
          </w:tcPr>
          <w:p w:rsidR="00E35632" w:rsidRDefault="00E35632">
            <w:pPr>
              <w:pStyle w:val="ConsPlusNormal"/>
              <w:jc w:val="center"/>
            </w:pPr>
            <w:r>
              <w:t>1,8</w:t>
            </w:r>
          </w:p>
        </w:tc>
        <w:tc>
          <w:tcPr>
            <w:tcW w:w="965" w:type="dxa"/>
            <w:vAlign w:val="center"/>
          </w:tcPr>
          <w:p w:rsidR="00E35632" w:rsidRDefault="00E35632">
            <w:pPr>
              <w:pStyle w:val="ConsPlusNormal"/>
              <w:jc w:val="center"/>
            </w:pPr>
            <w:r>
              <w:t>2,4</w:t>
            </w:r>
          </w:p>
        </w:tc>
        <w:tc>
          <w:tcPr>
            <w:tcW w:w="975" w:type="dxa"/>
            <w:vAlign w:val="center"/>
          </w:tcPr>
          <w:p w:rsidR="00E35632" w:rsidRDefault="00E35632">
            <w:pPr>
              <w:pStyle w:val="ConsPlusNormal"/>
              <w:jc w:val="center"/>
            </w:pPr>
            <w:r>
              <w:t>3,2</w:t>
            </w:r>
          </w:p>
        </w:tc>
        <w:tc>
          <w:tcPr>
            <w:tcW w:w="970" w:type="dxa"/>
            <w:vAlign w:val="center"/>
          </w:tcPr>
          <w:p w:rsidR="00E35632" w:rsidRDefault="00E35632">
            <w:pPr>
              <w:pStyle w:val="ConsPlusNormal"/>
              <w:jc w:val="center"/>
            </w:pPr>
            <w:r>
              <w:t>5</w:t>
            </w:r>
          </w:p>
        </w:tc>
        <w:tc>
          <w:tcPr>
            <w:tcW w:w="0" w:type="auto"/>
            <w:vMerge/>
          </w:tcPr>
          <w:p w:rsidR="00E35632" w:rsidRDefault="00E35632">
            <w:pPr>
              <w:pStyle w:val="ConsPlusNormal"/>
            </w:pPr>
          </w:p>
        </w:tc>
      </w:tr>
      <w:tr w:rsidR="00E35632">
        <w:tc>
          <w:tcPr>
            <w:tcW w:w="1140" w:type="dxa"/>
          </w:tcPr>
          <w:p w:rsidR="00E35632" w:rsidRDefault="00E35632">
            <w:pPr>
              <w:pStyle w:val="ConsPlusNormal"/>
              <w:jc w:val="center"/>
            </w:pPr>
            <w:r>
              <w:t>0</w:t>
            </w:r>
          </w:p>
        </w:tc>
        <w:tc>
          <w:tcPr>
            <w:tcW w:w="960" w:type="dxa"/>
          </w:tcPr>
          <w:p w:rsidR="00E35632" w:rsidRDefault="00E35632">
            <w:pPr>
              <w:pStyle w:val="ConsPlusNormal"/>
              <w:jc w:val="center"/>
            </w:pPr>
            <w:r>
              <w:t>0,000</w:t>
            </w:r>
          </w:p>
        </w:tc>
        <w:tc>
          <w:tcPr>
            <w:tcW w:w="960" w:type="dxa"/>
          </w:tcPr>
          <w:p w:rsidR="00E35632" w:rsidRDefault="00E35632">
            <w:pPr>
              <w:pStyle w:val="ConsPlusNormal"/>
              <w:jc w:val="center"/>
            </w:pPr>
            <w:r>
              <w:t>0,000</w:t>
            </w:r>
          </w:p>
        </w:tc>
        <w:tc>
          <w:tcPr>
            <w:tcW w:w="979" w:type="dxa"/>
          </w:tcPr>
          <w:p w:rsidR="00E35632" w:rsidRDefault="00E35632">
            <w:pPr>
              <w:pStyle w:val="ConsPlusNormal"/>
              <w:jc w:val="center"/>
            </w:pPr>
            <w:r>
              <w:t>0,000</w:t>
            </w:r>
          </w:p>
        </w:tc>
        <w:tc>
          <w:tcPr>
            <w:tcW w:w="974" w:type="dxa"/>
          </w:tcPr>
          <w:p w:rsidR="00E35632" w:rsidRDefault="00E35632">
            <w:pPr>
              <w:pStyle w:val="ConsPlusNormal"/>
              <w:jc w:val="center"/>
            </w:pPr>
            <w:r>
              <w:t>0,000</w:t>
            </w:r>
          </w:p>
        </w:tc>
        <w:tc>
          <w:tcPr>
            <w:tcW w:w="965" w:type="dxa"/>
          </w:tcPr>
          <w:p w:rsidR="00E35632" w:rsidRDefault="00E35632">
            <w:pPr>
              <w:pStyle w:val="ConsPlusNormal"/>
              <w:jc w:val="center"/>
            </w:pPr>
            <w:r>
              <w:t>0,000</w:t>
            </w:r>
          </w:p>
        </w:tc>
        <w:tc>
          <w:tcPr>
            <w:tcW w:w="975" w:type="dxa"/>
          </w:tcPr>
          <w:p w:rsidR="00E35632" w:rsidRDefault="00E35632">
            <w:pPr>
              <w:pStyle w:val="ConsPlusNormal"/>
              <w:jc w:val="center"/>
            </w:pPr>
            <w:r>
              <w:t>0,000</w:t>
            </w:r>
          </w:p>
        </w:tc>
        <w:tc>
          <w:tcPr>
            <w:tcW w:w="970" w:type="dxa"/>
          </w:tcPr>
          <w:p w:rsidR="00E35632" w:rsidRDefault="00E35632">
            <w:pPr>
              <w:pStyle w:val="ConsPlusNormal"/>
              <w:jc w:val="center"/>
            </w:pPr>
            <w:r>
              <w:t>0,000</w:t>
            </w:r>
          </w:p>
        </w:tc>
        <w:tc>
          <w:tcPr>
            <w:tcW w:w="1137" w:type="dxa"/>
          </w:tcPr>
          <w:p w:rsidR="00E35632" w:rsidRDefault="00E35632">
            <w:pPr>
              <w:pStyle w:val="ConsPlusNormal"/>
              <w:jc w:val="center"/>
            </w:pPr>
            <w:r>
              <w:t>0,000</w:t>
            </w:r>
          </w:p>
        </w:tc>
      </w:tr>
      <w:tr w:rsidR="00E35632">
        <w:tc>
          <w:tcPr>
            <w:tcW w:w="1140" w:type="dxa"/>
          </w:tcPr>
          <w:p w:rsidR="00E35632" w:rsidRDefault="00E35632">
            <w:pPr>
              <w:pStyle w:val="ConsPlusNormal"/>
              <w:jc w:val="center"/>
            </w:pPr>
            <w:r>
              <w:t>0,4</w:t>
            </w:r>
          </w:p>
        </w:tc>
        <w:tc>
          <w:tcPr>
            <w:tcW w:w="960" w:type="dxa"/>
          </w:tcPr>
          <w:p w:rsidR="00E35632" w:rsidRDefault="00E35632">
            <w:pPr>
              <w:pStyle w:val="ConsPlusNormal"/>
              <w:jc w:val="center"/>
            </w:pPr>
            <w:r>
              <w:t>0,090</w:t>
            </w:r>
          </w:p>
        </w:tc>
        <w:tc>
          <w:tcPr>
            <w:tcW w:w="960" w:type="dxa"/>
          </w:tcPr>
          <w:p w:rsidR="00E35632" w:rsidRDefault="00E35632">
            <w:pPr>
              <w:pStyle w:val="ConsPlusNormal"/>
              <w:jc w:val="center"/>
            </w:pPr>
            <w:r>
              <w:t>0,100</w:t>
            </w:r>
          </w:p>
        </w:tc>
        <w:tc>
          <w:tcPr>
            <w:tcW w:w="979" w:type="dxa"/>
          </w:tcPr>
          <w:p w:rsidR="00E35632" w:rsidRDefault="00E35632">
            <w:pPr>
              <w:pStyle w:val="ConsPlusNormal"/>
              <w:jc w:val="center"/>
            </w:pPr>
            <w:r>
              <w:t>0,100</w:t>
            </w:r>
          </w:p>
        </w:tc>
        <w:tc>
          <w:tcPr>
            <w:tcW w:w="974" w:type="dxa"/>
          </w:tcPr>
          <w:p w:rsidR="00E35632" w:rsidRDefault="00E35632">
            <w:pPr>
              <w:pStyle w:val="ConsPlusNormal"/>
              <w:jc w:val="center"/>
            </w:pPr>
            <w:r>
              <w:t>0,100</w:t>
            </w:r>
          </w:p>
        </w:tc>
        <w:tc>
          <w:tcPr>
            <w:tcW w:w="965" w:type="dxa"/>
          </w:tcPr>
          <w:p w:rsidR="00E35632" w:rsidRDefault="00E35632">
            <w:pPr>
              <w:pStyle w:val="ConsPlusNormal"/>
              <w:jc w:val="center"/>
            </w:pPr>
            <w:r>
              <w:t>0,100</w:t>
            </w:r>
          </w:p>
        </w:tc>
        <w:tc>
          <w:tcPr>
            <w:tcW w:w="975" w:type="dxa"/>
          </w:tcPr>
          <w:p w:rsidR="00E35632" w:rsidRDefault="00E35632">
            <w:pPr>
              <w:pStyle w:val="ConsPlusNormal"/>
              <w:jc w:val="center"/>
            </w:pPr>
            <w:r>
              <w:t>0,100</w:t>
            </w:r>
          </w:p>
        </w:tc>
        <w:tc>
          <w:tcPr>
            <w:tcW w:w="970" w:type="dxa"/>
          </w:tcPr>
          <w:p w:rsidR="00E35632" w:rsidRDefault="00E35632">
            <w:pPr>
              <w:pStyle w:val="ConsPlusNormal"/>
              <w:jc w:val="center"/>
            </w:pPr>
            <w:r>
              <w:t>0,100</w:t>
            </w:r>
          </w:p>
        </w:tc>
        <w:tc>
          <w:tcPr>
            <w:tcW w:w="1137" w:type="dxa"/>
          </w:tcPr>
          <w:p w:rsidR="00E35632" w:rsidRDefault="00E35632">
            <w:pPr>
              <w:pStyle w:val="ConsPlusNormal"/>
              <w:jc w:val="center"/>
            </w:pPr>
            <w:r>
              <w:t>0,104</w:t>
            </w:r>
          </w:p>
        </w:tc>
      </w:tr>
      <w:tr w:rsidR="00E35632">
        <w:tc>
          <w:tcPr>
            <w:tcW w:w="1140" w:type="dxa"/>
          </w:tcPr>
          <w:p w:rsidR="00E35632" w:rsidRDefault="00E35632">
            <w:pPr>
              <w:pStyle w:val="ConsPlusNormal"/>
              <w:jc w:val="center"/>
            </w:pPr>
            <w:r>
              <w:t>0,8</w:t>
            </w:r>
          </w:p>
        </w:tc>
        <w:tc>
          <w:tcPr>
            <w:tcW w:w="960" w:type="dxa"/>
          </w:tcPr>
          <w:p w:rsidR="00E35632" w:rsidRDefault="00E35632">
            <w:pPr>
              <w:pStyle w:val="ConsPlusNormal"/>
              <w:jc w:val="center"/>
            </w:pPr>
            <w:r>
              <w:t>0,179</w:t>
            </w:r>
          </w:p>
        </w:tc>
        <w:tc>
          <w:tcPr>
            <w:tcW w:w="960" w:type="dxa"/>
          </w:tcPr>
          <w:p w:rsidR="00E35632" w:rsidRDefault="00E35632">
            <w:pPr>
              <w:pStyle w:val="ConsPlusNormal"/>
              <w:jc w:val="center"/>
            </w:pPr>
            <w:r>
              <w:t>0,200</w:t>
            </w:r>
          </w:p>
        </w:tc>
        <w:tc>
          <w:tcPr>
            <w:tcW w:w="979" w:type="dxa"/>
          </w:tcPr>
          <w:p w:rsidR="00E35632" w:rsidRDefault="00E35632">
            <w:pPr>
              <w:pStyle w:val="ConsPlusNormal"/>
              <w:jc w:val="center"/>
            </w:pPr>
            <w:r>
              <w:t>0,200</w:t>
            </w:r>
          </w:p>
        </w:tc>
        <w:tc>
          <w:tcPr>
            <w:tcW w:w="974" w:type="dxa"/>
          </w:tcPr>
          <w:p w:rsidR="00E35632" w:rsidRDefault="00E35632">
            <w:pPr>
              <w:pStyle w:val="ConsPlusNormal"/>
              <w:jc w:val="center"/>
            </w:pPr>
            <w:r>
              <w:t>0,200</w:t>
            </w:r>
          </w:p>
        </w:tc>
        <w:tc>
          <w:tcPr>
            <w:tcW w:w="965" w:type="dxa"/>
          </w:tcPr>
          <w:p w:rsidR="00E35632" w:rsidRDefault="00E35632">
            <w:pPr>
              <w:pStyle w:val="ConsPlusNormal"/>
              <w:jc w:val="center"/>
            </w:pPr>
            <w:r>
              <w:t>0,200</w:t>
            </w:r>
          </w:p>
        </w:tc>
        <w:tc>
          <w:tcPr>
            <w:tcW w:w="975" w:type="dxa"/>
          </w:tcPr>
          <w:p w:rsidR="00E35632" w:rsidRDefault="00E35632">
            <w:pPr>
              <w:pStyle w:val="ConsPlusNormal"/>
              <w:jc w:val="center"/>
            </w:pPr>
            <w:r>
              <w:t>0,200</w:t>
            </w:r>
          </w:p>
        </w:tc>
        <w:tc>
          <w:tcPr>
            <w:tcW w:w="970" w:type="dxa"/>
          </w:tcPr>
          <w:p w:rsidR="00E35632" w:rsidRDefault="00E35632">
            <w:pPr>
              <w:pStyle w:val="ConsPlusNormal"/>
              <w:jc w:val="center"/>
            </w:pPr>
            <w:r>
              <w:t>0,200</w:t>
            </w:r>
          </w:p>
        </w:tc>
        <w:tc>
          <w:tcPr>
            <w:tcW w:w="1137" w:type="dxa"/>
          </w:tcPr>
          <w:p w:rsidR="00E35632" w:rsidRDefault="00E35632">
            <w:pPr>
              <w:pStyle w:val="ConsPlusNormal"/>
              <w:jc w:val="center"/>
            </w:pPr>
            <w:r>
              <w:t>0,208</w:t>
            </w:r>
          </w:p>
        </w:tc>
      </w:tr>
      <w:tr w:rsidR="00E35632">
        <w:tc>
          <w:tcPr>
            <w:tcW w:w="1140" w:type="dxa"/>
          </w:tcPr>
          <w:p w:rsidR="00E35632" w:rsidRDefault="00E35632">
            <w:pPr>
              <w:pStyle w:val="ConsPlusNormal"/>
              <w:jc w:val="center"/>
            </w:pPr>
            <w:r>
              <w:t>1,2</w:t>
            </w:r>
          </w:p>
        </w:tc>
        <w:tc>
          <w:tcPr>
            <w:tcW w:w="960" w:type="dxa"/>
          </w:tcPr>
          <w:p w:rsidR="00E35632" w:rsidRDefault="00E35632">
            <w:pPr>
              <w:pStyle w:val="ConsPlusNormal"/>
              <w:jc w:val="center"/>
            </w:pPr>
            <w:r>
              <w:t>0,266</w:t>
            </w:r>
          </w:p>
        </w:tc>
        <w:tc>
          <w:tcPr>
            <w:tcW w:w="960" w:type="dxa"/>
          </w:tcPr>
          <w:p w:rsidR="00E35632" w:rsidRDefault="00E35632">
            <w:pPr>
              <w:pStyle w:val="ConsPlusNormal"/>
              <w:jc w:val="center"/>
            </w:pPr>
            <w:r>
              <w:t>0,299</w:t>
            </w:r>
          </w:p>
        </w:tc>
        <w:tc>
          <w:tcPr>
            <w:tcW w:w="979" w:type="dxa"/>
          </w:tcPr>
          <w:p w:rsidR="00E35632" w:rsidRDefault="00E35632">
            <w:pPr>
              <w:pStyle w:val="ConsPlusNormal"/>
              <w:jc w:val="center"/>
            </w:pPr>
            <w:r>
              <w:t>0,300</w:t>
            </w:r>
          </w:p>
        </w:tc>
        <w:tc>
          <w:tcPr>
            <w:tcW w:w="974" w:type="dxa"/>
          </w:tcPr>
          <w:p w:rsidR="00E35632" w:rsidRDefault="00E35632">
            <w:pPr>
              <w:pStyle w:val="ConsPlusNormal"/>
              <w:jc w:val="center"/>
            </w:pPr>
            <w:r>
              <w:t>0,300</w:t>
            </w:r>
          </w:p>
        </w:tc>
        <w:tc>
          <w:tcPr>
            <w:tcW w:w="965" w:type="dxa"/>
          </w:tcPr>
          <w:p w:rsidR="00E35632" w:rsidRDefault="00E35632">
            <w:pPr>
              <w:pStyle w:val="ConsPlusNormal"/>
              <w:jc w:val="center"/>
            </w:pPr>
            <w:r>
              <w:t>0,300</w:t>
            </w:r>
          </w:p>
        </w:tc>
        <w:tc>
          <w:tcPr>
            <w:tcW w:w="975" w:type="dxa"/>
          </w:tcPr>
          <w:p w:rsidR="00E35632" w:rsidRDefault="00E35632">
            <w:pPr>
              <w:pStyle w:val="ConsPlusNormal"/>
              <w:jc w:val="center"/>
            </w:pPr>
            <w:r>
              <w:t>0,300</w:t>
            </w:r>
          </w:p>
        </w:tc>
        <w:tc>
          <w:tcPr>
            <w:tcW w:w="970" w:type="dxa"/>
          </w:tcPr>
          <w:p w:rsidR="00E35632" w:rsidRDefault="00E35632">
            <w:pPr>
              <w:pStyle w:val="ConsPlusNormal"/>
              <w:jc w:val="center"/>
            </w:pPr>
            <w:r>
              <w:t>0,300</w:t>
            </w:r>
          </w:p>
        </w:tc>
        <w:tc>
          <w:tcPr>
            <w:tcW w:w="1137" w:type="dxa"/>
          </w:tcPr>
          <w:p w:rsidR="00E35632" w:rsidRDefault="00E35632">
            <w:pPr>
              <w:pStyle w:val="ConsPlusNormal"/>
              <w:jc w:val="center"/>
            </w:pPr>
            <w:r>
              <w:t>0,311</w:t>
            </w:r>
          </w:p>
        </w:tc>
      </w:tr>
      <w:tr w:rsidR="00E35632">
        <w:tc>
          <w:tcPr>
            <w:tcW w:w="1140" w:type="dxa"/>
          </w:tcPr>
          <w:p w:rsidR="00E35632" w:rsidRDefault="00E35632">
            <w:pPr>
              <w:pStyle w:val="ConsPlusNormal"/>
              <w:jc w:val="center"/>
            </w:pPr>
            <w:r>
              <w:t>1,6</w:t>
            </w:r>
          </w:p>
        </w:tc>
        <w:tc>
          <w:tcPr>
            <w:tcW w:w="960" w:type="dxa"/>
          </w:tcPr>
          <w:p w:rsidR="00E35632" w:rsidRDefault="00E35632">
            <w:pPr>
              <w:pStyle w:val="ConsPlusNormal"/>
              <w:jc w:val="center"/>
            </w:pPr>
            <w:r>
              <w:t>0,348</w:t>
            </w:r>
          </w:p>
        </w:tc>
        <w:tc>
          <w:tcPr>
            <w:tcW w:w="960" w:type="dxa"/>
          </w:tcPr>
          <w:p w:rsidR="00E35632" w:rsidRDefault="00E35632">
            <w:pPr>
              <w:pStyle w:val="ConsPlusNormal"/>
              <w:jc w:val="center"/>
            </w:pPr>
            <w:r>
              <w:t>0,380</w:t>
            </w:r>
          </w:p>
        </w:tc>
        <w:tc>
          <w:tcPr>
            <w:tcW w:w="979" w:type="dxa"/>
          </w:tcPr>
          <w:p w:rsidR="00E35632" w:rsidRDefault="00E35632">
            <w:pPr>
              <w:pStyle w:val="ConsPlusNormal"/>
              <w:jc w:val="center"/>
            </w:pPr>
            <w:r>
              <w:t>0,394</w:t>
            </w:r>
          </w:p>
        </w:tc>
        <w:tc>
          <w:tcPr>
            <w:tcW w:w="974" w:type="dxa"/>
          </w:tcPr>
          <w:p w:rsidR="00E35632" w:rsidRDefault="00E35632">
            <w:pPr>
              <w:pStyle w:val="ConsPlusNormal"/>
              <w:jc w:val="center"/>
            </w:pPr>
            <w:r>
              <w:t>0,397</w:t>
            </w:r>
          </w:p>
        </w:tc>
        <w:tc>
          <w:tcPr>
            <w:tcW w:w="965" w:type="dxa"/>
          </w:tcPr>
          <w:p w:rsidR="00E35632" w:rsidRDefault="00E35632">
            <w:pPr>
              <w:pStyle w:val="ConsPlusNormal"/>
              <w:jc w:val="center"/>
            </w:pPr>
            <w:r>
              <w:t>0,397</w:t>
            </w:r>
          </w:p>
        </w:tc>
        <w:tc>
          <w:tcPr>
            <w:tcW w:w="975" w:type="dxa"/>
          </w:tcPr>
          <w:p w:rsidR="00E35632" w:rsidRDefault="00E35632">
            <w:pPr>
              <w:pStyle w:val="ConsPlusNormal"/>
              <w:jc w:val="center"/>
            </w:pPr>
            <w:r>
              <w:t>0,397</w:t>
            </w:r>
          </w:p>
        </w:tc>
        <w:tc>
          <w:tcPr>
            <w:tcW w:w="970" w:type="dxa"/>
          </w:tcPr>
          <w:p w:rsidR="00E35632" w:rsidRDefault="00E35632">
            <w:pPr>
              <w:pStyle w:val="ConsPlusNormal"/>
              <w:jc w:val="center"/>
            </w:pPr>
            <w:r>
              <w:t>0,397</w:t>
            </w:r>
          </w:p>
        </w:tc>
        <w:tc>
          <w:tcPr>
            <w:tcW w:w="1137" w:type="dxa"/>
          </w:tcPr>
          <w:p w:rsidR="00E35632" w:rsidRDefault="00E35632">
            <w:pPr>
              <w:pStyle w:val="ConsPlusNormal"/>
              <w:jc w:val="center"/>
            </w:pPr>
            <w:r>
              <w:t>0,412</w:t>
            </w:r>
          </w:p>
        </w:tc>
      </w:tr>
      <w:tr w:rsidR="00E35632">
        <w:tc>
          <w:tcPr>
            <w:tcW w:w="1140" w:type="dxa"/>
          </w:tcPr>
          <w:p w:rsidR="00E35632" w:rsidRDefault="00E35632">
            <w:pPr>
              <w:pStyle w:val="ConsPlusNormal"/>
              <w:jc w:val="center"/>
            </w:pPr>
            <w:r>
              <w:t>2,0</w:t>
            </w:r>
          </w:p>
        </w:tc>
        <w:tc>
          <w:tcPr>
            <w:tcW w:w="960" w:type="dxa"/>
          </w:tcPr>
          <w:p w:rsidR="00E35632" w:rsidRDefault="00E35632">
            <w:pPr>
              <w:pStyle w:val="ConsPlusNormal"/>
              <w:jc w:val="center"/>
            </w:pPr>
            <w:r>
              <w:t>0,411</w:t>
            </w:r>
          </w:p>
        </w:tc>
        <w:tc>
          <w:tcPr>
            <w:tcW w:w="960" w:type="dxa"/>
          </w:tcPr>
          <w:p w:rsidR="00E35632" w:rsidRDefault="00E35632">
            <w:pPr>
              <w:pStyle w:val="ConsPlusNormal"/>
              <w:jc w:val="center"/>
            </w:pPr>
            <w:r>
              <w:t>0,446</w:t>
            </w:r>
          </w:p>
        </w:tc>
        <w:tc>
          <w:tcPr>
            <w:tcW w:w="979" w:type="dxa"/>
          </w:tcPr>
          <w:p w:rsidR="00E35632" w:rsidRDefault="00E35632">
            <w:pPr>
              <w:pStyle w:val="ConsPlusNormal"/>
              <w:jc w:val="center"/>
            </w:pPr>
            <w:r>
              <w:t>0,472</w:t>
            </w:r>
          </w:p>
        </w:tc>
        <w:tc>
          <w:tcPr>
            <w:tcW w:w="974" w:type="dxa"/>
          </w:tcPr>
          <w:p w:rsidR="00E35632" w:rsidRDefault="00E35632">
            <w:pPr>
              <w:pStyle w:val="ConsPlusNormal"/>
              <w:jc w:val="center"/>
            </w:pPr>
            <w:r>
              <w:t>0,482</w:t>
            </w:r>
          </w:p>
        </w:tc>
        <w:tc>
          <w:tcPr>
            <w:tcW w:w="965" w:type="dxa"/>
          </w:tcPr>
          <w:p w:rsidR="00E35632" w:rsidRDefault="00E35632">
            <w:pPr>
              <w:pStyle w:val="ConsPlusNormal"/>
              <w:jc w:val="center"/>
            </w:pPr>
            <w:r>
              <w:t>0,486</w:t>
            </w:r>
          </w:p>
        </w:tc>
        <w:tc>
          <w:tcPr>
            <w:tcW w:w="975" w:type="dxa"/>
          </w:tcPr>
          <w:p w:rsidR="00E35632" w:rsidRDefault="00E35632">
            <w:pPr>
              <w:pStyle w:val="ConsPlusNormal"/>
              <w:jc w:val="center"/>
            </w:pPr>
            <w:r>
              <w:t>0,486</w:t>
            </w:r>
          </w:p>
        </w:tc>
        <w:tc>
          <w:tcPr>
            <w:tcW w:w="970" w:type="dxa"/>
          </w:tcPr>
          <w:p w:rsidR="00E35632" w:rsidRDefault="00E35632">
            <w:pPr>
              <w:pStyle w:val="ConsPlusNormal"/>
              <w:jc w:val="center"/>
            </w:pPr>
            <w:r>
              <w:t>0,486</w:t>
            </w:r>
          </w:p>
        </w:tc>
        <w:tc>
          <w:tcPr>
            <w:tcW w:w="1137" w:type="dxa"/>
          </w:tcPr>
          <w:p w:rsidR="00E35632" w:rsidRDefault="00E35632">
            <w:pPr>
              <w:pStyle w:val="ConsPlusNormal"/>
              <w:jc w:val="center"/>
            </w:pPr>
            <w:r>
              <w:t>0,511</w:t>
            </w:r>
          </w:p>
        </w:tc>
      </w:tr>
      <w:tr w:rsidR="00E35632">
        <w:tc>
          <w:tcPr>
            <w:tcW w:w="1140" w:type="dxa"/>
          </w:tcPr>
          <w:p w:rsidR="00E35632" w:rsidRDefault="00E35632">
            <w:pPr>
              <w:pStyle w:val="ConsPlusNormal"/>
              <w:jc w:val="center"/>
            </w:pPr>
            <w:r>
              <w:t>2,4</w:t>
            </w:r>
          </w:p>
        </w:tc>
        <w:tc>
          <w:tcPr>
            <w:tcW w:w="960" w:type="dxa"/>
          </w:tcPr>
          <w:p w:rsidR="00E35632" w:rsidRDefault="00E35632">
            <w:pPr>
              <w:pStyle w:val="ConsPlusNormal"/>
              <w:jc w:val="center"/>
            </w:pPr>
            <w:r>
              <w:t>0,461</w:t>
            </w:r>
          </w:p>
        </w:tc>
        <w:tc>
          <w:tcPr>
            <w:tcW w:w="960" w:type="dxa"/>
          </w:tcPr>
          <w:p w:rsidR="00E35632" w:rsidRDefault="00E35632">
            <w:pPr>
              <w:pStyle w:val="ConsPlusNormal"/>
              <w:jc w:val="center"/>
            </w:pPr>
            <w:r>
              <w:t>0,499</w:t>
            </w:r>
          </w:p>
        </w:tc>
        <w:tc>
          <w:tcPr>
            <w:tcW w:w="979" w:type="dxa"/>
          </w:tcPr>
          <w:p w:rsidR="00E35632" w:rsidRDefault="00E35632">
            <w:pPr>
              <w:pStyle w:val="ConsPlusNormal"/>
              <w:jc w:val="center"/>
            </w:pPr>
            <w:r>
              <w:t>0,538</w:t>
            </w:r>
          </w:p>
        </w:tc>
        <w:tc>
          <w:tcPr>
            <w:tcW w:w="974" w:type="dxa"/>
          </w:tcPr>
          <w:p w:rsidR="00E35632" w:rsidRDefault="00E35632">
            <w:pPr>
              <w:pStyle w:val="ConsPlusNormal"/>
              <w:jc w:val="center"/>
            </w:pPr>
            <w:r>
              <w:t>0,556</w:t>
            </w:r>
          </w:p>
        </w:tc>
        <w:tc>
          <w:tcPr>
            <w:tcW w:w="965" w:type="dxa"/>
          </w:tcPr>
          <w:p w:rsidR="00E35632" w:rsidRDefault="00E35632">
            <w:pPr>
              <w:pStyle w:val="ConsPlusNormal"/>
              <w:jc w:val="center"/>
            </w:pPr>
            <w:r>
              <w:t>0,565</w:t>
            </w:r>
          </w:p>
        </w:tc>
        <w:tc>
          <w:tcPr>
            <w:tcW w:w="975" w:type="dxa"/>
          </w:tcPr>
          <w:p w:rsidR="00E35632" w:rsidRDefault="00E35632">
            <w:pPr>
              <w:pStyle w:val="ConsPlusNormal"/>
              <w:jc w:val="center"/>
            </w:pPr>
            <w:r>
              <w:t>0,567</w:t>
            </w:r>
          </w:p>
        </w:tc>
        <w:tc>
          <w:tcPr>
            <w:tcW w:w="970" w:type="dxa"/>
          </w:tcPr>
          <w:p w:rsidR="00E35632" w:rsidRDefault="00E35632">
            <w:pPr>
              <w:pStyle w:val="ConsPlusNormal"/>
              <w:jc w:val="center"/>
            </w:pPr>
            <w:r>
              <w:t>0,567</w:t>
            </w:r>
          </w:p>
        </w:tc>
        <w:tc>
          <w:tcPr>
            <w:tcW w:w="1137" w:type="dxa"/>
          </w:tcPr>
          <w:p w:rsidR="00E35632" w:rsidRDefault="00E35632">
            <w:pPr>
              <w:pStyle w:val="ConsPlusNormal"/>
              <w:jc w:val="center"/>
            </w:pPr>
            <w:r>
              <w:t>0,605</w:t>
            </w:r>
          </w:p>
        </w:tc>
      </w:tr>
      <w:tr w:rsidR="00E35632">
        <w:tc>
          <w:tcPr>
            <w:tcW w:w="1140" w:type="dxa"/>
          </w:tcPr>
          <w:p w:rsidR="00E35632" w:rsidRDefault="00E35632">
            <w:pPr>
              <w:pStyle w:val="ConsPlusNormal"/>
              <w:jc w:val="center"/>
            </w:pPr>
            <w:r>
              <w:t>2,8</w:t>
            </w:r>
          </w:p>
        </w:tc>
        <w:tc>
          <w:tcPr>
            <w:tcW w:w="960" w:type="dxa"/>
          </w:tcPr>
          <w:p w:rsidR="00E35632" w:rsidRDefault="00E35632">
            <w:pPr>
              <w:pStyle w:val="ConsPlusNormal"/>
              <w:jc w:val="center"/>
            </w:pPr>
            <w:r>
              <w:t>0,501</w:t>
            </w:r>
          </w:p>
        </w:tc>
        <w:tc>
          <w:tcPr>
            <w:tcW w:w="960" w:type="dxa"/>
          </w:tcPr>
          <w:p w:rsidR="00E35632" w:rsidRDefault="00E35632">
            <w:pPr>
              <w:pStyle w:val="ConsPlusNormal"/>
              <w:jc w:val="center"/>
            </w:pPr>
            <w:r>
              <w:t>0,542</w:t>
            </w:r>
          </w:p>
        </w:tc>
        <w:tc>
          <w:tcPr>
            <w:tcW w:w="979" w:type="dxa"/>
          </w:tcPr>
          <w:p w:rsidR="00E35632" w:rsidRDefault="00E35632">
            <w:pPr>
              <w:pStyle w:val="ConsPlusNormal"/>
              <w:jc w:val="center"/>
            </w:pPr>
            <w:r>
              <w:t>0,592</w:t>
            </w:r>
          </w:p>
        </w:tc>
        <w:tc>
          <w:tcPr>
            <w:tcW w:w="974" w:type="dxa"/>
          </w:tcPr>
          <w:p w:rsidR="00E35632" w:rsidRDefault="00E35632">
            <w:pPr>
              <w:pStyle w:val="ConsPlusNormal"/>
              <w:jc w:val="center"/>
            </w:pPr>
            <w:r>
              <w:t>0,618</w:t>
            </w:r>
          </w:p>
        </w:tc>
        <w:tc>
          <w:tcPr>
            <w:tcW w:w="965" w:type="dxa"/>
          </w:tcPr>
          <w:p w:rsidR="00E35632" w:rsidRDefault="00E35632">
            <w:pPr>
              <w:pStyle w:val="ConsPlusNormal"/>
              <w:jc w:val="center"/>
            </w:pPr>
            <w:r>
              <w:t>0,635</w:t>
            </w:r>
          </w:p>
        </w:tc>
        <w:tc>
          <w:tcPr>
            <w:tcW w:w="975" w:type="dxa"/>
          </w:tcPr>
          <w:p w:rsidR="00E35632" w:rsidRDefault="00E35632">
            <w:pPr>
              <w:pStyle w:val="ConsPlusNormal"/>
              <w:jc w:val="center"/>
            </w:pPr>
            <w:r>
              <w:t>0,640</w:t>
            </w:r>
          </w:p>
        </w:tc>
        <w:tc>
          <w:tcPr>
            <w:tcW w:w="970" w:type="dxa"/>
          </w:tcPr>
          <w:p w:rsidR="00E35632" w:rsidRDefault="00E35632">
            <w:pPr>
              <w:pStyle w:val="ConsPlusNormal"/>
              <w:jc w:val="center"/>
            </w:pPr>
            <w:r>
              <w:t>0,640</w:t>
            </w:r>
          </w:p>
        </w:tc>
        <w:tc>
          <w:tcPr>
            <w:tcW w:w="1137" w:type="dxa"/>
          </w:tcPr>
          <w:p w:rsidR="00E35632" w:rsidRDefault="00E35632">
            <w:pPr>
              <w:pStyle w:val="ConsPlusNormal"/>
              <w:jc w:val="center"/>
            </w:pPr>
            <w:r>
              <w:t>0,687</w:t>
            </w:r>
          </w:p>
        </w:tc>
      </w:tr>
      <w:tr w:rsidR="00E35632">
        <w:tc>
          <w:tcPr>
            <w:tcW w:w="1140" w:type="dxa"/>
          </w:tcPr>
          <w:p w:rsidR="00E35632" w:rsidRDefault="00E35632">
            <w:pPr>
              <w:pStyle w:val="ConsPlusNormal"/>
              <w:jc w:val="center"/>
            </w:pPr>
            <w:r>
              <w:t>3,2</w:t>
            </w:r>
          </w:p>
        </w:tc>
        <w:tc>
          <w:tcPr>
            <w:tcW w:w="960" w:type="dxa"/>
          </w:tcPr>
          <w:p w:rsidR="00E35632" w:rsidRDefault="00E35632">
            <w:pPr>
              <w:pStyle w:val="ConsPlusNormal"/>
              <w:jc w:val="center"/>
            </w:pPr>
            <w:r>
              <w:t>0,532</w:t>
            </w:r>
          </w:p>
        </w:tc>
        <w:tc>
          <w:tcPr>
            <w:tcW w:w="960" w:type="dxa"/>
          </w:tcPr>
          <w:p w:rsidR="00E35632" w:rsidRDefault="00E35632">
            <w:pPr>
              <w:pStyle w:val="ConsPlusNormal"/>
              <w:jc w:val="center"/>
            </w:pPr>
            <w:r>
              <w:t>0,577</w:t>
            </w:r>
          </w:p>
        </w:tc>
        <w:tc>
          <w:tcPr>
            <w:tcW w:w="979" w:type="dxa"/>
          </w:tcPr>
          <w:p w:rsidR="00E35632" w:rsidRDefault="00E35632">
            <w:pPr>
              <w:pStyle w:val="ConsPlusNormal"/>
              <w:jc w:val="center"/>
            </w:pPr>
            <w:r>
              <w:t>0,637</w:t>
            </w:r>
          </w:p>
        </w:tc>
        <w:tc>
          <w:tcPr>
            <w:tcW w:w="974" w:type="dxa"/>
          </w:tcPr>
          <w:p w:rsidR="00E35632" w:rsidRDefault="00E35632">
            <w:pPr>
              <w:pStyle w:val="ConsPlusNormal"/>
              <w:jc w:val="center"/>
            </w:pPr>
            <w:r>
              <w:t>0,671</w:t>
            </w:r>
          </w:p>
        </w:tc>
        <w:tc>
          <w:tcPr>
            <w:tcW w:w="965" w:type="dxa"/>
          </w:tcPr>
          <w:p w:rsidR="00E35632" w:rsidRDefault="00E35632">
            <w:pPr>
              <w:pStyle w:val="ConsPlusNormal"/>
              <w:jc w:val="center"/>
            </w:pPr>
            <w:r>
              <w:t>0,696</w:t>
            </w:r>
          </w:p>
        </w:tc>
        <w:tc>
          <w:tcPr>
            <w:tcW w:w="975" w:type="dxa"/>
          </w:tcPr>
          <w:p w:rsidR="00E35632" w:rsidRDefault="00E35632">
            <w:pPr>
              <w:pStyle w:val="ConsPlusNormal"/>
              <w:jc w:val="center"/>
            </w:pPr>
            <w:r>
              <w:t>0,707</w:t>
            </w:r>
          </w:p>
        </w:tc>
        <w:tc>
          <w:tcPr>
            <w:tcW w:w="970" w:type="dxa"/>
          </w:tcPr>
          <w:p w:rsidR="00E35632" w:rsidRDefault="00E35632">
            <w:pPr>
              <w:pStyle w:val="ConsPlusNormal"/>
              <w:jc w:val="center"/>
            </w:pPr>
            <w:r>
              <w:t>0,709</w:t>
            </w:r>
          </w:p>
        </w:tc>
        <w:tc>
          <w:tcPr>
            <w:tcW w:w="1137" w:type="dxa"/>
          </w:tcPr>
          <w:p w:rsidR="00E35632" w:rsidRDefault="00E35632">
            <w:pPr>
              <w:pStyle w:val="ConsPlusNormal"/>
              <w:jc w:val="center"/>
            </w:pPr>
            <w:r>
              <w:t>0,763</w:t>
            </w:r>
          </w:p>
        </w:tc>
      </w:tr>
      <w:tr w:rsidR="00E35632">
        <w:tc>
          <w:tcPr>
            <w:tcW w:w="1140" w:type="dxa"/>
          </w:tcPr>
          <w:p w:rsidR="00E35632" w:rsidRDefault="00E35632">
            <w:pPr>
              <w:pStyle w:val="ConsPlusNormal"/>
              <w:jc w:val="center"/>
            </w:pPr>
            <w:r>
              <w:t>3,6</w:t>
            </w:r>
          </w:p>
        </w:tc>
        <w:tc>
          <w:tcPr>
            <w:tcW w:w="960" w:type="dxa"/>
          </w:tcPr>
          <w:p w:rsidR="00E35632" w:rsidRDefault="00E35632">
            <w:pPr>
              <w:pStyle w:val="ConsPlusNormal"/>
              <w:jc w:val="center"/>
            </w:pPr>
            <w:r>
              <w:t>0,558</w:t>
            </w:r>
          </w:p>
        </w:tc>
        <w:tc>
          <w:tcPr>
            <w:tcW w:w="960" w:type="dxa"/>
          </w:tcPr>
          <w:p w:rsidR="00E35632" w:rsidRDefault="00E35632">
            <w:pPr>
              <w:pStyle w:val="ConsPlusNormal"/>
              <w:jc w:val="center"/>
            </w:pPr>
            <w:r>
              <w:t>0,606</w:t>
            </w:r>
          </w:p>
        </w:tc>
        <w:tc>
          <w:tcPr>
            <w:tcW w:w="979" w:type="dxa"/>
          </w:tcPr>
          <w:p w:rsidR="00E35632" w:rsidRDefault="00E35632">
            <w:pPr>
              <w:pStyle w:val="ConsPlusNormal"/>
              <w:jc w:val="center"/>
            </w:pPr>
            <w:r>
              <w:t>0,676</w:t>
            </w:r>
          </w:p>
        </w:tc>
        <w:tc>
          <w:tcPr>
            <w:tcW w:w="974" w:type="dxa"/>
          </w:tcPr>
          <w:p w:rsidR="00E35632" w:rsidRDefault="00E35632">
            <w:pPr>
              <w:pStyle w:val="ConsPlusNormal"/>
              <w:jc w:val="center"/>
            </w:pPr>
            <w:r>
              <w:t>0,717</w:t>
            </w:r>
          </w:p>
        </w:tc>
        <w:tc>
          <w:tcPr>
            <w:tcW w:w="965" w:type="dxa"/>
          </w:tcPr>
          <w:p w:rsidR="00E35632" w:rsidRDefault="00E35632">
            <w:pPr>
              <w:pStyle w:val="ConsPlusNormal"/>
              <w:jc w:val="center"/>
            </w:pPr>
            <w:r>
              <w:t>0,750</w:t>
            </w:r>
          </w:p>
        </w:tc>
        <w:tc>
          <w:tcPr>
            <w:tcW w:w="975" w:type="dxa"/>
          </w:tcPr>
          <w:p w:rsidR="00E35632" w:rsidRDefault="00E35632">
            <w:pPr>
              <w:pStyle w:val="ConsPlusNormal"/>
              <w:jc w:val="center"/>
            </w:pPr>
            <w:r>
              <w:t>0,768</w:t>
            </w:r>
          </w:p>
        </w:tc>
        <w:tc>
          <w:tcPr>
            <w:tcW w:w="970" w:type="dxa"/>
          </w:tcPr>
          <w:p w:rsidR="00E35632" w:rsidRDefault="00E35632">
            <w:pPr>
              <w:pStyle w:val="ConsPlusNormal"/>
              <w:jc w:val="center"/>
            </w:pPr>
            <w:r>
              <w:t>0,772</w:t>
            </w:r>
          </w:p>
        </w:tc>
        <w:tc>
          <w:tcPr>
            <w:tcW w:w="1137" w:type="dxa"/>
          </w:tcPr>
          <w:p w:rsidR="00E35632" w:rsidRDefault="00E35632">
            <w:pPr>
              <w:pStyle w:val="ConsPlusNormal"/>
              <w:jc w:val="center"/>
            </w:pPr>
            <w:r>
              <w:t>0,831</w:t>
            </w:r>
          </w:p>
        </w:tc>
      </w:tr>
      <w:tr w:rsidR="00E35632">
        <w:tc>
          <w:tcPr>
            <w:tcW w:w="1140" w:type="dxa"/>
          </w:tcPr>
          <w:p w:rsidR="00E35632" w:rsidRDefault="00E35632">
            <w:pPr>
              <w:pStyle w:val="ConsPlusNormal"/>
              <w:jc w:val="center"/>
            </w:pPr>
            <w:r>
              <w:t>4,0</w:t>
            </w:r>
          </w:p>
        </w:tc>
        <w:tc>
          <w:tcPr>
            <w:tcW w:w="960" w:type="dxa"/>
          </w:tcPr>
          <w:p w:rsidR="00E35632" w:rsidRDefault="00E35632">
            <w:pPr>
              <w:pStyle w:val="ConsPlusNormal"/>
              <w:jc w:val="center"/>
            </w:pPr>
            <w:r>
              <w:t>0,579</w:t>
            </w:r>
          </w:p>
        </w:tc>
        <w:tc>
          <w:tcPr>
            <w:tcW w:w="960" w:type="dxa"/>
          </w:tcPr>
          <w:p w:rsidR="00E35632" w:rsidRDefault="00E35632">
            <w:pPr>
              <w:pStyle w:val="ConsPlusNormal"/>
              <w:jc w:val="center"/>
            </w:pPr>
            <w:r>
              <w:t>0,630</w:t>
            </w:r>
          </w:p>
        </w:tc>
        <w:tc>
          <w:tcPr>
            <w:tcW w:w="979" w:type="dxa"/>
          </w:tcPr>
          <w:p w:rsidR="00E35632" w:rsidRDefault="00E35632">
            <w:pPr>
              <w:pStyle w:val="ConsPlusNormal"/>
              <w:jc w:val="center"/>
            </w:pPr>
            <w:r>
              <w:t>0,708</w:t>
            </w:r>
          </w:p>
        </w:tc>
        <w:tc>
          <w:tcPr>
            <w:tcW w:w="974" w:type="dxa"/>
          </w:tcPr>
          <w:p w:rsidR="00E35632" w:rsidRDefault="00E35632">
            <w:pPr>
              <w:pStyle w:val="ConsPlusNormal"/>
              <w:jc w:val="center"/>
            </w:pPr>
            <w:r>
              <w:t>0,756</w:t>
            </w:r>
          </w:p>
        </w:tc>
        <w:tc>
          <w:tcPr>
            <w:tcW w:w="965" w:type="dxa"/>
          </w:tcPr>
          <w:p w:rsidR="00E35632" w:rsidRDefault="00E35632">
            <w:pPr>
              <w:pStyle w:val="ConsPlusNormal"/>
              <w:jc w:val="center"/>
            </w:pPr>
            <w:r>
              <w:t>0,796</w:t>
            </w:r>
          </w:p>
        </w:tc>
        <w:tc>
          <w:tcPr>
            <w:tcW w:w="975" w:type="dxa"/>
          </w:tcPr>
          <w:p w:rsidR="00E35632" w:rsidRDefault="00E35632">
            <w:pPr>
              <w:pStyle w:val="ConsPlusNormal"/>
              <w:jc w:val="center"/>
            </w:pPr>
            <w:r>
              <w:t>0,820</w:t>
            </w:r>
          </w:p>
        </w:tc>
        <w:tc>
          <w:tcPr>
            <w:tcW w:w="970" w:type="dxa"/>
          </w:tcPr>
          <w:p w:rsidR="00E35632" w:rsidRDefault="00E35632">
            <w:pPr>
              <w:pStyle w:val="ConsPlusNormal"/>
              <w:jc w:val="center"/>
            </w:pPr>
            <w:r>
              <w:t>0,830</w:t>
            </w:r>
          </w:p>
        </w:tc>
        <w:tc>
          <w:tcPr>
            <w:tcW w:w="1137" w:type="dxa"/>
          </w:tcPr>
          <w:p w:rsidR="00E35632" w:rsidRDefault="00E35632">
            <w:pPr>
              <w:pStyle w:val="ConsPlusNormal"/>
              <w:jc w:val="center"/>
            </w:pPr>
            <w:r>
              <w:t>0,892</w:t>
            </w:r>
          </w:p>
        </w:tc>
      </w:tr>
      <w:tr w:rsidR="00E35632">
        <w:tc>
          <w:tcPr>
            <w:tcW w:w="1140" w:type="dxa"/>
          </w:tcPr>
          <w:p w:rsidR="00E35632" w:rsidRDefault="00E35632">
            <w:pPr>
              <w:pStyle w:val="ConsPlusNormal"/>
              <w:jc w:val="center"/>
            </w:pPr>
            <w:r>
              <w:t>4,4</w:t>
            </w:r>
          </w:p>
        </w:tc>
        <w:tc>
          <w:tcPr>
            <w:tcW w:w="960" w:type="dxa"/>
          </w:tcPr>
          <w:p w:rsidR="00E35632" w:rsidRDefault="00E35632">
            <w:pPr>
              <w:pStyle w:val="ConsPlusNormal"/>
              <w:jc w:val="center"/>
            </w:pPr>
            <w:r>
              <w:t>0,596</w:t>
            </w:r>
          </w:p>
        </w:tc>
        <w:tc>
          <w:tcPr>
            <w:tcW w:w="960" w:type="dxa"/>
          </w:tcPr>
          <w:p w:rsidR="00E35632" w:rsidRDefault="00E35632">
            <w:pPr>
              <w:pStyle w:val="ConsPlusNormal"/>
              <w:jc w:val="center"/>
            </w:pPr>
            <w:r>
              <w:t>0,650</w:t>
            </w:r>
          </w:p>
        </w:tc>
        <w:tc>
          <w:tcPr>
            <w:tcW w:w="979" w:type="dxa"/>
          </w:tcPr>
          <w:p w:rsidR="00E35632" w:rsidRDefault="00E35632">
            <w:pPr>
              <w:pStyle w:val="ConsPlusNormal"/>
              <w:jc w:val="center"/>
            </w:pPr>
            <w:r>
              <w:t>0,735</w:t>
            </w:r>
          </w:p>
        </w:tc>
        <w:tc>
          <w:tcPr>
            <w:tcW w:w="974" w:type="dxa"/>
          </w:tcPr>
          <w:p w:rsidR="00E35632" w:rsidRDefault="00E35632">
            <w:pPr>
              <w:pStyle w:val="ConsPlusNormal"/>
              <w:jc w:val="center"/>
            </w:pPr>
            <w:r>
              <w:t>0,789</w:t>
            </w:r>
          </w:p>
        </w:tc>
        <w:tc>
          <w:tcPr>
            <w:tcW w:w="965" w:type="dxa"/>
          </w:tcPr>
          <w:p w:rsidR="00E35632" w:rsidRDefault="00E35632">
            <w:pPr>
              <w:pStyle w:val="ConsPlusNormal"/>
              <w:jc w:val="center"/>
            </w:pPr>
            <w:r>
              <w:t>0,837</w:t>
            </w:r>
          </w:p>
        </w:tc>
        <w:tc>
          <w:tcPr>
            <w:tcW w:w="975" w:type="dxa"/>
          </w:tcPr>
          <w:p w:rsidR="00E35632" w:rsidRDefault="00E35632">
            <w:pPr>
              <w:pStyle w:val="ConsPlusNormal"/>
              <w:jc w:val="center"/>
            </w:pPr>
            <w:r>
              <w:t>0,867</w:t>
            </w:r>
          </w:p>
        </w:tc>
        <w:tc>
          <w:tcPr>
            <w:tcW w:w="970" w:type="dxa"/>
          </w:tcPr>
          <w:p w:rsidR="00E35632" w:rsidRDefault="00E35632">
            <w:pPr>
              <w:pStyle w:val="ConsPlusNormal"/>
              <w:jc w:val="center"/>
            </w:pPr>
            <w:r>
              <w:t>0,883</w:t>
            </w:r>
          </w:p>
        </w:tc>
        <w:tc>
          <w:tcPr>
            <w:tcW w:w="1137" w:type="dxa"/>
          </w:tcPr>
          <w:p w:rsidR="00E35632" w:rsidRDefault="00E35632">
            <w:pPr>
              <w:pStyle w:val="ConsPlusNormal"/>
              <w:jc w:val="center"/>
            </w:pPr>
            <w:r>
              <w:t>0,949</w:t>
            </w:r>
          </w:p>
        </w:tc>
      </w:tr>
      <w:tr w:rsidR="00E35632">
        <w:tc>
          <w:tcPr>
            <w:tcW w:w="1140" w:type="dxa"/>
          </w:tcPr>
          <w:p w:rsidR="00E35632" w:rsidRDefault="00E35632">
            <w:pPr>
              <w:pStyle w:val="ConsPlusNormal"/>
              <w:jc w:val="center"/>
            </w:pPr>
            <w:r>
              <w:t>4,8</w:t>
            </w:r>
          </w:p>
        </w:tc>
        <w:tc>
          <w:tcPr>
            <w:tcW w:w="960" w:type="dxa"/>
          </w:tcPr>
          <w:p w:rsidR="00E35632" w:rsidRDefault="00E35632">
            <w:pPr>
              <w:pStyle w:val="ConsPlusNormal"/>
              <w:jc w:val="center"/>
            </w:pPr>
            <w:r>
              <w:t>0,611</w:t>
            </w:r>
          </w:p>
        </w:tc>
        <w:tc>
          <w:tcPr>
            <w:tcW w:w="960" w:type="dxa"/>
          </w:tcPr>
          <w:p w:rsidR="00E35632" w:rsidRDefault="00E35632">
            <w:pPr>
              <w:pStyle w:val="ConsPlusNormal"/>
              <w:jc w:val="center"/>
            </w:pPr>
            <w:r>
              <w:t>0,668</w:t>
            </w:r>
          </w:p>
        </w:tc>
        <w:tc>
          <w:tcPr>
            <w:tcW w:w="979" w:type="dxa"/>
          </w:tcPr>
          <w:p w:rsidR="00E35632" w:rsidRDefault="00E35632">
            <w:pPr>
              <w:pStyle w:val="ConsPlusNormal"/>
              <w:jc w:val="center"/>
            </w:pPr>
            <w:r>
              <w:t>0,759</w:t>
            </w:r>
          </w:p>
        </w:tc>
        <w:tc>
          <w:tcPr>
            <w:tcW w:w="974" w:type="dxa"/>
          </w:tcPr>
          <w:p w:rsidR="00E35632" w:rsidRDefault="00E35632">
            <w:pPr>
              <w:pStyle w:val="ConsPlusNormal"/>
              <w:jc w:val="center"/>
            </w:pPr>
            <w:r>
              <w:t>0,819</w:t>
            </w:r>
          </w:p>
        </w:tc>
        <w:tc>
          <w:tcPr>
            <w:tcW w:w="965" w:type="dxa"/>
          </w:tcPr>
          <w:p w:rsidR="00E35632" w:rsidRDefault="00E35632">
            <w:pPr>
              <w:pStyle w:val="ConsPlusNormal"/>
              <w:jc w:val="center"/>
            </w:pPr>
            <w:r>
              <w:t>0,873</w:t>
            </w:r>
          </w:p>
        </w:tc>
        <w:tc>
          <w:tcPr>
            <w:tcW w:w="975" w:type="dxa"/>
          </w:tcPr>
          <w:p w:rsidR="00E35632" w:rsidRDefault="00E35632">
            <w:pPr>
              <w:pStyle w:val="ConsPlusNormal"/>
              <w:jc w:val="center"/>
            </w:pPr>
            <w:r>
              <w:t>0,908</w:t>
            </w:r>
          </w:p>
        </w:tc>
        <w:tc>
          <w:tcPr>
            <w:tcW w:w="970" w:type="dxa"/>
          </w:tcPr>
          <w:p w:rsidR="00E35632" w:rsidRDefault="00E35632">
            <w:pPr>
              <w:pStyle w:val="ConsPlusNormal"/>
              <w:jc w:val="center"/>
            </w:pPr>
            <w:r>
              <w:t>0,932</w:t>
            </w:r>
          </w:p>
        </w:tc>
        <w:tc>
          <w:tcPr>
            <w:tcW w:w="1137" w:type="dxa"/>
          </w:tcPr>
          <w:p w:rsidR="00E35632" w:rsidRDefault="00E35632">
            <w:pPr>
              <w:pStyle w:val="ConsPlusNormal"/>
              <w:jc w:val="center"/>
            </w:pPr>
            <w:r>
              <w:t>1,001</w:t>
            </w:r>
          </w:p>
        </w:tc>
      </w:tr>
      <w:tr w:rsidR="00E35632">
        <w:tc>
          <w:tcPr>
            <w:tcW w:w="1140" w:type="dxa"/>
          </w:tcPr>
          <w:p w:rsidR="00E35632" w:rsidRDefault="00E35632">
            <w:pPr>
              <w:pStyle w:val="ConsPlusNormal"/>
              <w:jc w:val="center"/>
            </w:pPr>
            <w:r>
              <w:t>5,2</w:t>
            </w:r>
          </w:p>
        </w:tc>
        <w:tc>
          <w:tcPr>
            <w:tcW w:w="960" w:type="dxa"/>
          </w:tcPr>
          <w:p w:rsidR="00E35632" w:rsidRDefault="00E35632">
            <w:pPr>
              <w:pStyle w:val="ConsPlusNormal"/>
              <w:jc w:val="center"/>
            </w:pPr>
            <w:r>
              <w:t>0,634</w:t>
            </w:r>
          </w:p>
        </w:tc>
        <w:tc>
          <w:tcPr>
            <w:tcW w:w="960" w:type="dxa"/>
          </w:tcPr>
          <w:p w:rsidR="00E35632" w:rsidRDefault="00E35632">
            <w:pPr>
              <w:pStyle w:val="ConsPlusNormal"/>
              <w:jc w:val="center"/>
            </w:pPr>
            <w:r>
              <w:t>0,683</w:t>
            </w:r>
          </w:p>
        </w:tc>
        <w:tc>
          <w:tcPr>
            <w:tcW w:w="979" w:type="dxa"/>
          </w:tcPr>
          <w:p w:rsidR="00E35632" w:rsidRDefault="00E35632">
            <w:pPr>
              <w:pStyle w:val="ConsPlusNormal"/>
              <w:jc w:val="center"/>
            </w:pPr>
            <w:r>
              <w:t>0,780</w:t>
            </w:r>
          </w:p>
        </w:tc>
        <w:tc>
          <w:tcPr>
            <w:tcW w:w="974" w:type="dxa"/>
          </w:tcPr>
          <w:p w:rsidR="00E35632" w:rsidRDefault="00E35632">
            <w:pPr>
              <w:pStyle w:val="ConsPlusNormal"/>
              <w:jc w:val="center"/>
            </w:pPr>
            <w:r>
              <w:t>0,844</w:t>
            </w:r>
          </w:p>
        </w:tc>
        <w:tc>
          <w:tcPr>
            <w:tcW w:w="965" w:type="dxa"/>
          </w:tcPr>
          <w:p w:rsidR="00E35632" w:rsidRDefault="00E35632">
            <w:pPr>
              <w:pStyle w:val="ConsPlusNormal"/>
              <w:jc w:val="center"/>
            </w:pPr>
            <w:r>
              <w:t>0,904</w:t>
            </w:r>
          </w:p>
        </w:tc>
        <w:tc>
          <w:tcPr>
            <w:tcW w:w="975" w:type="dxa"/>
          </w:tcPr>
          <w:p w:rsidR="00E35632" w:rsidRDefault="00E35632">
            <w:pPr>
              <w:pStyle w:val="ConsPlusNormal"/>
              <w:jc w:val="center"/>
            </w:pPr>
            <w:r>
              <w:t>0,948</w:t>
            </w:r>
          </w:p>
        </w:tc>
        <w:tc>
          <w:tcPr>
            <w:tcW w:w="970" w:type="dxa"/>
          </w:tcPr>
          <w:p w:rsidR="00E35632" w:rsidRDefault="00E35632">
            <w:pPr>
              <w:pStyle w:val="ConsPlusNormal"/>
              <w:jc w:val="center"/>
            </w:pPr>
            <w:r>
              <w:t>0,977</w:t>
            </w:r>
          </w:p>
        </w:tc>
        <w:tc>
          <w:tcPr>
            <w:tcW w:w="1137" w:type="dxa"/>
          </w:tcPr>
          <w:p w:rsidR="00E35632" w:rsidRDefault="00E35632">
            <w:pPr>
              <w:pStyle w:val="ConsPlusNormal"/>
              <w:jc w:val="center"/>
            </w:pPr>
            <w:r>
              <w:t>1,050</w:t>
            </w:r>
          </w:p>
        </w:tc>
      </w:tr>
      <w:tr w:rsidR="00E35632">
        <w:tc>
          <w:tcPr>
            <w:tcW w:w="1140" w:type="dxa"/>
          </w:tcPr>
          <w:p w:rsidR="00E35632" w:rsidRDefault="00E35632">
            <w:pPr>
              <w:pStyle w:val="ConsPlusNormal"/>
              <w:jc w:val="center"/>
            </w:pPr>
            <w:r>
              <w:t>5,6</w:t>
            </w:r>
          </w:p>
        </w:tc>
        <w:tc>
          <w:tcPr>
            <w:tcW w:w="960" w:type="dxa"/>
          </w:tcPr>
          <w:p w:rsidR="00E35632" w:rsidRDefault="00E35632">
            <w:pPr>
              <w:pStyle w:val="ConsPlusNormal"/>
              <w:jc w:val="center"/>
            </w:pPr>
            <w:r>
              <w:t>0,635</w:t>
            </w:r>
          </w:p>
        </w:tc>
        <w:tc>
          <w:tcPr>
            <w:tcW w:w="960" w:type="dxa"/>
          </w:tcPr>
          <w:p w:rsidR="00E35632" w:rsidRDefault="00E35632">
            <w:pPr>
              <w:pStyle w:val="ConsPlusNormal"/>
              <w:jc w:val="center"/>
            </w:pPr>
            <w:r>
              <w:t>0,697</w:t>
            </w:r>
          </w:p>
        </w:tc>
        <w:tc>
          <w:tcPr>
            <w:tcW w:w="979" w:type="dxa"/>
          </w:tcPr>
          <w:p w:rsidR="00E35632" w:rsidRDefault="00E35632">
            <w:pPr>
              <w:pStyle w:val="ConsPlusNormal"/>
              <w:jc w:val="center"/>
            </w:pPr>
            <w:r>
              <w:t>0,798</w:t>
            </w:r>
          </w:p>
        </w:tc>
        <w:tc>
          <w:tcPr>
            <w:tcW w:w="974" w:type="dxa"/>
          </w:tcPr>
          <w:p w:rsidR="00E35632" w:rsidRDefault="00E35632">
            <w:pPr>
              <w:pStyle w:val="ConsPlusNormal"/>
              <w:jc w:val="center"/>
            </w:pPr>
            <w:r>
              <w:t>0,867</w:t>
            </w:r>
          </w:p>
        </w:tc>
        <w:tc>
          <w:tcPr>
            <w:tcW w:w="965" w:type="dxa"/>
          </w:tcPr>
          <w:p w:rsidR="00E35632" w:rsidRDefault="00E35632">
            <w:pPr>
              <w:pStyle w:val="ConsPlusNormal"/>
              <w:jc w:val="center"/>
            </w:pPr>
            <w:r>
              <w:t>0,933</w:t>
            </w:r>
          </w:p>
        </w:tc>
        <w:tc>
          <w:tcPr>
            <w:tcW w:w="975" w:type="dxa"/>
          </w:tcPr>
          <w:p w:rsidR="00E35632" w:rsidRDefault="00E35632">
            <w:pPr>
              <w:pStyle w:val="ConsPlusNormal"/>
              <w:jc w:val="center"/>
            </w:pPr>
            <w:r>
              <w:t>0,981</w:t>
            </w:r>
          </w:p>
        </w:tc>
        <w:tc>
          <w:tcPr>
            <w:tcW w:w="970" w:type="dxa"/>
          </w:tcPr>
          <w:p w:rsidR="00E35632" w:rsidRDefault="00E35632">
            <w:pPr>
              <w:pStyle w:val="ConsPlusNormal"/>
              <w:jc w:val="center"/>
            </w:pPr>
            <w:r>
              <w:t>1,018</w:t>
            </w:r>
          </w:p>
        </w:tc>
        <w:tc>
          <w:tcPr>
            <w:tcW w:w="1137" w:type="dxa"/>
          </w:tcPr>
          <w:p w:rsidR="00E35632" w:rsidRDefault="00E35632">
            <w:pPr>
              <w:pStyle w:val="ConsPlusNormal"/>
              <w:jc w:val="center"/>
            </w:pPr>
            <w:r>
              <w:t>1,095</w:t>
            </w:r>
          </w:p>
        </w:tc>
      </w:tr>
      <w:tr w:rsidR="00E35632">
        <w:tc>
          <w:tcPr>
            <w:tcW w:w="1140" w:type="dxa"/>
          </w:tcPr>
          <w:p w:rsidR="00E35632" w:rsidRDefault="00E35632">
            <w:pPr>
              <w:pStyle w:val="ConsPlusNormal"/>
              <w:jc w:val="center"/>
            </w:pPr>
            <w:r>
              <w:t>6,0</w:t>
            </w:r>
          </w:p>
        </w:tc>
        <w:tc>
          <w:tcPr>
            <w:tcW w:w="960" w:type="dxa"/>
          </w:tcPr>
          <w:p w:rsidR="00E35632" w:rsidRDefault="00E35632">
            <w:pPr>
              <w:pStyle w:val="ConsPlusNormal"/>
              <w:jc w:val="center"/>
            </w:pPr>
            <w:r>
              <w:t>0,645</w:t>
            </w:r>
          </w:p>
        </w:tc>
        <w:tc>
          <w:tcPr>
            <w:tcW w:w="960" w:type="dxa"/>
          </w:tcPr>
          <w:p w:rsidR="00E35632" w:rsidRDefault="00E35632">
            <w:pPr>
              <w:pStyle w:val="ConsPlusNormal"/>
              <w:jc w:val="center"/>
            </w:pPr>
            <w:r>
              <w:t>0,708</w:t>
            </w:r>
          </w:p>
        </w:tc>
        <w:tc>
          <w:tcPr>
            <w:tcW w:w="979" w:type="dxa"/>
          </w:tcPr>
          <w:p w:rsidR="00E35632" w:rsidRDefault="00E35632">
            <w:pPr>
              <w:pStyle w:val="ConsPlusNormal"/>
              <w:jc w:val="center"/>
            </w:pPr>
            <w:r>
              <w:t>0,814</w:t>
            </w:r>
          </w:p>
        </w:tc>
        <w:tc>
          <w:tcPr>
            <w:tcW w:w="974" w:type="dxa"/>
          </w:tcPr>
          <w:p w:rsidR="00E35632" w:rsidRDefault="00E35632">
            <w:pPr>
              <w:pStyle w:val="ConsPlusNormal"/>
              <w:jc w:val="center"/>
            </w:pPr>
            <w:r>
              <w:t>0,887</w:t>
            </w:r>
          </w:p>
        </w:tc>
        <w:tc>
          <w:tcPr>
            <w:tcW w:w="965" w:type="dxa"/>
          </w:tcPr>
          <w:p w:rsidR="00E35632" w:rsidRDefault="00E35632">
            <w:pPr>
              <w:pStyle w:val="ConsPlusNormal"/>
              <w:jc w:val="center"/>
            </w:pPr>
            <w:r>
              <w:t>0,958</w:t>
            </w:r>
          </w:p>
        </w:tc>
        <w:tc>
          <w:tcPr>
            <w:tcW w:w="975" w:type="dxa"/>
          </w:tcPr>
          <w:p w:rsidR="00E35632" w:rsidRDefault="00E35632">
            <w:pPr>
              <w:pStyle w:val="ConsPlusNormal"/>
              <w:jc w:val="center"/>
            </w:pPr>
            <w:r>
              <w:t>1,011</w:t>
            </w:r>
          </w:p>
        </w:tc>
        <w:tc>
          <w:tcPr>
            <w:tcW w:w="970" w:type="dxa"/>
          </w:tcPr>
          <w:p w:rsidR="00E35632" w:rsidRDefault="00E35632">
            <w:pPr>
              <w:pStyle w:val="ConsPlusNormal"/>
              <w:jc w:val="center"/>
            </w:pPr>
            <w:r>
              <w:t>1,056</w:t>
            </w:r>
          </w:p>
        </w:tc>
        <w:tc>
          <w:tcPr>
            <w:tcW w:w="1137" w:type="dxa"/>
          </w:tcPr>
          <w:p w:rsidR="00E35632" w:rsidRDefault="00E35632">
            <w:pPr>
              <w:pStyle w:val="ConsPlusNormal"/>
              <w:jc w:val="center"/>
            </w:pPr>
            <w:r>
              <w:t>1,138</w:t>
            </w:r>
          </w:p>
        </w:tc>
      </w:tr>
      <w:tr w:rsidR="00E35632">
        <w:tc>
          <w:tcPr>
            <w:tcW w:w="1140" w:type="dxa"/>
          </w:tcPr>
          <w:p w:rsidR="00E35632" w:rsidRDefault="00E35632">
            <w:pPr>
              <w:pStyle w:val="ConsPlusNormal"/>
              <w:jc w:val="center"/>
            </w:pPr>
            <w:r>
              <w:t>6,4</w:t>
            </w:r>
          </w:p>
        </w:tc>
        <w:tc>
          <w:tcPr>
            <w:tcW w:w="960" w:type="dxa"/>
          </w:tcPr>
          <w:p w:rsidR="00E35632" w:rsidRDefault="00E35632">
            <w:pPr>
              <w:pStyle w:val="ConsPlusNormal"/>
              <w:jc w:val="center"/>
            </w:pPr>
            <w:r>
              <w:t>0,653</w:t>
            </w:r>
          </w:p>
        </w:tc>
        <w:tc>
          <w:tcPr>
            <w:tcW w:w="960" w:type="dxa"/>
          </w:tcPr>
          <w:p w:rsidR="00E35632" w:rsidRDefault="00E35632">
            <w:pPr>
              <w:pStyle w:val="ConsPlusNormal"/>
              <w:jc w:val="center"/>
            </w:pPr>
            <w:r>
              <w:t>0,719</w:t>
            </w:r>
          </w:p>
        </w:tc>
        <w:tc>
          <w:tcPr>
            <w:tcW w:w="979" w:type="dxa"/>
          </w:tcPr>
          <w:p w:rsidR="00E35632" w:rsidRDefault="00E35632">
            <w:pPr>
              <w:pStyle w:val="ConsPlusNormal"/>
              <w:jc w:val="center"/>
            </w:pPr>
            <w:r>
              <w:t>0,828</w:t>
            </w:r>
          </w:p>
        </w:tc>
        <w:tc>
          <w:tcPr>
            <w:tcW w:w="974" w:type="dxa"/>
          </w:tcPr>
          <w:p w:rsidR="00E35632" w:rsidRDefault="00E35632">
            <w:pPr>
              <w:pStyle w:val="ConsPlusNormal"/>
              <w:jc w:val="center"/>
            </w:pPr>
            <w:r>
              <w:t>0,904</w:t>
            </w:r>
          </w:p>
        </w:tc>
        <w:tc>
          <w:tcPr>
            <w:tcW w:w="965" w:type="dxa"/>
          </w:tcPr>
          <w:p w:rsidR="00E35632" w:rsidRDefault="00E35632">
            <w:pPr>
              <w:pStyle w:val="ConsPlusNormal"/>
              <w:jc w:val="center"/>
            </w:pPr>
            <w:r>
              <w:t>0,980</w:t>
            </w:r>
          </w:p>
        </w:tc>
        <w:tc>
          <w:tcPr>
            <w:tcW w:w="975" w:type="dxa"/>
          </w:tcPr>
          <w:p w:rsidR="00E35632" w:rsidRDefault="00E35632">
            <w:pPr>
              <w:pStyle w:val="ConsPlusNormal"/>
              <w:jc w:val="center"/>
            </w:pPr>
            <w:r>
              <w:t>1,041</w:t>
            </w:r>
          </w:p>
        </w:tc>
        <w:tc>
          <w:tcPr>
            <w:tcW w:w="970" w:type="dxa"/>
          </w:tcPr>
          <w:p w:rsidR="00E35632" w:rsidRDefault="00E35632">
            <w:pPr>
              <w:pStyle w:val="ConsPlusNormal"/>
              <w:jc w:val="center"/>
            </w:pPr>
            <w:r>
              <w:t>1,090</w:t>
            </w:r>
          </w:p>
        </w:tc>
        <w:tc>
          <w:tcPr>
            <w:tcW w:w="1137" w:type="dxa"/>
          </w:tcPr>
          <w:p w:rsidR="00E35632" w:rsidRDefault="00E35632">
            <w:pPr>
              <w:pStyle w:val="ConsPlusNormal"/>
              <w:jc w:val="center"/>
            </w:pPr>
            <w:r>
              <w:t>1,178</w:t>
            </w:r>
          </w:p>
        </w:tc>
      </w:tr>
      <w:tr w:rsidR="00E35632">
        <w:tc>
          <w:tcPr>
            <w:tcW w:w="1140" w:type="dxa"/>
          </w:tcPr>
          <w:p w:rsidR="00E35632" w:rsidRDefault="00E35632">
            <w:pPr>
              <w:pStyle w:val="ConsPlusNormal"/>
              <w:jc w:val="center"/>
            </w:pPr>
            <w:r>
              <w:t>6,8</w:t>
            </w:r>
          </w:p>
        </w:tc>
        <w:tc>
          <w:tcPr>
            <w:tcW w:w="960" w:type="dxa"/>
          </w:tcPr>
          <w:p w:rsidR="00E35632" w:rsidRDefault="00E35632">
            <w:pPr>
              <w:pStyle w:val="ConsPlusNormal"/>
              <w:jc w:val="center"/>
            </w:pPr>
            <w:r>
              <w:t>0,661</w:t>
            </w:r>
          </w:p>
        </w:tc>
        <w:tc>
          <w:tcPr>
            <w:tcW w:w="960" w:type="dxa"/>
          </w:tcPr>
          <w:p w:rsidR="00E35632" w:rsidRDefault="00E35632">
            <w:pPr>
              <w:pStyle w:val="ConsPlusNormal"/>
              <w:jc w:val="center"/>
            </w:pPr>
            <w:r>
              <w:t>0,728</w:t>
            </w:r>
          </w:p>
        </w:tc>
        <w:tc>
          <w:tcPr>
            <w:tcW w:w="979" w:type="dxa"/>
          </w:tcPr>
          <w:p w:rsidR="00E35632" w:rsidRDefault="00E35632">
            <w:pPr>
              <w:pStyle w:val="ConsPlusNormal"/>
              <w:jc w:val="center"/>
            </w:pPr>
            <w:r>
              <w:t>0,841</w:t>
            </w:r>
          </w:p>
        </w:tc>
        <w:tc>
          <w:tcPr>
            <w:tcW w:w="974" w:type="dxa"/>
          </w:tcPr>
          <w:p w:rsidR="00E35632" w:rsidRDefault="00E35632">
            <w:pPr>
              <w:pStyle w:val="ConsPlusNormal"/>
              <w:jc w:val="center"/>
            </w:pPr>
            <w:r>
              <w:t>0,920</w:t>
            </w:r>
          </w:p>
        </w:tc>
        <w:tc>
          <w:tcPr>
            <w:tcW w:w="965" w:type="dxa"/>
          </w:tcPr>
          <w:p w:rsidR="00E35632" w:rsidRDefault="00E35632">
            <w:pPr>
              <w:pStyle w:val="ConsPlusNormal"/>
              <w:jc w:val="center"/>
            </w:pPr>
            <w:r>
              <w:t>1,000</w:t>
            </w:r>
          </w:p>
        </w:tc>
        <w:tc>
          <w:tcPr>
            <w:tcW w:w="975" w:type="dxa"/>
          </w:tcPr>
          <w:p w:rsidR="00E35632" w:rsidRDefault="00E35632">
            <w:pPr>
              <w:pStyle w:val="ConsPlusNormal"/>
              <w:jc w:val="center"/>
            </w:pPr>
            <w:r>
              <w:t>1,065</w:t>
            </w:r>
          </w:p>
        </w:tc>
        <w:tc>
          <w:tcPr>
            <w:tcW w:w="970" w:type="dxa"/>
          </w:tcPr>
          <w:p w:rsidR="00E35632" w:rsidRDefault="00E35632">
            <w:pPr>
              <w:pStyle w:val="ConsPlusNormal"/>
              <w:jc w:val="center"/>
            </w:pPr>
            <w:r>
              <w:t>1,122</w:t>
            </w:r>
          </w:p>
        </w:tc>
        <w:tc>
          <w:tcPr>
            <w:tcW w:w="1137" w:type="dxa"/>
          </w:tcPr>
          <w:p w:rsidR="00E35632" w:rsidRDefault="00E35632">
            <w:pPr>
              <w:pStyle w:val="ConsPlusNormal"/>
              <w:jc w:val="center"/>
            </w:pPr>
            <w:r>
              <w:t>1,215</w:t>
            </w:r>
          </w:p>
        </w:tc>
      </w:tr>
      <w:tr w:rsidR="00E35632">
        <w:tc>
          <w:tcPr>
            <w:tcW w:w="1140" w:type="dxa"/>
          </w:tcPr>
          <w:p w:rsidR="00E35632" w:rsidRDefault="00E35632">
            <w:pPr>
              <w:pStyle w:val="ConsPlusNormal"/>
              <w:jc w:val="center"/>
            </w:pPr>
            <w:r>
              <w:t>7,2</w:t>
            </w:r>
          </w:p>
        </w:tc>
        <w:tc>
          <w:tcPr>
            <w:tcW w:w="960" w:type="dxa"/>
          </w:tcPr>
          <w:p w:rsidR="00E35632" w:rsidRDefault="00E35632">
            <w:pPr>
              <w:pStyle w:val="ConsPlusNormal"/>
              <w:jc w:val="center"/>
            </w:pPr>
            <w:r>
              <w:t>0,668</w:t>
            </w:r>
          </w:p>
        </w:tc>
        <w:tc>
          <w:tcPr>
            <w:tcW w:w="960" w:type="dxa"/>
          </w:tcPr>
          <w:p w:rsidR="00E35632" w:rsidRDefault="00E35632">
            <w:pPr>
              <w:pStyle w:val="ConsPlusNormal"/>
              <w:jc w:val="center"/>
            </w:pPr>
            <w:r>
              <w:t>0,736</w:t>
            </w:r>
          </w:p>
        </w:tc>
        <w:tc>
          <w:tcPr>
            <w:tcW w:w="979" w:type="dxa"/>
          </w:tcPr>
          <w:p w:rsidR="00E35632" w:rsidRDefault="00E35632">
            <w:pPr>
              <w:pStyle w:val="ConsPlusNormal"/>
              <w:jc w:val="center"/>
            </w:pPr>
            <w:r>
              <w:t>0,852</w:t>
            </w:r>
          </w:p>
        </w:tc>
        <w:tc>
          <w:tcPr>
            <w:tcW w:w="974" w:type="dxa"/>
          </w:tcPr>
          <w:p w:rsidR="00E35632" w:rsidRDefault="00E35632">
            <w:pPr>
              <w:pStyle w:val="ConsPlusNormal"/>
              <w:jc w:val="center"/>
            </w:pPr>
            <w:r>
              <w:t>0,935</w:t>
            </w:r>
          </w:p>
        </w:tc>
        <w:tc>
          <w:tcPr>
            <w:tcW w:w="965" w:type="dxa"/>
          </w:tcPr>
          <w:p w:rsidR="00E35632" w:rsidRDefault="00E35632">
            <w:pPr>
              <w:pStyle w:val="ConsPlusNormal"/>
              <w:jc w:val="center"/>
            </w:pPr>
            <w:r>
              <w:t>1,019</w:t>
            </w:r>
          </w:p>
        </w:tc>
        <w:tc>
          <w:tcPr>
            <w:tcW w:w="975" w:type="dxa"/>
          </w:tcPr>
          <w:p w:rsidR="00E35632" w:rsidRDefault="00E35632">
            <w:pPr>
              <w:pStyle w:val="ConsPlusNormal"/>
              <w:jc w:val="center"/>
            </w:pPr>
            <w:r>
              <w:t>1,088</w:t>
            </w:r>
          </w:p>
        </w:tc>
        <w:tc>
          <w:tcPr>
            <w:tcW w:w="970" w:type="dxa"/>
          </w:tcPr>
          <w:p w:rsidR="00E35632" w:rsidRDefault="00E35632">
            <w:pPr>
              <w:pStyle w:val="ConsPlusNormal"/>
              <w:jc w:val="center"/>
            </w:pPr>
            <w:r>
              <w:t>1,152</w:t>
            </w:r>
          </w:p>
        </w:tc>
        <w:tc>
          <w:tcPr>
            <w:tcW w:w="1137" w:type="dxa"/>
          </w:tcPr>
          <w:p w:rsidR="00E35632" w:rsidRDefault="00E35632">
            <w:pPr>
              <w:pStyle w:val="ConsPlusNormal"/>
              <w:jc w:val="center"/>
            </w:pPr>
            <w:r>
              <w:t>1,251</w:t>
            </w:r>
          </w:p>
        </w:tc>
      </w:tr>
      <w:tr w:rsidR="00E35632">
        <w:tc>
          <w:tcPr>
            <w:tcW w:w="1140" w:type="dxa"/>
          </w:tcPr>
          <w:p w:rsidR="00E35632" w:rsidRDefault="00E35632">
            <w:pPr>
              <w:pStyle w:val="ConsPlusNormal"/>
              <w:jc w:val="center"/>
            </w:pPr>
            <w:r>
              <w:t>7,6</w:t>
            </w:r>
          </w:p>
        </w:tc>
        <w:tc>
          <w:tcPr>
            <w:tcW w:w="960" w:type="dxa"/>
          </w:tcPr>
          <w:p w:rsidR="00E35632" w:rsidRDefault="00E35632">
            <w:pPr>
              <w:pStyle w:val="ConsPlusNormal"/>
              <w:jc w:val="center"/>
            </w:pPr>
            <w:r>
              <w:t>0,674</w:t>
            </w:r>
          </w:p>
        </w:tc>
        <w:tc>
          <w:tcPr>
            <w:tcW w:w="960" w:type="dxa"/>
          </w:tcPr>
          <w:p w:rsidR="00E35632" w:rsidRDefault="00E35632">
            <w:pPr>
              <w:pStyle w:val="ConsPlusNormal"/>
              <w:jc w:val="center"/>
            </w:pPr>
            <w:r>
              <w:t>0,744</w:t>
            </w:r>
          </w:p>
        </w:tc>
        <w:tc>
          <w:tcPr>
            <w:tcW w:w="979" w:type="dxa"/>
          </w:tcPr>
          <w:p w:rsidR="00E35632" w:rsidRDefault="00E35632">
            <w:pPr>
              <w:pStyle w:val="ConsPlusNormal"/>
              <w:jc w:val="center"/>
            </w:pPr>
            <w:r>
              <w:t>0,863</w:t>
            </w:r>
          </w:p>
        </w:tc>
        <w:tc>
          <w:tcPr>
            <w:tcW w:w="974" w:type="dxa"/>
          </w:tcPr>
          <w:p w:rsidR="00E35632" w:rsidRDefault="00E35632">
            <w:pPr>
              <w:pStyle w:val="ConsPlusNormal"/>
              <w:jc w:val="center"/>
            </w:pPr>
            <w:r>
              <w:t>0,948</w:t>
            </w:r>
          </w:p>
        </w:tc>
        <w:tc>
          <w:tcPr>
            <w:tcW w:w="965" w:type="dxa"/>
          </w:tcPr>
          <w:p w:rsidR="00E35632" w:rsidRDefault="00E35632">
            <w:pPr>
              <w:pStyle w:val="ConsPlusNormal"/>
              <w:jc w:val="center"/>
            </w:pPr>
            <w:r>
              <w:t>1,036</w:t>
            </w:r>
          </w:p>
        </w:tc>
        <w:tc>
          <w:tcPr>
            <w:tcW w:w="975" w:type="dxa"/>
          </w:tcPr>
          <w:p w:rsidR="00E35632" w:rsidRDefault="00E35632">
            <w:pPr>
              <w:pStyle w:val="ConsPlusNormal"/>
              <w:jc w:val="center"/>
            </w:pPr>
            <w:r>
              <w:t>1,109</w:t>
            </w:r>
          </w:p>
        </w:tc>
        <w:tc>
          <w:tcPr>
            <w:tcW w:w="970" w:type="dxa"/>
          </w:tcPr>
          <w:p w:rsidR="00E35632" w:rsidRDefault="00E35632">
            <w:pPr>
              <w:pStyle w:val="ConsPlusNormal"/>
              <w:jc w:val="center"/>
            </w:pPr>
            <w:r>
              <w:t>1,180</w:t>
            </w:r>
          </w:p>
        </w:tc>
        <w:tc>
          <w:tcPr>
            <w:tcW w:w="1137" w:type="dxa"/>
          </w:tcPr>
          <w:p w:rsidR="00E35632" w:rsidRDefault="00E35632">
            <w:pPr>
              <w:pStyle w:val="ConsPlusNormal"/>
              <w:jc w:val="center"/>
            </w:pPr>
            <w:r>
              <w:t>1,285</w:t>
            </w:r>
          </w:p>
        </w:tc>
      </w:tr>
      <w:tr w:rsidR="00E35632">
        <w:tc>
          <w:tcPr>
            <w:tcW w:w="1140" w:type="dxa"/>
          </w:tcPr>
          <w:p w:rsidR="00E35632" w:rsidRDefault="00E35632">
            <w:pPr>
              <w:pStyle w:val="ConsPlusNormal"/>
              <w:jc w:val="center"/>
            </w:pPr>
            <w:r>
              <w:t>8,0</w:t>
            </w:r>
          </w:p>
        </w:tc>
        <w:tc>
          <w:tcPr>
            <w:tcW w:w="960" w:type="dxa"/>
          </w:tcPr>
          <w:p w:rsidR="00E35632" w:rsidRDefault="00E35632">
            <w:pPr>
              <w:pStyle w:val="ConsPlusNormal"/>
              <w:jc w:val="center"/>
            </w:pPr>
            <w:r>
              <w:t>0,679</w:t>
            </w:r>
          </w:p>
        </w:tc>
        <w:tc>
          <w:tcPr>
            <w:tcW w:w="960" w:type="dxa"/>
          </w:tcPr>
          <w:p w:rsidR="00E35632" w:rsidRDefault="00E35632">
            <w:pPr>
              <w:pStyle w:val="ConsPlusNormal"/>
              <w:jc w:val="center"/>
            </w:pPr>
            <w:r>
              <w:t>0,751</w:t>
            </w:r>
          </w:p>
        </w:tc>
        <w:tc>
          <w:tcPr>
            <w:tcW w:w="979" w:type="dxa"/>
          </w:tcPr>
          <w:p w:rsidR="00E35632" w:rsidRDefault="00E35632">
            <w:pPr>
              <w:pStyle w:val="ConsPlusNormal"/>
              <w:jc w:val="center"/>
            </w:pPr>
            <w:r>
              <w:t>0,872</w:t>
            </w:r>
          </w:p>
        </w:tc>
        <w:tc>
          <w:tcPr>
            <w:tcW w:w="974" w:type="dxa"/>
          </w:tcPr>
          <w:p w:rsidR="00E35632" w:rsidRDefault="00E35632">
            <w:pPr>
              <w:pStyle w:val="ConsPlusNormal"/>
              <w:jc w:val="center"/>
            </w:pPr>
            <w:r>
              <w:t>0,960</w:t>
            </w:r>
          </w:p>
        </w:tc>
        <w:tc>
          <w:tcPr>
            <w:tcW w:w="965" w:type="dxa"/>
          </w:tcPr>
          <w:p w:rsidR="00E35632" w:rsidRDefault="00E35632">
            <w:pPr>
              <w:pStyle w:val="ConsPlusNormal"/>
              <w:jc w:val="center"/>
            </w:pPr>
            <w:r>
              <w:t>1,051</w:t>
            </w:r>
          </w:p>
        </w:tc>
        <w:tc>
          <w:tcPr>
            <w:tcW w:w="975" w:type="dxa"/>
          </w:tcPr>
          <w:p w:rsidR="00E35632" w:rsidRDefault="00E35632">
            <w:pPr>
              <w:pStyle w:val="ConsPlusNormal"/>
              <w:jc w:val="center"/>
            </w:pPr>
            <w:r>
              <w:t>1,128</w:t>
            </w:r>
          </w:p>
        </w:tc>
        <w:tc>
          <w:tcPr>
            <w:tcW w:w="970" w:type="dxa"/>
          </w:tcPr>
          <w:p w:rsidR="00E35632" w:rsidRDefault="00E35632">
            <w:pPr>
              <w:pStyle w:val="ConsPlusNormal"/>
              <w:jc w:val="center"/>
            </w:pPr>
            <w:r>
              <w:t>1,205</w:t>
            </w:r>
          </w:p>
        </w:tc>
        <w:tc>
          <w:tcPr>
            <w:tcW w:w="1137" w:type="dxa"/>
          </w:tcPr>
          <w:p w:rsidR="00E35632" w:rsidRDefault="00E35632">
            <w:pPr>
              <w:pStyle w:val="ConsPlusNormal"/>
              <w:jc w:val="center"/>
            </w:pPr>
            <w:r>
              <w:t>1,316</w:t>
            </w:r>
          </w:p>
        </w:tc>
      </w:tr>
      <w:tr w:rsidR="00E35632">
        <w:tc>
          <w:tcPr>
            <w:tcW w:w="1140" w:type="dxa"/>
          </w:tcPr>
          <w:p w:rsidR="00E35632" w:rsidRDefault="00E35632">
            <w:pPr>
              <w:pStyle w:val="ConsPlusNormal"/>
              <w:jc w:val="center"/>
            </w:pPr>
            <w:r>
              <w:t>8,4</w:t>
            </w:r>
          </w:p>
        </w:tc>
        <w:tc>
          <w:tcPr>
            <w:tcW w:w="960" w:type="dxa"/>
          </w:tcPr>
          <w:p w:rsidR="00E35632" w:rsidRDefault="00E35632">
            <w:pPr>
              <w:pStyle w:val="ConsPlusNormal"/>
              <w:jc w:val="center"/>
            </w:pPr>
            <w:r>
              <w:t>0,684</w:t>
            </w:r>
          </w:p>
        </w:tc>
        <w:tc>
          <w:tcPr>
            <w:tcW w:w="960" w:type="dxa"/>
          </w:tcPr>
          <w:p w:rsidR="00E35632" w:rsidRDefault="00E35632">
            <w:pPr>
              <w:pStyle w:val="ConsPlusNormal"/>
              <w:jc w:val="center"/>
            </w:pPr>
            <w:r>
              <w:t>0,757</w:t>
            </w:r>
          </w:p>
        </w:tc>
        <w:tc>
          <w:tcPr>
            <w:tcW w:w="979" w:type="dxa"/>
          </w:tcPr>
          <w:p w:rsidR="00E35632" w:rsidRDefault="00E35632">
            <w:pPr>
              <w:pStyle w:val="ConsPlusNormal"/>
              <w:jc w:val="center"/>
            </w:pPr>
            <w:r>
              <w:t>0,881</w:t>
            </w:r>
          </w:p>
        </w:tc>
        <w:tc>
          <w:tcPr>
            <w:tcW w:w="974" w:type="dxa"/>
          </w:tcPr>
          <w:p w:rsidR="00E35632" w:rsidRDefault="00E35632">
            <w:pPr>
              <w:pStyle w:val="ConsPlusNormal"/>
              <w:jc w:val="center"/>
            </w:pPr>
            <w:r>
              <w:t>0,970</w:t>
            </w:r>
          </w:p>
        </w:tc>
        <w:tc>
          <w:tcPr>
            <w:tcW w:w="965" w:type="dxa"/>
          </w:tcPr>
          <w:p w:rsidR="00E35632" w:rsidRDefault="00E35632">
            <w:pPr>
              <w:pStyle w:val="ConsPlusNormal"/>
              <w:jc w:val="center"/>
            </w:pPr>
            <w:r>
              <w:t>1,065</w:t>
            </w:r>
          </w:p>
        </w:tc>
        <w:tc>
          <w:tcPr>
            <w:tcW w:w="975" w:type="dxa"/>
          </w:tcPr>
          <w:p w:rsidR="00E35632" w:rsidRDefault="00E35632">
            <w:pPr>
              <w:pStyle w:val="ConsPlusNormal"/>
              <w:jc w:val="center"/>
            </w:pPr>
            <w:r>
              <w:t>1,146</w:t>
            </w:r>
          </w:p>
        </w:tc>
        <w:tc>
          <w:tcPr>
            <w:tcW w:w="970" w:type="dxa"/>
          </w:tcPr>
          <w:p w:rsidR="00E35632" w:rsidRDefault="00E35632">
            <w:pPr>
              <w:pStyle w:val="ConsPlusNormal"/>
              <w:jc w:val="center"/>
            </w:pPr>
            <w:r>
              <w:t>1,229</w:t>
            </w:r>
          </w:p>
        </w:tc>
        <w:tc>
          <w:tcPr>
            <w:tcW w:w="1137" w:type="dxa"/>
          </w:tcPr>
          <w:p w:rsidR="00E35632" w:rsidRDefault="00E35632">
            <w:pPr>
              <w:pStyle w:val="ConsPlusNormal"/>
              <w:jc w:val="center"/>
            </w:pPr>
            <w:r>
              <w:t>1,347</w:t>
            </w:r>
          </w:p>
        </w:tc>
      </w:tr>
      <w:tr w:rsidR="00E35632">
        <w:tc>
          <w:tcPr>
            <w:tcW w:w="1140" w:type="dxa"/>
          </w:tcPr>
          <w:p w:rsidR="00E35632" w:rsidRDefault="00E35632">
            <w:pPr>
              <w:pStyle w:val="ConsPlusNormal"/>
              <w:jc w:val="center"/>
            </w:pPr>
            <w:r>
              <w:t>8,8</w:t>
            </w:r>
          </w:p>
        </w:tc>
        <w:tc>
          <w:tcPr>
            <w:tcW w:w="960" w:type="dxa"/>
          </w:tcPr>
          <w:p w:rsidR="00E35632" w:rsidRDefault="00E35632">
            <w:pPr>
              <w:pStyle w:val="ConsPlusNormal"/>
              <w:jc w:val="center"/>
            </w:pPr>
            <w:r>
              <w:t>0,689</w:t>
            </w:r>
          </w:p>
        </w:tc>
        <w:tc>
          <w:tcPr>
            <w:tcW w:w="960" w:type="dxa"/>
          </w:tcPr>
          <w:p w:rsidR="00E35632" w:rsidRDefault="00E35632">
            <w:pPr>
              <w:pStyle w:val="ConsPlusNormal"/>
              <w:jc w:val="center"/>
            </w:pPr>
            <w:r>
              <w:t>0,762</w:t>
            </w:r>
          </w:p>
        </w:tc>
        <w:tc>
          <w:tcPr>
            <w:tcW w:w="979" w:type="dxa"/>
          </w:tcPr>
          <w:p w:rsidR="00E35632" w:rsidRDefault="00E35632">
            <w:pPr>
              <w:pStyle w:val="ConsPlusNormal"/>
              <w:jc w:val="center"/>
            </w:pPr>
            <w:r>
              <w:t>0,888</w:t>
            </w:r>
          </w:p>
        </w:tc>
        <w:tc>
          <w:tcPr>
            <w:tcW w:w="974" w:type="dxa"/>
          </w:tcPr>
          <w:p w:rsidR="00E35632" w:rsidRDefault="00E35632">
            <w:pPr>
              <w:pStyle w:val="ConsPlusNormal"/>
              <w:jc w:val="center"/>
            </w:pPr>
            <w:r>
              <w:t>0,980</w:t>
            </w:r>
          </w:p>
        </w:tc>
        <w:tc>
          <w:tcPr>
            <w:tcW w:w="965" w:type="dxa"/>
          </w:tcPr>
          <w:p w:rsidR="00E35632" w:rsidRDefault="00E35632">
            <w:pPr>
              <w:pStyle w:val="ConsPlusNormal"/>
              <w:jc w:val="center"/>
            </w:pPr>
            <w:r>
              <w:t>1,078</w:t>
            </w:r>
          </w:p>
        </w:tc>
        <w:tc>
          <w:tcPr>
            <w:tcW w:w="975" w:type="dxa"/>
          </w:tcPr>
          <w:p w:rsidR="00E35632" w:rsidRDefault="00E35632">
            <w:pPr>
              <w:pStyle w:val="ConsPlusNormal"/>
              <w:jc w:val="center"/>
            </w:pPr>
            <w:r>
              <w:t>1,162</w:t>
            </w:r>
          </w:p>
        </w:tc>
        <w:tc>
          <w:tcPr>
            <w:tcW w:w="970" w:type="dxa"/>
          </w:tcPr>
          <w:p w:rsidR="00E35632" w:rsidRDefault="00E35632">
            <w:pPr>
              <w:pStyle w:val="ConsPlusNormal"/>
              <w:jc w:val="center"/>
            </w:pPr>
            <w:r>
              <w:t>1,251</w:t>
            </w:r>
          </w:p>
        </w:tc>
        <w:tc>
          <w:tcPr>
            <w:tcW w:w="1137" w:type="dxa"/>
          </w:tcPr>
          <w:p w:rsidR="00E35632" w:rsidRDefault="00E35632">
            <w:pPr>
              <w:pStyle w:val="ConsPlusNormal"/>
              <w:jc w:val="center"/>
            </w:pPr>
            <w:r>
              <w:t>1,376</w:t>
            </w:r>
          </w:p>
        </w:tc>
      </w:tr>
      <w:tr w:rsidR="00E35632">
        <w:tc>
          <w:tcPr>
            <w:tcW w:w="1140" w:type="dxa"/>
          </w:tcPr>
          <w:p w:rsidR="00E35632" w:rsidRDefault="00E35632">
            <w:pPr>
              <w:pStyle w:val="ConsPlusNormal"/>
              <w:jc w:val="center"/>
            </w:pPr>
            <w:r>
              <w:t>9,2</w:t>
            </w:r>
          </w:p>
        </w:tc>
        <w:tc>
          <w:tcPr>
            <w:tcW w:w="960" w:type="dxa"/>
          </w:tcPr>
          <w:p w:rsidR="00E35632" w:rsidRDefault="00E35632">
            <w:pPr>
              <w:pStyle w:val="ConsPlusNormal"/>
              <w:jc w:val="center"/>
            </w:pPr>
            <w:r>
              <w:t>0,693</w:t>
            </w:r>
          </w:p>
        </w:tc>
        <w:tc>
          <w:tcPr>
            <w:tcW w:w="960" w:type="dxa"/>
          </w:tcPr>
          <w:p w:rsidR="00E35632" w:rsidRDefault="00E35632">
            <w:pPr>
              <w:pStyle w:val="ConsPlusNormal"/>
              <w:jc w:val="center"/>
            </w:pPr>
            <w:r>
              <w:t>0,768</w:t>
            </w:r>
          </w:p>
        </w:tc>
        <w:tc>
          <w:tcPr>
            <w:tcW w:w="979" w:type="dxa"/>
          </w:tcPr>
          <w:p w:rsidR="00E35632" w:rsidRDefault="00E35632">
            <w:pPr>
              <w:pStyle w:val="ConsPlusNormal"/>
              <w:jc w:val="center"/>
            </w:pPr>
            <w:r>
              <w:t>0,896</w:t>
            </w:r>
          </w:p>
        </w:tc>
        <w:tc>
          <w:tcPr>
            <w:tcW w:w="974" w:type="dxa"/>
          </w:tcPr>
          <w:p w:rsidR="00E35632" w:rsidRDefault="00E35632">
            <w:pPr>
              <w:pStyle w:val="ConsPlusNormal"/>
              <w:jc w:val="center"/>
            </w:pPr>
            <w:r>
              <w:t>0,989</w:t>
            </w:r>
          </w:p>
        </w:tc>
        <w:tc>
          <w:tcPr>
            <w:tcW w:w="965" w:type="dxa"/>
          </w:tcPr>
          <w:p w:rsidR="00E35632" w:rsidRDefault="00E35632">
            <w:pPr>
              <w:pStyle w:val="ConsPlusNormal"/>
              <w:jc w:val="center"/>
            </w:pPr>
            <w:r>
              <w:t>1,089</w:t>
            </w:r>
          </w:p>
        </w:tc>
        <w:tc>
          <w:tcPr>
            <w:tcW w:w="975" w:type="dxa"/>
          </w:tcPr>
          <w:p w:rsidR="00E35632" w:rsidRDefault="00E35632">
            <w:pPr>
              <w:pStyle w:val="ConsPlusNormal"/>
              <w:jc w:val="center"/>
            </w:pPr>
            <w:r>
              <w:t>1,178</w:t>
            </w:r>
          </w:p>
        </w:tc>
        <w:tc>
          <w:tcPr>
            <w:tcW w:w="970" w:type="dxa"/>
          </w:tcPr>
          <w:p w:rsidR="00E35632" w:rsidRDefault="00E35632">
            <w:pPr>
              <w:pStyle w:val="ConsPlusNormal"/>
              <w:jc w:val="center"/>
            </w:pPr>
            <w:r>
              <w:t>1,272</w:t>
            </w:r>
          </w:p>
        </w:tc>
        <w:tc>
          <w:tcPr>
            <w:tcW w:w="1137" w:type="dxa"/>
          </w:tcPr>
          <w:p w:rsidR="00E35632" w:rsidRDefault="00E35632">
            <w:pPr>
              <w:pStyle w:val="ConsPlusNormal"/>
              <w:jc w:val="center"/>
            </w:pPr>
            <w:r>
              <w:t>1,404</w:t>
            </w:r>
          </w:p>
        </w:tc>
      </w:tr>
      <w:tr w:rsidR="00E35632">
        <w:tc>
          <w:tcPr>
            <w:tcW w:w="1140" w:type="dxa"/>
          </w:tcPr>
          <w:p w:rsidR="00E35632" w:rsidRDefault="00E35632">
            <w:pPr>
              <w:pStyle w:val="ConsPlusNormal"/>
              <w:jc w:val="center"/>
            </w:pPr>
            <w:r>
              <w:t>9,6</w:t>
            </w:r>
          </w:p>
        </w:tc>
        <w:tc>
          <w:tcPr>
            <w:tcW w:w="960" w:type="dxa"/>
          </w:tcPr>
          <w:p w:rsidR="00E35632" w:rsidRDefault="00E35632">
            <w:pPr>
              <w:pStyle w:val="ConsPlusNormal"/>
              <w:jc w:val="center"/>
            </w:pPr>
            <w:r>
              <w:t>0,697</w:t>
            </w:r>
          </w:p>
        </w:tc>
        <w:tc>
          <w:tcPr>
            <w:tcW w:w="960" w:type="dxa"/>
          </w:tcPr>
          <w:p w:rsidR="00E35632" w:rsidRDefault="00E35632">
            <w:pPr>
              <w:pStyle w:val="ConsPlusNormal"/>
              <w:jc w:val="center"/>
            </w:pPr>
            <w:r>
              <w:t>0,772</w:t>
            </w:r>
          </w:p>
        </w:tc>
        <w:tc>
          <w:tcPr>
            <w:tcW w:w="979" w:type="dxa"/>
          </w:tcPr>
          <w:p w:rsidR="00E35632" w:rsidRDefault="00E35632">
            <w:pPr>
              <w:pStyle w:val="ConsPlusNormal"/>
              <w:jc w:val="center"/>
            </w:pPr>
            <w:r>
              <w:t>0,902</w:t>
            </w:r>
          </w:p>
        </w:tc>
        <w:tc>
          <w:tcPr>
            <w:tcW w:w="974" w:type="dxa"/>
          </w:tcPr>
          <w:p w:rsidR="00E35632" w:rsidRDefault="00E35632">
            <w:pPr>
              <w:pStyle w:val="ConsPlusNormal"/>
              <w:jc w:val="center"/>
            </w:pPr>
            <w:r>
              <w:t>0,998</w:t>
            </w:r>
          </w:p>
        </w:tc>
        <w:tc>
          <w:tcPr>
            <w:tcW w:w="965" w:type="dxa"/>
          </w:tcPr>
          <w:p w:rsidR="00E35632" w:rsidRDefault="00E35632">
            <w:pPr>
              <w:pStyle w:val="ConsPlusNormal"/>
              <w:jc w:val="center"/>
            </w:pPr>
            <w:r>
              <w:t>1,100</w:t>
            </w:r>
          </w:p>
        </w:tc>
        <w:tc>
          <w:tcPr>
            <w:tcW w:w="975" w:type="dxa"/>
          </w:tcPr>
          <w:p w:rsidR="00E35632" w:rsidRDefault="00E35632">
            <w:pPr>
              <w:pStyle w:val="ConsPlusNormal"/>
              <w:jc w:val="center"/>
            </w:pPr>
            <w:r>
              <w:t>1,192</w:t>
            </w:r>
          </w:p>
        </w:tc>
        <w:tc>
          <w:tcPr>
            <w:tcW w:w="970" w:type="dxa"/>
          </w:tcPr>
          <w:p w:rsidR="00E35632" w:rsidRDefault="00E35632">
            <w:pPr>
              <w:pStyle w:val="ConsPlusNormal"/>
              <w:jc w:val="center"/>
            </w:pPr>
            <w:r>
              <w:t>1,291</w:t>
            </w:r>
          </w:p>
        </w:tc>
        <w:tc>
          <w:tcPr>
            <w:tcW w:w="1137" w:type="dxa"/>
          </w:tcPr>
          <w:p w:rsidR="00E35632" w:rsidRDefault="00E35632">
            <w:pPr>
              <w:pStyle w:val="ConsPlusNormal"/>
              <w:jc w:val="center"/>
            </w:pPr>
            <w:r>
              <w:t>1,431</w:t>
            </w:r>
          </w:p>
        </w:tc>
      </w:tr>
      <w:tr w:rsidR="00E35632">
        <w:tc>
          <w:tcPr>
            <w:tcW w:w="1140" w:type="dxa"/>
          </w:tcPr>
          <w:p w:rsidR="00E35632" w:rsidRDefault="00E35632">
            <w:pPr>
              <w:pStyle w:val="ConsPlusNormal"/>
              <w:jc w:val="center"/>
            </w:pPr>
            <w:r>
              <w:t>10,0</w:t>
            </w:r>
          </w:p>
        </w:tc>
        <w:tc>
          <w:tcPr>
            <w:tcW w:w="960" w:type="dxa"/>
          </w:tcPr>
          <w:p w:rsidR="00E35632" w:rsidRDefault="00E35632">
            <w:pPr>
              <w:pStyle w:val="ConsPlusNormal"/>
              <w:jc w:val="center"/>
            </w:pPr>
            <w:r>
              <w:t>0,700</w:t>
            </w:r>
          </w:p>
        </w:tc>
        <w:tc>
          <w:tcPr>
            <w:tcW w:w="960" w:type="dxa"/>
          </w:tcPr>
          <w:p w:rsidR="00E35632" w:rsidRDefault="00E35632">
            <w:pPr>
              <w:pStyle w:val="ConsPlusNormal"/>
              <w:jc w:val="center"/>
            </w:pPr>
            <w:r>
              <w:t>0,777</w:t>
            </w:r>
          </w:p>
        </w:tc>
        <w:tc>
          <w:tcPr>
            <w:tcW w:w="979" w:type="dxa"/>
          </w:tcPr>
          <w:p w:rsidR="00E35632" w:rsidRDefault="00E35632">
            <w:pPr>
              <w:pStyle w:val="ConsPlusNormal"/>
              <w:jc w:val="center"/>
            </w:pPr>
            <w:r>
              <w:t>0,908</w:t>
            </w:r>
          </w:p>
        </w:tc>
        <w:tc>
          <w:tcPr>
            <w:tcW w:w="974" w:type="dxa"/>
          </w:tcPr>
          <w:p w:rsidR="00E35632" w:rsidRDefault="00E35632">
            <w:pPr>
              <w:pStyle w:val="ConsPlusNormal"/>
              <w:jc w:val="center"/>
            </w:pPr>
            <w:r>
              <w:t>1,005</w:t>
            </w:r>
          </w:p>
        </w:tc>
        <w:tc>
          <w:tcPr>
            <w:tcW w:w="965" w:type="dxa"/>
          </w:tcPr>
          <w:p w:rsidR="00E35632" w:rsidRDefault="00E35632">
            <w:pPr>
              <w:pStyle w:val="ConsPlusNormal"/>
              <w:jc w:val="center"/>
            </w:pPr>
            <w:r>
              <w:t>1,110</w:t>
            </w:r>
          </w:p>
        </w:tc>
        <w:tc>
          <w:tcPr>
            <w:tcW w:w="975" w:type="dxa"/>
          </w:tcPr>
          <w:p w:rsidR="00E35632" w:rsidRDefault="00E35632">
            <w:pPr>
              <w:pStyle w:val="ConsPlusNormal"/>
              <w:jc w:val="center"/>
            </w:pPr>
            <w:r>
              <w:t>1,205</w:t>
            </w:r>
          </w:p>
        </w:tc>
        <w:tc>
          <w:tcPr>
            <w:tcW w:w="970" w:type="dxa"/>
          </w:tcPr>
          <w:p w:rsidR="00E35632" w:rsidRDefault="00E35632">
            <w:pPr>
              <w:pStyle w:val="ConsPlusNormal"/>
              <w:jc w:val="center"/>
            </w:pPr>
            <w:r>
              <w:t>1,309</w:t>
            </w:r>
          </w:p>
        </w:tc>
        <w:tc>
          <w:tcPr>
            <w:tcW w:w="1137" w:type="dxa"/>
          </w:tcPr>
          <w:p w:rsidR="00E35632" w:rsidRDefault="00E35632">
            <w:pPr>
              <w:pStyle w:val="ConsPlusNormal"/>
              <w:jc w:val="center"/>
            </w:pPr>
            <w:r>
              <w:t>1,456</w:t>
            </w:r>
          </w:p>
        </w:tc>
      </w:tr>
      <w:tr w:rsidR="00E35632">
        <w:tc>
          <w:tcPr>
            <w:tcW w:w="1140" w:type="dxa"/>
          </w:tcPr>
          <w:p w:rsidR="00E35632" w:rsidRDefault="00E35632">
            <w:pPr>
              <w:pStyle w:val="ConsPlusNormal"/>
              <w:jc w:val="center"/>
            </w:pPr>
            <w:r>
              <w:t>11,0</w:t>
            </w:r>
          </w:p>
        </w:tc>
        <w:tc>
          <w:tcPr>
            <w:tcW w:w="960" w:type="dxa"/>
          </w:tcPr>
          <w:p w:rsidR="00E35632" w:rsidRDefault="00E35632">
            <w:pPr>
              <w:pStyle w:val="ConsPlusNormal"/>
              <w:jc w:val="center"/>
            </w:pPr>
            <w:r>
              <w:t>0,705</w:t>
            </w:r>
          </w:p>
        </w:tc>
        <w:tc>
          <w:tcPr>
            <w:tcW w:w="960" w:type="dxa"/>
          </w:tcPr>
          <w:p w:rsidR="00E35632" w:rsidRDefault="00E35632">
            <w:pPr>
              <w:pStyle w:val="ConsPlusNormal"/>
              <w:jc w:val="center"/>
            </w:pPr>
            <w:r>
              <w:t>0,786</w:t>
            </w:r>
          </w:p>
        </w:tc>
        <w:tc>
          <w:tcPr>
            <w:tcW w:w="979" w:type="dxa"/>
          </w:tcPr>
          <w:p w:rsidR="00E35632" w:rsidRDefault="00E35632">
            <w:pPr>
              <w:pStyle w:val="ConsPlusNormal"/>
              <w:jc w:val="center"/>
            </w:pPr>
            <w:r>
              <w:t>0,922</w:t>
            </w:r>
          </w:p>
        </w:tc>
        <w:tc>
          <w:tcPr>
            <w:tcW w:w="974" w:type="dxa"/>
          </w:tcPr>
          <w:p w:rsidR="00E35632" w:rsidRDefault="00E35632">
            <w:pPr>
              <w:pStyle w:val="ConsPlusNormal"/>
              <w:jc w:val="center"/>
            </w:pPr>
            <w:r>
              <w:t>1,022</w:t>
            </w:r>
          </w:p>
        </w:tc>
        <w:tc>
          <w:tcPr>
            <w:tcW w:w="965" w:type="dxa"/>
          </w:tcPr>
          <w:p w:rsidR="00E35632" w:rsidRDefault="00E35632">
            <w:pPr>
              <w:pStyle w:val="ConsPlusNormal"/>
              <w:jc w:val="center"/>
            </w:pPr>
            <w:r>
              <w:t>1,132</w:t>
            </w:r>
          </w:p>
        </w:tc>
        <w:tc>
          <w:tcPr>
            <w:tcW w:w="975" w:type="dxa"/>
          </w:tcPr>
          <w:p w:rsidR="00E35632" w:rsidRDefault="00E35632">
            <w:pPr>
              <w:pStyle w:val="ConsPlusNormal"/>
              <w:jc w:val="center"/>
            </w:pPr>
            <w:r>
              <w:t>1,233</w:t>
            </w:r>
          </w:p>
        </w:tc>
        <w:tc>
          <w:tcPr>
            <w:tcW w:w="970" w:type="dxa"/>
          </w:tcPr>
          <w:p w:rsidR="00E35632" w:rsidRDefault="00E35632">
            <w:pPr>
              <w:pStyle w:val="ConsPlusNormal"/>
              <w:jc w:val="center"/>
            </w:pPr>
            <w:r>
              <w:t>1,349</w:t>
            </w:r>
          </w:p>
        </w:tc>
        <w:tc>
          <w:tcPr>
            <w:tcW w:w="1137" w:type="dxa"/>
          </w:tcPr>
          <w:p w:rsidR="00E35632" w:rsidRDefault="00E35632">
            <w:pPr>
              <w:pStyle w:val="ConsPlusNormal"/>
              <w:jc w:val="center"/>
            </w:pPr>
            <w:r>
              <w:t>1,506</w:t>
            </w:r>
          </w:p>
        </w:tc>
      </w:tr>
      <w:tr w:rsidR="00E35632">
        <w:tc>
          <w:tcPr>
            <w:tcW w:w="1140" w:type="dxa"/>
          </w:tcPr>
          <w:p w:rsidR="00E35632" w:rsidRDefault="00E35632">
            <w:pPr>
              <w:pStyle w:val="ConsPlusNormal"/>
              <w:jc w:val="center"/>
            </w:pPr>
            <w:r>
              <w:t>12,0</w:t>
            </w:r>
          </w:p>
        </w:tc>
        <w:tc>
          <w:tcPr>
            <w:tcW w:w="960" w:type="dxa"/>
          </w:tcPr>
          <w:p w:rsidR="00E35632" w:rsidRDefault="00E35632">
            <w:pPr>
              <w:pStyle w:val="ConsPlusNormal"/>
              <w:jc w:val="center"/>
            </w:pPr>
            <w:r>
              <w:t>0,720</w:t>
            </w:r>
          </w:p>
        </w:tc>
        <w:tc>
          <w:tcPr>
            <w:tcW w:w="960" w:type="dxa"/>
          </w:tcPr>
          <w:p w:rsidR="00E35632" w:rsidRDefault="00E35632">
            <w:pPr>
              <w:pStyle w:val="ConsPlusNormal"/>
              <w:jc w:val="center"/>
            </w:pPr>
            <w:r>
              <w:t>0,794</w:t>
            </w:r>
          </w:p>
        </w:tc>
        <w:tc>
          <w:tcPr>
            <w:tcW w:w="979" w:type="dxa"/>
          </w:tcPr>
          <w:p w:rsidR="00E35632" w:rsidRDefault="00E35632">
            <w:pPr>
              <w:pStyle w:val="ConsPlusNormal"/>
              <w:jc w:val="center"/>
            </w:pPr>
            <w:r>
              <w:t>0,933</w:t>
            </w:r>
          </w:p>
        </w:tc>
        <w:tc>
          <w:tcPr>
            <w:tcW w:w="974" w:type="dxa"/>
          </w:tcPr>
          <w:p w:rsidR="00E35632" w:rsidRDefault="00E35632">
            <w:pPr>
              <w:pStyle w:val="ConsPlusNormal"/>
              <w:jc w:val="center"/>
            </w:pPr>
            <w:r>
              <w:t>1,037</w:t>
            </w:r>
          </w:p>
        </w:tc>
        <w:tc>
          <w:tcPr>
            <w:tcW w:w="965" w:type="dxa"/>
          </w:tcPr>
          <w:p w:rsidR="00E35632" w:rsidRDefault="00E35632">
            <w:pPr>
              <w:pStyle w:val="ConsPlusNormal"/>
              <w:jc w:val="center"/>
            </w:pPr>
            <w:r>
              <w:t>1,151</w:t>
            </w:r>
          </w:p>
        </w:tc>
        <w:tc>
          <w:tcPr>
            <w:tcW w:w="975" w:type="dxa"/>
          </w:tcPr>
          <w:p w:rsidR="00E35632" w:rsidRDefault="00E35632">
            <w:pPr>
              <w:pStyle w:val="ConsPlusNormal"/>
              <w:jc w:val="center"/>
            </w:pPr>
            <w:r>
              <w:t>1,257</w:t>
            </w:r>
          </w:p>
        </w:tc>
        <w:tc>
          <w:tcPr>
            <w:tcW w:w="970" w:type="dxa"/>
          </w:tcPr>
          <w:p w:rsidR="00E35632" w:rsidRDefault="00E35632">
            <w:pPr>
              <w:pStyle w:val="ConsPlusNormal"/>
              <w:jc w:val="center"/>
            </w:pPr>
            <w:r>
              <w:t>1,384</w:t>
            </w:r>
          </w:p>
        </w:tc>
        <w:tc>
          <w:tcPr>
            <w:tcW w:w="1137" w:type="dxa"/>
          </w:tcPr>
          <w:p w:rsidR="00E35632" w:rsidRDefault="00E35632">
            <w:pPr>
              <w:pStyle w:val="ConsPlusNormal"/>
              <w:jc w:val="center"/>
            </w:pPr>
            <w:r>
              <w:t>1,550</w:t>
            </w:r>
          </w:p>
        </w:tc>
      </w:tr>
      <w:tr w:rsidR="00E35632">
        <w:tc>
          <w:tcPr>
            <w:tcW w:w="9060" w:type="dxa"/>
            <w:gridSpan w:val="9"/>
          </w:tcPr>
          <w:p w:rsidR="00E35632" w:rsidRDefault="00E35632">
            <w:pPr>
              <w:pStyle w:val="ConsPlusNormal"/>
              <w:ind w:firstLine="283"/>
              <w:jc w:val="both"/>
            </w:pPr>
            <w:r>
              <w:t xml:space="preserve">Примечание - При промежуточных значениях </w:t>
            </w:r>
            <w:r>
              <w:rPr>
                <w:noProof/>
                <w:position w:val="-6"/>
              </w:rPr>
              <w:drawing>
                <wp:inline distT="0" distB="0" distL="0" distR="0">
                  <wp:extent cx="142240" cy="219075"/>
                  <wp:effectExtent l="0" t="0" r="0" b="0"/>
                  <wp:docPr id="69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142240" cy="219075"/>
                          </a:xfrm>
                          <a:prstGeom prst="rect">
                            <a:avLst/>
                          </a:prstGeom>
                          <a:noFill/>
                          <a:ln>
                            <a:noFill/>
                          </a:ln>
                        </pic:spPr>
                      </pic:pic>
                    </a:graphicData>
                  </a:graphic>
                </wp:inline>
              </w:drawing>
            </w:r>
            <w:r>
              <w:t xml:space="preserve"> и </w:t>
            </w:r>
            <w:r>
              <w:rPr>
                <w:noProof/>
                <w:position w:val="-2"/>
              </w:rPr>
              <w:drawing>
                <wp:inline distT="0" distB="0" distL="0" distR="0">
                  <wp:extent cx="142240" cy="175895"/>
                  <wp:effectExtent l="0" t="0" r="0" b="0"/>
                  <wp:docPr id="69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142240" cy="175895"/>
                          </a:xfrm>
                          <a:prstGeom prst="rect">
                            <a:avLst/>
                          </a:prstGeom>
                          <a:noFill/>
                          <a:ln>
                            <a:noFill/>
                          </a:ln>
                        </pic:spPr>
                      </pic:pic>
                    </a:graphicData>
                  </a:graphic>
                </wp:inline>
              </w:drawing>
            </w:r>
            <w:r>
              <w:t xml:space="preserve"> коэффициент </w:t>
            </w:r>
            <w:r>
              <w:rPr>
                <w:i/>
              </w:rPr>
              <w:t>k</w:t>
            </w:r>
            <w:r>
              <w:t xml:space="preserve"> определяется по интерполяции.</w:t>
            </w:r>
          </w:p>
        </w:tc>
      </w:tr>
    </w:tbl>
    <w:p w:rsidR="00E35632" w:rsidRDefault="00E35632">
      <w:pPr>
        <w:pStyle w:val="ConsPlusNormal"/>
        <w:jc w:val="both"/>
      </w:pPr>
    </w:p>
    <w:p w:rsidR="00E35632" w:rsidRDefault="00E35632">
      <w:pPr>
        <w:pStyle w:val="ConsPlusNormal"/>
        <w:ind w:firstLine="540"/>
        <w:jc w:val="both"/>
      </w:pPr>
      <w:bookmarkStart w:id="297" w:name="P6845"/>
      <w:bookmarkEnd w:id="297"/>
      <w:r>
        <w:t xml:space="preserve">В.2 Толщину линейно деформируемого слоя </w:t>
      </w:r>
      <w:r>
        <w:rPr>
          <w:i/>
        </w:rPr>
        <w:t>H</w:t>
      </w:r>
      <w:r>
        <w:t xml:space="preserve">, м, вычисляют по формуле </w:t>
      </w:r>
      <w:hyperlink w:anchor="P6854">
        <w:r>
          <w:rPr>
            <w:color w:val="0000FF"/>
          </w:rPr>
          <w:t>(рисунок В.1)</w:t>
        </w:r>
      </w:hyperlink>
    </w:p>
    <w:p w:rsidR="00E35632" w:rsidRDefault="00E35632">
      <w:pPr>
        <w:pStyle w:val="ConsPlusNormal"/>
        <w:jc w:val="both"/>
      </w:pPr>
    </w:p>
    <w:p w:rsidR="00E35632" w:rsidRDefault="00E35632">
      <w:pPr>
        <w:pStyle w:val="ConsPlusNormal"/>
        <w:jc w:val="center"/>
      </w:pPr>
      <w:bookmarkStart w:id="298" w:name="P6847"/>
      <w:bookmarkEnd w:id="298"/>
      <w:r>
        <w:rPr>
          <w:noProof/>
          <w:position w:val="-10"/>
        </w:rPr>
        <w:drawing>
          <wp:inline distT="0" distB="0" distL="0" distR="0">
            <wp:extent cx="1242695" cy="267970"/>
            <wp:effectExtent l="0" t="0" r="0" b="0"/>
            <wp:docPr id="6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1242695" cy="267970"/>
                    </a:xfrm>
                    <a:prstGeom prst="rect">
                      <a:avLst/>
                    </a:prstGeom>
                    <a:noFill/>
                    <a:ln>
                      <a:noFill/>
                    </a:ln>
                  </pic:spPr>
                </pic:pic>
              </a:graphicData>
            </a:graphic>
          </wp:inline>
        </w:drawing>
      </w:r>
      <w:r>
        <w:t xml:space="preserve"> (В.2)</w:t>
      </w:r>
    </w:p>
    <w:p w:rsidR="00E35632" w:rsidRDefault="00E35632">
      <w:pPr>
        <w:pStyle w:val="ConsPlusNormal"/>
        <w:jc w:val="both"/>
      </w:pPr>
    </w:p>
    <w:p w:rsidR="00E35632" w:rsidRDefault="00E35632">
      <w:pPr>
        <w:pStyle w:val="ConsPlusNormal"/>
        <w:ind w:firstLine="540"/>
        <w:jc w:val="both"/>
      </w:pPr>
      <w:r>
        <w:t xml:space="preserve">где </w:t>
      </w:r>
      <w:r>
        <w:rPr>
          <w:i/>
        </w:rPr>
        <w:t>H</w:t>
      </w:r>
      <w:r>
        <w:rPr>
          <w:vertAlign w:val="subscript"/>
        </w:rPr>
        <w:t>0</w:t>
      </w:r>
      <w:r>
        <w:t xml:space="preserve"> и </w:t>
      </w:r>
      <w:r>
        <w:rPr>
          <w:noProof/>
          <w:position w:val="-2"/>
        </w:rPr>
        <w:drawing>
          <wp:inline distT="0" distB="0" distL="0" distR="0">
            <wp:extent cx="167640" cy="175895"/>
            <wp:effectExtent l="0" t="0" r="0" b="0"/>
            <wp:docPr id="69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167640" cy="175895"/>
                    </a:xfrm>
                    <a:prstGeom prst="rect">
                      <a:avLst/>
                    </a:prstGeom>
                    <a:noFill/>
                    <a:ln>
                      <a:noFill/>
                    </a:ln>
                  </pic:spPr>
                </pic:pic>
              </a:graphicData>
            </a:graphic>
          </wp:inline>
        </w:drawing>
      </w:r>
      <w:r>
        <w:t xml:space="preserve"> - принимаются соответственно равными для оснований, сложенных: глинистыми грунтами 9 м и 0,15; песчаными грунтами - 6 м и 0,1;</w:t>
      </w:r>
    </w:p>
    <w:p w:rsidR="00E35632" w:rsidRDefault="00E35632">
      <w:pPr>
        <w:pStyle w:val="ConsPlusNormal"/>
        <w:spacing w:before="220"/>
        <w:ind w:firstLine="540"/>
        <w:jc w:val="both"/>
      </w:pPr>
      <w:r>
        <w:rPr>
          <w:i/>
        </w:rPr>
        <w:t>k</w:t>
      </w:r>
      <w:r>
        <w:rPr>
          <w:i/>
          <w:vertAlign w:val="subscript"/>
        </w:rPr>
        <w:t>p</w:t>
      </w:r>
      <w:r>
        <w:t xml:space="preserve"> - коэффициент, принимаемый равным: </w:t>
      </w:r>
      <w:r>
        <w:rPr>
          <w:i/>
        </w:rPr>
        <w:t>k</w:t>
      </w:r>
      <w:r>
        <w:rPr>
          <w:i/>
          <w:vertAlign w:val="subscript"/>
        </w:rPr>
        <w:t>p</w:t>
      </w:r>
      <w:r>
        <w:t xml:space="preserve"> = 0,85 при среднем давлении под подошвой фундамента </w:t>
      </w:r>
      <w:r>
        <w:rPr>
          <w:i/>
        </w:rPr>
        <w:t>p</w:t>
      </w:r>
      <w:r>
        <w:t xml:space="preserve"> = 150 кПа; </w:t>
      </w:r>
      <w:r>
        <w:rPr>
          <w:i/>
        </w:rPr>
        <w:t>k</w:t>
      </w:r>
      <w:r>
        <w:rPr>
          <w:i/>
          <w:vertAlign w:val="subscript"/>
        </w:rPr>
        <w:t>p</w:t>
      </w:r>
      <w:r>
        <w:t xml:space="preserve"> = 1,2 при </w:t>
      </w:r>
      <w:r>
        <w:rPr>
          <w:i/>
        </w:rPr>
        <w:t>p</w:t>
      </w:r>
      <w:r>
        <w:t xml:space="preserve"> = 500 кПа, а при промежуточных значениях - по интерполяции.</w:t>
      </w:r>
    </w:p>
    <w:p w:rsidR="00E35632" w:rsidRDefault="00E35632">
      <w:pPr>
        <w:pStyle w:val="ConsPlusNormal"/>
        <w:jc w:val="both"/>
      </w:pPr>
    </w:p>
    <w:p w:rsidR="00E35632" w:rsidRDefault="00E35632">
      <w:pPr>
        <w:pStyle w:val="ConsPlusNormal"/>
        <w:jc w:val="center"/>
      </w:pPr>
      <w:r>
        <w:rPr>
          <w:noProof/>
          <w:position w:val="-241"/>
        </w:rPr>
        <w:drawing>
          <wp:inline distT="0" distB="0" distL="0" distR="0">
            <wp:extent cx="3221990" cy="3205480"/>
            <wp:effectExtent l="0" t="0" r="0" b="0"/>
            <wp:docPr id="69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3221990" cy="320548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bookmarkStart w:id="299" w:name="P6854"/>
      <w:bookmarkEnd w:id="299"/>
      <w:r>
        <w:rPr>
          <w:b/>
          <w:i/>
        </w:rPr>
        <w:t>Рисунок В.1</w:t>
      </w:r>
      <w:r>
        <w:t xml:space="preserve"> </w:t>
      </w:r>
      <w:r>
        <w:rPr>
          <w:b/>
        </w:rPr>
        <w:t>- Схема к расчету осадок</w:t>
      </w:r>
    </w:p>
    <w:p w:rsidR="00E35632" w:rsidRDefault="00E35632">
      <w:pPr>
        <w:pStyle w:val="ConsPlusNormal"/>
        <w:jc w:val="center"/>
      </w:pPr>
      <w:r>
        <w:rPr>
          <w:b/>
        </w:rPr>
        <w:t>с использованием расчетной схемы основания</w:t>
      </w:r>
    </w:p>
    <w:p w:rsidR="00E35632" w:rsidRDefault="00E35632">
      <w:pPr>
        <w:pStyle w:val="ConsPlusNormal"/>
        <w:jc w:val="center"/>
      </w:pPr>
      <w:r>
        <w:rPr>
          <w:b/>
        </w:rPr>
        <w:t>в виде линейно деформируемого слоя</w:t>
      </w:r>
    </w:p>
    <w:p w:rsidR="00E35632" w:rsidRDefault="00E35632">
      <w:pPr>
        <w:pStyle w:val="ConsPlusNormal"/>
        <w:jc w:val="both"/>
      </w:pPr>
    </w:p>
    <w:tbl>
      <w:tblPr>
        <w:tblW w:w="5000" w:type="pct"/>
        <w:tblBorders>
          <w:top w:val="nil"/>
          <w:left w:val="nil"/>
          <w:bottom w:val="nil"/>
          <w:right w:val="nil"/>
          <w:insideH w:val="nil"/>
          <w:insideV w:val="nil"/>
        </w:tblBorders>
        <w:tblCellMar>
          <w:left w:w="10" w:type="dxa"/>
          <w:right w:w="10" w:type="dxa"/>
        </w:tblCellMar>
        <w:tblLook w:val="0000" w:firstRow="0" w:lastRow="0" w:firstColumn="0" w:lastColumn="0" w:noHBand="0" w:noVBand="0"/>
      </w:tblPr>
      <w:tblGrid>
        <w:gridCol w:w="60"/>
        <w:gridCol w:w="113"/>
        <w:gridCol w:w="9068"/>
        <w:gridCol w:w="113"/>
      </w:tblGrid>
      <w:tr w:rsidR="00E35632">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E35632" w:rsidRDefault="00E35632">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E35632" w:rsidRDefault="00E35632">
            <w:pPr>
              <w:pStyle w:val="ConsPlusNormal"/>
              <w:jc w:val="both"/>
            </w:pPr>
            <w:r>
              <w:rPr>
                <w:color w:val="392C69"/>
              </w:rPr>
              <w:t>КонсультантПлюс: примечание.</w:t>
            </w:r>
          </w:p>
          <w:p w:rsidR="00E35632" w:rsidRDefault="00E35632">
            <w:pPr>
              <w:pStyle w:val="ConsPlusNormal"/>
              <w:jc w:val="both"/>
            </w:pPr>
            <w:r>
              <w:rPr>
                <w:color w:val="392C69"/>
              </w:rPr>
              <w:t>В официальном тексте документа, видимо, допущена опечатка: рисунок Г.1 отсутствует. Возможно, имеется в виду рисунок В.1.</w:t>
            </w: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r>
    </w:tbl>
    <w:p w:rsidR="00E35632" w:rsidRDefault="00E35632">
      <w:pPr>
        <w:pStyle w:val="ConsPlusNormal"/>
        <w:spacing w:before="280"/>
        <w:ind w:firstLine="540"/>
        <w:jc w:val="both"/>
      </w:pPr>
      <w:r>
        <w:t xml:space="preserve">Если основание сложено глинистыми и песчаными грунтами, значение </w:t>
      </w:r>
      <w:r>
        <w:rPr>
          <w:i/>
        </w:rPr>
        <w:t>H</w:t>
      </w:r>
      <w:r>
        <w:t xml:space="preserve">, м, вычисляют по формуле </w:t>
      </w:r>
      <w:hyperlink w:anchor="P6854">
        <w:r>
          <w:rPr>
            <w:color w:val="0000FF"/>
          </w:rPr>
          <w:t>(рисунок Г.1)</w:t>
        </w:r>
      </w:hyperlink>
    </w:p>
    <w:p w:rsidR="00E35632" w:rsidRDefault="00E35632">
      <w:pPr>
        <w:pStyle w:val="ConsPlusNormal"/>
        <w:jc w:val="both"/>
      </w:pPr>
    </w:p>
    <w:p w:rsidR="00E35632" w:rsidRDefault="00E35632">
      <w:pPr>
        <w:pStyle w:val="ConsPlusNormal"/>
        <w:jc w:val="center"/>
      </w:pPr>
      <w:r>
        <w:rPr>
          <w:i/>
        </w:rPr>
        <w:t>H</w:t>
      </w:r>
      <w:r>
        <w:t xml:space="preserve"> = </w:t>
      </w:r>
      <w:r>
        <w:rPr>
          <w:i/>
        </w:rPr>
        <w:t>H</w:t>
      </w:r>
      <w:r>
        <w:rPr>
          <w:i/>
          <w:vertAlign w:val="subscript"/>
        </w:rPr>
        <w:t>s</w:t>
      </w:r>
      <w:r>
        <w:t xml:space="preserve"> + </w:t>
      </w:r>
      <w:r>
        <w:rPr>
          <w:i/>
        </w:rPr>
        <w:t>h</w:t>
      </w:r>
      <w:r>
        <w:rPr>
          <w:i/>
          <w:vertAlign w:val="subscript"/>
        </w:rPr>
        <w:t>cl</w:t>
      </w:r>
      <w:r>
        <w:t>/3, (В.3)</w:t>
      </w:r>
    </w:p>
    <w:p w:rsidR="00E35632" w:rsidRDefault="00E35632">
      <w:pPr>
        <w:pStyle w:val="ConsPlusNormal"/>
        <w:jc w:val="both"/>
      </w:pPr>
    </w:p>
    <w:p w:rsidR="00E35632" w:rsidRDefault="00E35632">
      <w:pPr>
        <w:pStyle w:val="ConsPlusNormal"/>
        <w:ind w:firstLine="540"/>
        <w:jc w:val="both"/>
      </w:pPr>
      <w:r>
        <w:t xml:space="preserve">где </w:t>
      </w:r>
      <w:r>
        <w:rPr>
          <w:i/>
        </w:rPr>
        <w:t>H</w:t>
      </w:r>
      <w:r>
        <w:rPr>
          <w:i/>
          <w:vertAlign w:val="subscript"/>
        </w:rPr>
        <w:t>s</w:t>
      </w:r>
      <w:r>
        <w:t xml:space="preserve"> - толщина слоя, вычисленная по </w:t>
      </w:r>
      <w:hyperlink w:anchor="P6847">
        <w:r>
          <w:rPr>
            <w:color w:val="0000FF"/>
          </w:rPr>
          <w:t>формуле (В.2)</w:t>
        </w:r>
      </w:hyperlink>
      <w:r>
        <w:t xml:space="preserve"> в предположении, что основание сложено только песчаными грунтами;</w:t>
      </w:r>
    </w:p>
    <w:p w:rsidR="00E35632" w:rsidRDefault="00E35632">
      <w:pPr>
        <w:pStyle w:val="ConsPlusNormal"/>
        <w:spacing w:before="220"/>
        <w:ind w:firstLine="540"/>
        <w:jc w:val="both"/>
      </w:pPr>
      <w:r>
        <w:rPr>
          <w:i/>
        </w:rPr>
        <w:t>h</w:t>
      </w:r>
      <w:r>
        <w:rPr>
          <w:i/>
          <w:vertAlign w:val="subscript"/>
        </w:rPr>
        <w:t>cl</w:t>
      </w:r>
      <w:r>
        <w:t xml:space="preserve"> - суммарная толщина слоев глинистых грунтов в пределах от подошвы фундамента до глубины, равной </w:t>
      </w:r>
      <w:r>
        <w:rPr>
          <w:i/>
        </w:rPr>
        <w:t>H</w:t>
      </w:r>
      <w:r>
        <w:rPr>
          <w:i/>
          <w:vertAlign w:val="subscript"/>
        </w:rPr>
        <w:t>cl</w:t>
      </w:r>
      <w:r>
        <w:t xml:space="preserve"> - значению </w:t>
      </w:r>
      <w:r>
        <w:rPr>
          <w:i/>
        </w:rPr>
        <w:t>H</w:t>
      </w:r>
      <w:r>
        <w:t xml:space="preserve">, вычисленному по </w:t>
      </w:r>
      <w:hyperlink w:anchor="P6847">
        <w:r>
          <w:rPr>
            <w:color w:val="0000FF"/>
          </w:rPr>
          <w:t>формуле (В.2)</w:t>
        </w:r>
      </w:hyperlink>
      <w:r>
        <w:t xml:space="preserve"> в предположении, что основание сложено только глинистыми грунтами.</w:t>
      </w: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right"/>
        <w:outlineLvl w:val="0"/>
      </w:pPr>
      <w:r>
        <w:rPr>
          <w:b/>
        </w:rPr>
        <w:t>Приложение Г</w:t>
      </w:r>
    </w:p>
    <w:p w:rsidR="00E35632" w:rsidRDefault="00E35632">
      <w:pPr>
        <w:pStyle w:val="ConsPlusNormal"/>
        <w:jc w:val="right"/>
      </w:pPr>
      <w:r>
        <w:t xml:space="preserve">(в ред. </w:t>
      </w:r>
      <w:hyperlink r:id="rId985">
        <w:r>
          <w:rPr>
            <w:color w:val="0000FF"/>
          </w:rPr>
          <w:t>Изменения N 3</w:t>
        </w:r>
      </w:hyperlink>
      <w:r>
        <w:t>, утв. Приказом Минстроя России от 22.11.2019 N 722/пр)</w:t>
      </w:r>
    </w:p>
    <w:p w:rsidR="00E35632" w:rsidRDefault="00E35632">
      <w:pPr>
        <w:pStyle w:val="ConsPlusNormal"/>
        <w:jc w:val="both"/>
      </w:pPr>
    </w:p>
    <w:p w:rsidR="00E35632" w:rsidRDefault="00E35632">
      <w:pPr>
        <w:pStyle w:val="ConsPlusTitle"/>
        <w:jc w:val="center"/>
      </w:pPr>
      <w:bookmarkStart w:id="300" w:name="P6874"/>
      <w:bookmarkEnd w:id="300"/>
      <w:r>
        <w:t>ПРЕДЕЛЬНЫЕ ДЕФОРМАЦИИ ОСНОВАНИЯ ФУНДАМЕНТОВ</w:t>
      </w:r>
    </w:p>
    <w:p w:rsidR="00E35632" w:rsidRDefault="00E35632">
      <w:pPr>
        <w:pStyle w:val="ConsPlusTitle"/>
        <w:jc w:val="center"/>
      </w:pPr>
      <w:r>
        <w:t>ОБЪЕКТОВ НОВОГО СТРОИТЕЛЬСТВА</w:t>
      </w:r>
    </w:p>
    <w:p w:rsidR="00E35632" w:rsidRDefault="00E35632">
      <w:pPr>
        <w:pStyle w:val="ConsPlusNormal"/>
        <w:jc w:val="both"/>
      </w:pPr>
    </w:p>
    <w:p w:rsidR="00E35632" w:rsidRDefault="00E35632">
      <w:pPr>
        <w:pStyle w:val="ConsPlusNormal"/>
        <w:jc w:val="right"/>
      </w:pPr>
      <w:r>
        <w:t>Таблица Г.1</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620"/>
        <w:gridCol w:w="1834"/>
        <w:gridCol w:w="926"/>
        <w:gridCol w:w="1680"/>
      </w:tblGrid>
      <w:tr w:rsidR="00E35632">
        <w:tc>
          <w:tcPr>
            <w:tcW w:w="4620" w:type="dxa"/>
            <w:vMerge w:val="restart"/>
            <w:tcBorders>
              <w:top w:val="single" w:sz="4" w:space="0" w:color="auto"/>
              <w:bottom w:val="single" w:sz="4" w:space="0" w:color="auto"/>
            </w:tcBorders>
            <w:vAlign w:val="center"/>
          </w:tcPr>
          <w:p w:rsidR="00E35632" w:rsidRDefault="00E35632">
            <w:pPr>
              <w:pStyle w:val="ConsPlusNormal"/>
              <w:jc w:val="center"/>
            </w:pPr>
            <w:r>
              <w:t>Сооружения</w:t>
            </w:r>
          </w:p>
        </w:tc>
        <w:tc>
          <w:tcPr>
            <w:tcW w:w="4440" w:type="dxa"/>
            <w:gridSpan w:val="3"/>
            <w:tcBorders>
              <w:top w:val="single" w:sz="4" w:space="0" w:color="auto"/>
              <w:bottom w:val="single" w:sz="4" w:space="0" w:color="auto"/>
            </w:tcBorders>
            <w:vAlign w:val="center"/>
          </w:tcPr>
          <w:p w:rsidR="00E35632" w:rsidRDefault="00E35632">
            <w:pPr>
              <w:pStyle w:val="ConsPlusNormal"/>
              <w:jc w:val="center"/>
            </w:pPr>
            <w:r>
              <w:t>Предельные деформации основания фундаментов</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834" w:type="dxa"/>
            <w:tcBorders>
              <w:top w:val="single" w:sz="4" w:space="0" w:color="auto"/>
              <w:bottom w:val="single" w:sz="4" w:space="0" w:color="auto"/>
            </w:tcBorders>
            <w:vAlign w:val="center"/>
          </w:tcPr>
          <w:p w:rsidR="00E35632" w:rsidRDefault="00E35632">
            <w:pPr>
              <w:pStyle w:val="ConsPlusNormal"/>
              <w:jc w:val="center"/>
            </w:pPr>
            <w:r>
              <w:t>Относительная разность осадок </w:t>
            </w:r>
            <w:r>
              <w:rPr>
                <w:noProof/>
                <w:position w:val="-8"/>
              </w:rPr>
              <w:drawing>
                <wp:inline distT="0" distB="0" distL="0" distR="0">
                  <wp:extent cx="593725" cy="251460"/>
                  <wp:effectExtent l="0" t="0" r="0" b="0"/>
                  <wp:docPr id="69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593725" cy="251460"/>
                          </a:xfrm>
                          <a:prstGeom prst="rect">
                            <a:avLst/>
                          </a:prstGeom>
                          <a:noFill/>
                          <a:ln>
                            <a:noFill/>
                          </a:ln>
                        </pic:spPr>
                      </pic:pic>
                    </a:graphicData>
                  </a:graphic>
                </wp:inline>
              </w:drawing>
            </w:r>
          </w:p>
        </w:tc>
        <w:tc>
          <w:tcPr>
            <w:tcW w:w="926" w:type="dxa"/>
            <w:tcBorders>
              <w:top w:val="single" w:sz="4" w:space="0" w:color="auto"/>
              <w:bottom w:val="single" w:sz="4" w:space="0" w:color="auto"/>
            </w:tcBorders>
            <w:vAlign w:val="center"/>
          </w:tcPr>
          <w:p w:rsidR="00E35632" w:rsidRDefault="00E35632">
            <w:pPr>
              <w:pStyle w:val="ConsPlusNormal"/>
              <w:jc w:val="center"/>
            </w:pPr>
            <w:r>
              <w:t xml:space="preserve">Крен </w:t>
            </w:r>
            <w:r>
              <w:rPr>
                <w:i/>
              </w:rPr>
              <w:t>i</w:t>
            </w:r>
            <w:r>
              <w:rPr>
                <w:i/>
                <w:vertAlign w:val="subscript"/>
              </w:rPr>
              <w:t>u</w:t>
            </w:r>
          </w:p>
        </w:tc>
        <w:tc>
          <w:tcPr>
            <w:tcW w:w="1680" w:type="dxa"/>
            <w:tcBorders>
              <w:top w:val="single" w:sz="4" w:space="0" w:color="auto"/>
              <w:bottom w:val="single" w:sz="4" w:space="0" w:color="auto"/>
            </w:tcBorders>
            <w:vAlign w:val="center"/>
          </w:tcPr>
          <w:p w:rsidR="00E35632" w:rsidRDefault="00E35632">
            <w:pPr>
              <w:pStyle w:val="ConsPlusNormal"/>
              <w:jc w:val="center"/>
            </w:pPr>
            <w:r>
              <w:t xml:space="preserve">Максимальная </w:t>
            </w:r>
            <w:r>
              <w:rPr>
                <w:noProof/>
                <w:position w:val="-10"/>
              </w:rPr>
              <w:drawing>
                <wp:inline distT="0" distB="0" distL="0" distR="0">
                  <wp:extent cx="310515" cy="267970"/>
                  <wp:effectExtent l="0" t="0" r="0" b="0"/>
                  <wp:docPr id="69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10515" cy="267970"/>
                          </a:xfrm>
                          <a:prstGeom prst="rect">
                            <a:avLst/>
                          </a:prstGeom>
                          <a:noFill/>
                          <a:ln>
                            <a:noFill/>
                          </a:ln>
                        </pic:spPr>
                      </pic:pic>
                    </a:graphicData>
                  </a:graphic>
                </wp:inline>
              </w:drawing>
            </w:r>
            <w:r>
              <w:t xml:space="preserve"> или средняя </w:t>
            </w:r>
            <w:r>
              <w:rPr>
                <w:noProof/>
                <w:position w:val="-8"/>
              </w:rPr>
              <w:drawing>
                <wp:inline distT="0" distB="0" distL="0" distR="0">
                  <wp:extent cx="167640" cy="251460"/>
                  <wp:effectExtent l="0" t="0" r="0" b="0"/>
                  <wp:docPr id="70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осадка, см</w:t>
            </w:r>
          </w:p>
        </w:tc>
      </w:tr>
      <w:tr w:rsidR="00E35632">
        <w:tblPrEx>
          <w:tblBorders>
            <w:insideH w:val="none" w:sz="0" w:space="0" w:color="auto"/>
          </w:tblBorders>
        </w:tblPrEx>
        <w:tc>
          <w:tcPr>
            <w:tcW w:w="4620" w:type="dxa"/>
            <w:tcBorders>
              <w:top w:val="single" w:sz="4" w:space="0" w:color="auto"/>
              <w:bottom w:val="nil"/>
            </w:tcBorders>
          </w:tcPr>
          <w:p w:rsidR="00E35632" w:rsidRDefault="00E35632">
            <w:pPr>
              <w:pStyle w:val="ConsPlusNormal"/>
            </w:pPr>
            <w:r>
              <w:t>1 Производственные и гражданские одноэтажные и многоэтажные здания с полным каркасом:</w:t>
            </w:r>
          </w:p>
        </w:tc>
        <w:tc>
          <w:tcPr>
            <w:tcW w:w="1834" w:type="dxa"/>
            <w:tcBorders>
              <w:top w:val="single" w:sz="4" w:space="0" w:color="auto"/>
              <w:bottom w:val="nil"/>
            </w:tcBorders>
          </w:tcPr>
          <w:p w:rsidR="00E35632" w:rsidRDefault="00E35632">
            <w:pPr>
              <w:pStyle w:val="ConsPlusNormal"/>
            </w:pPr>
          </w:p>
        </w:tc>
        <w:tc>
          <w:tcPr>
            <w:tcW w:w="926" w:type="dxa"/>
            <w:tcBorders>
              <w:top w:val="single" w:sz="4" w:space="0" w:color="auto"/>
              <w:bottom w:val="nil"/>
            </w:tcBorders>
          </w:tcPr>
          <w:p w:rsidR="00E35632" w:rsidRDefault="00E35632">
            <w:pPr>
              <w:pStyle w:val="ConsPlusNormal"/>
            </w:pPr>
          </w:p>
        </w:tc>
        <w:tc>
          <w:tcPr>
            <w:tcW w:w="1680" w:type="dxa"/>
            <w:tcBorders>
              <w:top w:val="single" w:sz="4" w:space="0" w:color="auto"/>
              <w:bottom w:val="nil"/>
            </w:tcBorders>
          </w:tcPr>
          <w:p w:rsidR="00E35632" w:rsidRDefault="00E35632">
            <w:pPr>
              <w:pStyle w:val="ConsPlusNormal"/>
            </w:pP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t>железобетонным</w:t>
            </w:r>
          </w:p>
        </w:tc>
        <w:tc>
          <w:tcPr>
            <w:tcW w:w="1834" w:type="dxa"/>
            <w:tcBorders>
              <w:top w:val="nil"/>
              <w:bottom w:val="nil"/>
            </w:tcBorders>
            <w:vAlign w:val="bottom"/>
          </w:tcPr>
          <w:p w:rsidR="00E35632" w:rsidRDefault="00E35632">
            <w:pPr>
              <w:pStyle w:val="ConsPlusNormal"/>
              <w:jc w:val="center"/>
            </w:pPr>
            <w:r>
              <w:t>0,002</w:t>
            </w:r>
          </w:p>
        </w:tc>
        <w:tc>
          <w:tcPr>
            <w:tcW w:w="926" w:type="dxa"/>
            <w:tcBorders>
              <w:top w:val="nil"/>
              <w:bottom w:val="nil"/>
            </w:tcBorders>
            <w:vAlign w:val="bottom"/>
          </w:tcPr>
          <w:p w:rsidR="00E35632" w:rsidRDefault="00E35632">
            <w:pPr>
              <w:pStyle w:val="ConsPlusNormal"/>
              <w:jc w:val="center"/>
            </w:pPr>
            <w:r>
              <w:t>-</w:t>
            </w:r>
          </w:p>
        </w:tc>
        <w:tc>
          <w:tcPr>
            <w:tcW w:w="1680" w:type="dxa"/>
            <w:tcBorders>
              <w:top w:val="nil"/>
              <w:bottom w:val="nil"/>
            </w:tcBorders>
            <w:vAlign w:val="bottom"/>
          </w:tcPr>
          <w:p w:rsidR="00E35632" w:rsidRDefault="00E35632">
            <w:pPr>
              <w:pStyle w:val="ConsPlusNormal"/>
              <w:jc w:val="center"/>
            </w:pPr>
            <w:r>
              <w:t>10</w:t>
            </w: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t>то же, с устройством железобетонных поясов или монолитных перекрытий, а также здания монолитной конструкции</w:t>
            </w:r>
          </w:p>
        </w:tc>
        <w:tc>
          <w:tcPr>
            <w:tcW w:w="1834" w:type="dxa"/>
            <w:tcBorders>
              <w:top w:val="nil"/>
              <w:bottom w:val="nil"/>
            </w:tcBorders>
            <w:vAlign w:val="bottom"/>
          </w:tcPr>
          <w:p w:rsidR="00E35632" w:rsidRDefault="00E35632">
            <w:pPr>
              <w:pStyle w:val="ConsPlusNormal"/>
              <w:jc w:val="center"/>
            </w:pPr>
            <w:r>
              <w:t>0,003</w:t>
            </w:r>
          </w:p>
        </w:tc>
        <w:tc>
          <w:tcPr>
            <w:tcW w:w="926" w:type="dxa"/>
            <w:tcBorders>
              <w:top w:val="nil"/>
              <w:bottom w:val="nil"/>
            </w:tcBorders>
            <w:vAlign w:val="bottom"/>
          </w:tcPr>
          <w:p w:rsidR="00E35632" w:rsidRDefault="00E35632">
            <w:pPr>
              <w:pStyle w:val="ConsPlusNormal"/>
              <w:jc w:val="center"/>
            </w:pPr>
            <w:r>
              <w:t>-</w:t>
            </w:r>
          </w:p>
        </w:tc>
        <w:tc>
          <w:tcPr>
            <w:tcW w:w="1680" w:type="dxa"/>
            <w:tcBorders>
              <w:top w:val="nil"/>
              <w:bottom w:val="nil"/>
            </w:tcBorders>
            <w:vAlign w:val="bottom"/>
          </w:tcPr>
          <w:p w:rsidR="00E35632" w:rsidRDefault="00E35632">
            <w:pPr>
              <w:pStyle w:val="ConsPlusNormal"/>
              <w:jc w:val="center"/>
            </w:pPr>
            <w:r>
              <w:t>15</w:t>
            </w: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t>стальным</w:t>
            </w:r>
          </w:p>
        </w:tc>
        <w:tc>
          <w:tcPr>
            <w:tcW w:w="1834" w:type="dxa"/>
            <w:tcBorders>
              <w:top w:val="nil"/>
              <w:bottom w:val="nil"/>
            </w:tcBorders>
            <w:vAlign w:val="bottom"/>
          </w:tcPr>
          <w:p w:rsidR="00E35632" w:rsidRDefault="00E35632">
            <w:pPr>
              <w:pStyle w:val="ConsPlusNormal"/>
              <w:jc w:val="center"/>
            </w:pPr>
            <w:r>
              <w:t>0,004</w:t>
            </w:r>
          </w:p>
        </w:tc>
        <w:tc>
          <w:tcPr>
            <w:tcW w:w="926" w:type="dxa"/>
            <w:tcBorders>
              <w:top w:val="nil"/>
              <w:bottom w:val="nil"/>
            </w:tcBorders>
            <w:vAlign w:val="bottom"/>
          </w:tcPr>
          <w:p w:rsidR="00E35632" w:rsidRDefault="00E35632">
            <w:pPr>
              <w:pStyle w:val="ConsPlusNormal"/>
              <w:jc w:val="center"/>
            </w:pPr>
            <w:r>
              <w:t>-</w:t>
            </w:r>
          </w:p>
        </w:tc>
        <w:tc>
          <w:tcPr>
            <w:tcW w:w="1680" w:type="dxa"/>
            <w:tcBorders>
              <w:top w:val="nil"/>
              <w:bottom w:val="nil"/>
            </w:tcBorders>
            <w:vAlign w:val="bottom"/>
          </w:tcPr>
          <w:p w:rsidR="00E35632" w:rsidRDefault="00E35632">
            <w:pPr>
              <w:pStyle w:val="ConsPlusNormal"/>
              <w:jc w:val="center"/>
            </w:pPr>
            <w:r>
              <w:t>15</w:t>
            </w:r>
          </w:p>
        </w:tc>
      </w:tr>
      <w:tr w:rsidR="00E35632">
        <w:tblPrEx>
          <w:tblBorders>
            <w:insideH w:val="none" w:sz="0" w:space="0" w:color="auto"/>
          </w:tblBorders>
        </w:tblPrEx>
        <w:tc>
          <w:tcPr>
            <w:tcW w:w="4620" w:type="dxa"/>
            <w:tcBorders>
              <w:top w:val="nil"/>
              <w:bottom w:val="single" w:sz="4" w:space="0" w:color="auto"/>
            </w:tcBorders>
          </w:tcPr>
          <w:p w:rsidR="00E35632" w:rsidRDefault="00E35632">
            <w:pPr>
              <w:pStyle w:val="ConsPlusNormal"/>
              <w:ind w:firstLine="283"/>
            </w:pPr>
            <w:r>
              <w:t>то же, с устройством железобетонных поясов или монолитных перекрытий</w:t>
            </w:r>
          </w:p>
        </w:tc>
        <w:tc>
          <w:tcPr>
            <w:tcW w:w="1834" w:type="dxa"/>
            <w:tcBorders>
              <w:top w:val="nil"/>
              <w:bottom w:val="single" w:sz="4" w:space="0" w:color="auto"/>
            </w:tcBorders>
            <w:vAlign w:val="bottom"/>
          </w:tcPr>
          <w:p w:rsidR="00E35632" w:rsidRDefault="00E35632">
            <w:pPr>
              <w:pStyle w:val="ConsPlusNormal"/>
              <w:jc w:val="center"/>
            </w:pPr>
            <w:r>
              <w:t>0,005</w:t>
            </w:r>
          </w:p>
        </w:tc>
        <w:tc>
          <w:tcPr>
            <w:tcW w:w="926" w:type="dxa"/>
            <w:tcBorders>
              <w:top w:val="nil"/>
              <w:bottom w:val="single" w:sz="4" w:space="0" w:color="auto"/>
            </w:tcBorders>
            <w:vAlign w:val="bottom"/>
          </w:tcPr>
          <w:p w:rsidR="00E35632" w:rsidRDefault="00E35632">
            <w:pPr>
              <w:pStyle w:val="ConsPlusNormal"/>
              <w:jc w:val="center"/>
            </w:pPr>
            <w:r>
              <w:t>-</w:t>
            </w:r>
          </w:p>
        </w:tc>
        <w:tc>
          <w:tcPr>
            <w:tcW w:w="1680" w:type="dxa"/>
            <w:tcBorders>
              <w:top w:val="nil"/>
              <w:bottom w:val="single" w:sz="4" w:space="0" w:color="auto"/>
            </w:tcBorders>
            <w:vAlign w:val="bottom"/>
          </w:tcPr>
          <w:p w:rsidR="00E35632" w:rsidRDefault="00E35632">
            <w:pPr>
              <w:pStyle w:val="ConsPlusNormal"/>
              <w:jc w:val="center"/>
            </w:pPr>
            <w:r>
              <w:t>18</w:t>
            </w:r>
          </w:p>
        </w:tc>
      </w:tr>
      <w:tr w:rsidR="00E35632">
        <w:tc>
          <w:tcPr>
            <w:tcW w:w="4620" w:type="dxa"/>
            <w:tcBorders>
              <w:top w:val="single" w:sz="4" w:space="0" w:color="auto"/>
              <w:bottom w:val="single" w:sz="4" w:space="0" w:color="auto"/>
            </w:tcBorders>
          </w:tcPr>
          <w:p w:rsidR="00E35632" w:rsidRDefault="00E35632">
            <w:pPr>
              <w:pStyle w:val="ConsPlusNormal"/>
            </w:pPr>
            <w:r>
              <w:t>2 Здания и сооружения, в конструкциях которых не возникают усилия от неравномерных осадок</w:t>
            </w:r>
          </w:p>
        </w:tc>
        <w:tc>
          <w:tcPr>
            <w:tcW w:w="1834" w:type="dxa"/>
            <w:tcBorders>
              <w:top w:val="single" w:sz="4" w:space="0" w:color="auto"/>
              <w:bottom w:val="single" w:sz="4" w:space="0" w:color="auto"/>
            </w:tcBorders>
            <w:vAlign w:val="bottom"/>
          </w:tcPr>
          <w:p w:rsidR="00E35632" w:rsidRDefault="00E35632">
            <w:pPr>
              <w:pStyle w:val="ConsPlusNormal"/>
              <w:jc w:val="center"/>
            </w:pPr>
            <w:r>
              <w:t>0,006</w:t>
            </w:r>
          </w:p>
        </w:tc>
        <w:tc>
          <w:tcPr>
            <w:tcW w:w="926" w:type="dxa"/>
            <w:tcBorders>
              <w:top w:val="single" w:sz="4" w:space="0" w:color="auto"/>
              <w:bottom w:val="single" w:sz="4" w:space="0" w:color="auto"/>
            </w:tcBorders>
            <w:vAlign w:val="bottom"/>
          </w:tcPr>
          <w:p w:rsidR="00E35632" w:rsidRDefault="00E35632">
            <w:pPr>
              <w:pStyle w:val="ConsPlusNormal"/>
              <w:jc w:val="center"/>
            </w:pPr>
            <w:r>
              <w:t>-</w:t>
            </w:r>
          </w:p>
        </w:tc>
        <w:tc>
          <w:tcPr>
            <w:tcW w:w="1680" w:type="dxa"/>
            <w:tcBorders>
              <w:top w:val="single" w:sz="4" w:space="0" w:color="auto"/>
              <w:bottom w:val="single" w:sz="4" w:space="0" w:color="auto"/>
            </w:tcBorders>
            <w:vAlign w:val="bottom"/>
          </w:tcPr>
          <w:p w:rsidR="00E35632" w:rsidRDefault="00E35632">
            <w:pPr>
              <w:pStyle w:val="ConsPlusNormal"/>
              <w:jc w:val="center"/>
            </w:pPr>
            <w:r>
              <w:t>20</w:t>
            </w:r>
          </w:p>
        </w:tc>
      </w:tr>
      <w:tr w:rsidR="00E35632">
        <w:tblPrEx>
          <w:tblBorders>
            <w:insideH w:val="none" w:sz="0" w:space="0" w:color="auto"/>
          </w:tblBorders>
        </w:tblPrEx>
        <w:tc>
          <w:tcPr>
            <w:tcW w:w="4620" w:type="dxa"/>
            <w:tcBorders>
              <w:top w:val="single" w:sz="4" w:space="0" w:color="auto"/>
              <w:bottom w:val="nil"/>
            </w:tcBorders>
          </w:tcPr>
          <w:p w:rsidR="00E35632" w:rsidRDefault="00E35632">
            <w:pPr>
              <w:pStyle w:val="ConsPlusNormal"/>
            </w:pPr>
            <w:bookmarkStart w:id="301" w:name="P6908"/>
            <w:bookmarkEnd w:id="301"/>
            <w:r>
              <w:t>3 Многоэтажные бескаркасные здания с несущими стенами из:</w:t>
            </w:r>
          </w:p>
        </w:tc>
        <w:tc>
          <w:tcPr>
            <w:tcW w:w="1834" w:type="dxa"/>
            <w:tcBorders>
              <w:top w:val="single" w:sz="4" w:space="0" w:color="auto"/>
              <w:bottom w:val="nil"/>
            </w:tcBorders>
            <w:vAlign w:val="bottom"/>
          </w:tcPr>
          <w:p w:rsidR="00E35632" w:rsidRDefault="00E35632">
            <w:pPr>
              <w:pStyle w:val="ConsPlusNormal"/>
            </w:pPr>
          </w:p>
        </w:tc>
        <w:tc>
          <w:tcPr>
            <w:tcW w:w="926" w:type="dxa"/>
            <w:tcBorders>
              <w:top w:val="single" w:sz="4" w:space="0" w:color="auto"/>
              <w:bottom w:val="nil"/>
            </w:tcBorders>
            <w:vAlign w:val="bottom"/>
          </w:tcPr>
          <w:p w:rsidR="00E35632" w:rsidRDefault="00E35632">
            <w:pPr>
              <w:pStyle w:val="ConsPlusNormal"/>
            </w:pPr>
          </w:p>
        </w:tc>
        <w:tc>
          <w:tcPr>
            <w:tcW w:w="1680" w:type="dxa"/>
            <w:tcBorders>
              <w:top w:val="single" w:sz="4" w:space="0" w:color="auto"/>
              <w:bottom w:val="nil"/>
            </w:tcBorders>
            <w:vAlign w:val="bottom"/>
          </w:tcPr>
          <w:p w:rsidR="00E35632" w:rsidRDefault="00E35632">
            <w:pPr>
              <w:pStyle w:val="ConsPlusNormal"/>
            </w:pP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t>крупных панелей</w:t>
            </w:r>
          </w:p>
        </w:tc>
        <w:tc>
          <w:tcPr>
            <w:tcW w:w="1834" w:type="dxa"/>
            <w:tcBorders>
              <w:top w:val="nil"/>
              <w:bottom w:val="nil"/>
            </w:tcBorders>
            <w:vAlign w:val="bottom"/>
          </w:tcPr>
          <w:p w:rsidR="00E35632" w:rsidRDefault="00E35632">
            <w:pPr>
              <w:pStyle w:val="ConsPlusNormal"/>
              <w:jc w:val="center"/>
            </w:pPr>
            <w:r>
              <w:t>0,0016</w:t>
            </w:r>
          </w:p>
        </w:tc>
        <w:tc>
          <w:tcPr>
            <w:tcW w:w="926" w:type="dxa"/>
            <w:tcBorders>
              <w:top w:val="nil"/>
              <w:bottom w:val="nil"/>
            </w:tcBorders>
            <w:vAlign w:val="bottom"/>
          </w:tcPr>
          <w:p w:rsidR="00E35632" w:rsidRDefault="00E35632">
            <w:pPr>
              <w:pStyle w:val="ConsPlusNormal"/>
              <w:jc w:val="center"/>
            </w:pPr>
            <w:r>
              <w:t>-</w:t>
            </w:r>
          </w:p>
        </w:tc>
        <w:tc>
          <w:tcPr>
            <w:tcW w:w="1680" w:type="dxa"/>
            <w:tcBorders>
              <w:top w:val="nil"/>
              <w:bottom w:val="nil"/>
            </w:tcBorders>
            <w:vAlign w:val="bottom"/>
          </w:tcPr>
          <w:p w:rsidR="00E35632" w:rsidRDefault="00E35632">
            <w:pPr>
              <w:pStyle w:val="ConsPlusNormal"/>
              <w:jc w:val="center"/>
            </w:pPr>
            <w:r>
              <w:t>12</w:t>
            </w: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t>крупных блоков или кирпичной кладки без армирования</w:t>
            </w:r>
          </w:p>
        </w:tc>
        <w:tc>
          <w:tcPr>
            <w:tcW w:w="1834" w:type="dxa"/>
            <w:tcBorders>
              <w:top w:val="nil"/>
              <w:bottom w:val="nil"/>
            </w:tcBorders>
            <w:vAlign w:val="bottom"/>
          </w:tcPr>
          <w:p w:rsidR="00E35632" w:rsidRDefault="00E35632">
            <w:pPr>
              <w:pStyle w:val="ConsPlusNormal"/>
              <w:jc w:val="center"/>
            </w:pPr>
            <w:r>
              <w:t>0,0020</w:t>
            </w:r>
          </w:p>
        </w:tc>
        <w:tc>
          <w:tcPr>
            <w:tcW w:w="926" w:type="dxa"/>
            <w:tcBorders>
              <w:top w:val="nil"/>
              <w:bottom w:val="nil"/>
            </w:tcBorders>
            <w:vAlign w:val="bottom"/>
          </w:tcPr>
          <w:p w:rsidR="00E35632" w:rsidRDefault="00E35632">
            <w:pPr>
              <w:pStyle w:val="ConsPlusNormal"/>
              <w:jc w:val="center"/>
            </w:pPr>
            <w:r>
              <w:t>-</w:t>
            </w:r>
          </w:p>
        </w:tc>
        <w:tc>
          <w:tcPr>
            <w:tcW w:w="1680" w:type="dxa"/>
            <w:tcBorders>
              <w:top w:val="nil"/>
              <w:bottom w:val="nil"/>
            </w:tcBorders>
            <w:vAlign w:val="bottom"/>
          </w:tcPr>
          <w:p w:rsidR="00E35632" w:rsidRDefault="00E35632">
            <w:pPr>
              <w:pStyle w:val="ConsPlusNormal"/>
              <w:jc w:val="center"/>
            </w:pPr>
            <w:r>
              <w:t>12</w:t>
            </w:r>
          </w:p>
        </w:tc>
      </w:tr>
      <w:tr w:rsidR="00E35632">
        <w:tblPrEx>
          <w:tblBorders>
            <w:insideH w:val="none" w:sz="0" w:space="0" w:color="auto"/>
          </w:tblBorders>
        </w:tblPrEx>
        <w:tc>
          <w:tcPr>
            <w:tcW w:w="4620" w:type="dxa"/>
            <w:tcBorders>
              <w:top w:val="nil"/>
              <w:bottom w:val="single" w:sz="4" w:space="0" w:color="auto"/>
            </w:tcBorders>
          </w:tcPr>
          <w:p w:rsidR="00E35632" w:rsidRDefault="00E35632">
            <w:pPr>
              <w:pStyle w:val="ConsPlusNormal"/>
              <w:ind w:firstLine="283"/>
            </w:pPr>
            <w:r>
              <w:t>то же, с армированием, в том числе с устройством железобетонных поясов или монолитных перекрытий, а также здания монолитной конструкции</w:t>
            </w:r>
          </w:p>
        </w:tc>
        <w:tc>
          <w:tcPr>
            <w:tcW w:w="1834" w:type="dxa"/>
            <w:tcBorders>
              <w:top w:val="nil"/>
              <w:bottom w:val="single" w:sz="4" w:space="0" w:color="auto"/>
            </w:tcBorders>
            <w:vAlign w:val="bottom"/>
          </w:tcPr>
          <w:p w:rsidR="00E35632" w:rsidRDefault="00E35632">
            <w:pPr>
              <w:pStyle w:val="ConsPlusNormal"/>
              <w:jc w:val="center"/>
            </w:pPr>
            <w:r>
              <w:t>0,0024</w:t>
            </w:r>
          </w:p>
        </w:tc>
        <w:tc>
          <w:tcPr>
            <w:tcW w:w="926" w:type="dxa"/>
            <w:tcBorders>
              <w:top w:val="nil"/>
              <w:bottom w:val="single" w:sz="4" w:space="0" w:color="auto"/>
            </w:tcBorders>
            <w:vAlign w:val="bottom"/>
          </w:tcPr>
          <w:p w:rsidR="00E35632" w:rsidRDefault="00E35632">
            <w:pPr>
              <w:pStyle w:val="ConsPlusNormal"/>
              <w:jc w:val="center"/>
            </w:pPr>
            <w:r>
              <w:t>-</w:t>
            </w:r>
          </w:p>
        </w:tc>
        <w:tc>
          <w:tcPr>
            <w:tcW w:w="1680" w:type="dxa"/>
            <w:tcBorders>
              <w:top w:val="nil"/>
              <w:bottom w:val="single" w:sz="4" w:space="0" w:color="auto"/>
            </w:tcBorders>
            <w:vAlign w:val="bottom"/>
          </w:tcPr>
          <w:p w:rsidR="00E35632" w:rsidRDefault="00E35632">
            <w:pPr>
              <w:pStyle w:val="ConsPlusNormal"/>
              <w:jc w:val="center"/>
            </w:pPr>
            <w:r>
              <w:t>18</w:t>
            </w:r>
          </w:p>
        </w:tc>
      </w:tr>
      <w:tr w:rsidR="00E35632">
        <w:tblPrEx>
          <w:tblBorders>
            <w:insideH w:val="none" w:sz="0" w:space="0" w:color="auto"/>
          </w:tblBorders>
        </w:tblPrEx>
        <w:tc>
          <w:tcPr>
            <w:tcW w:w="4620" w:type="dxa"/>
            <w:tcBorders>
              <w:top w:val="single" w:sz="4" w:space="0" w:color="auto"/>
              <w:bottom w:val="nil"/>
            </w:tcBorders>
          </w:tcPr>
          <w:p w:rsidR="00E35632" w:rsidRDefault="00E35632">
            <w:pPr>
              <w:pStyle w:val="ConsPlusNormal"/>
            </w:pPr>
            <w:bookmarkStart w:id="302" w:name="P6924"/>
            <w:bookmarkEnd w:id="302"/>
            <w:r>
              <w:t>4 Сооружения элеваторов из железобетонных конструкций:</w:t>
            </w:r>
          </w:p>
        </w:tc>
        <w:tc>
          <w:tcPr>
            <w:tcW w:w="1834" w:type="dxa"/>
            <w:tcBorders>
              <w:top w:val="single" w:sz="4" w:space="0" w:color="auto"/>
              <w:bottom w:val="nil"/>
            </w:tcBorders>
            <w:vAlign w:val="bottom"/>
          </w:tcPr>
          <w:p w:rsidR="00E35632" w:rsidRDefault="00E35632">
            <w:pPr>
              <w:pStyle w:val="ConsPlusNormal"/>
            </w:pPr>
          </w:p>
        </w:tc>
        <w:tc>
          <w:tcPr>
            <w:tcW w:w="926" w:type="dxa"/>
            <w:tcBorders>
              <w:top w:val="single" w:sz="4" w:space="0" w:color="auto"/>
              <w:bottom w:val="nil"/>
            </w:tcBorders>
            <w:vAlign w:val="bottom"/>
          </w:tcPr>
          <w:p w:rsidR="00E35632" w:rsidRDefault="00E35632">
            <w:pPr>
              <w:pStyle w:val="ConsPlusNormal"/>
            </w:pPr>
          </w:p>
        </w:tc>
        <w:tc>
          <w:tcPr>
            <w:tcW w:w="1680" w:type="dxa"/>
            <w:tcBorders>
              <w:top w:val="single" w:sz="4" w:space="0" w:color="auto"/>
              <w:bottom w:val="nil"/>
            </w:tcBorders>
            <w:vAlign w:val="bottom"/>
          </w:tcPr>
          <w:p w:rsidR="00E35632" w:rsidRDefault="00E35632">
            <w:pPr>
              <w:pStyle w:val="ConsPlusNormal"/>
            </w:pP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t>рабочее здание и силосный корпус монолитной конструкции на одной фундаментной плите</w:t>
            </w:r>
          </w:p>
        </w:tc>
        <w:tc>
          <w:tcPr>
            <w:tcW w:w="1834" w:type="dxa"/>
            <w:tcBorders>
              <w:top w:val="nil"/>
              <w:bottom w:val="nil"/>
            </w:tcBorders>
            <w:vAlign w:val="bottom"/>
          </w:tcPr>
          <w:p w:rsidR="00E35632" w:rsidRDefault="00E35632">
            <w:pPr>
              <w:pStyle w:val="ConsPlusNormal"/>
              <w:jc w:val="center"/>
            </w:pPr>
            <w:r>
              <w:t>-</w:t>
            </w:r>
          </w:p>
        </w:tc>
        <w:tc>
          <w:tcPr>
            <w:tcW w:w="926" w:type="dxa"/>
            <w:tcBorders>
              <w:top w:val="nil"/>
              <w:bottom w:val="nil"/>
            </w:tcBorders>
            <w:vAlign w:val="bottom"/>
          </w:tcPr>
          <w:p w:rsidR="00E35632" w:rsidRDefault="00E35632">
            <w:pPr>
              <w:pStyle w:val="ConsPlusNormal"/>
              <w:jc w:val="center"/>
            </w:pPr>
            <w:r>
              <w:t>0,003</w:t>
            </w:r>
          </w:p>
        </w:tc>
        <w:tc>
          <w:tcPr>
            <w:tcW w:w="1680" w:type="dxa"/>
            <w:tcBorders>
              <w:top w:val="nil"/>
              <w:bottom w:val="nil"/>
            </w:tcBorders>
            <w:vAlign w:val="bottom"/>
          </w:tcPr>
          <w:p w:rsidR="00E35632" w:rsidRDefault="00E35632">
            <w:pPr>
              <w:pStyle w:val="ConsPlusNormal"/>
              <w:jc w:val="center"/>
            </w:pPr>
            <w:r>
              <w:t>40</w:t>
            </w: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t>то же, сборной конструкции</w:t>
            </w:r>
          </w:p>
        </w:tc>
        <w:tc>
          <w:tcPr>
            <w:tcW w:w="1834" w:type="dxa"/>
            <w:tcBorders>
              <w:top w:val="nil"/>
              <w:bottom w:val="nil"/>
            </w:tcBorders>
            <w:vAlign w:val="bottom"/>
          </w:tcPr>
          <w:p w:rsidR="00E35632" w:rsidRDefault="00E35632">
            <w:pPr>
              <w:pStyle w:val="ConsPlusNormal"/>
              <w:jc w:val="center"/>
            </w:pPr>
            <w:r>
              <w:t>-</w:t>
            </w:r>
          </w:p>
        </w:tc>
        <w:tc>
          <w:tcPr>
            <w:tcW w:w="926" w:type="dxa"/>
            <w:tcBorders>
              <w:top w:val="nil"/>
              <w:bottom w:val="nil"/>
            </w:tcBorders>
            <w:vAlign w:val="bottom"/>
          </w:tcPr>
          <w:p w:rsidR="00E35632" w:rsidRDefault="00E35632">
            <w:pPr>
              <w:pStyle w:val="ConsPlusNormal"/>
              <w:jc w:val="center"/>
            </w:pPr>
            <w:r>
              <w:t>0,003</w:t>
            </w:r>
          </w:p>
        </w:tc>
        <w:tc>
          <w:tcPr>
            <w:tcW w:w="1680" w:type="dxa"/>
            <w:tcBorders>
              <w:top w:val="nil"/>
              <w:bottom w:val="nil"/>
            </w:tcBorders>
            <w:vAlign w:val="bottom"/>
          </w:tcPr>
          <w:p w:rsidR="00E35632" w:rsidRDefault="00E35632">
            <w:pPr>
              <w:pStyle w:val="ConsPlusNormal"/>
              <w:jc w:val="center"/>
            </w:pPr>
            <w:r>
              <w:t>30</w:t>
            </w: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t>отдельно стоящий силосный корпус монолитной конструкции</w:t>
            </w:r>
          </w:p>
        </w:tc>
        <w:tc>
          <w:tcPr>
            <w:tcW w:w="1834" w:type="dxa"/>
            <w:tcBorders>
              <w:top w:val="nil"/>
              <w:bottom w:val="nil"/>
            </w:tcBorders>
            <w:vAlign w:val="bottom"/>
          </w:tcPr>
          <w:p w:rsidR="00E35632" w:rsidRDefault="00E35632">
            <w:pPr>
              <w:pStyle w:val="ConsPlusNormal"/>
              <w:jc w:val="center"/>
            </w:pPr>
            <w:r>
              <w:t>-</w:t>
            </w:r>
          </w:p>
        </w:tc>
        <w:tc>
          <w:tcPr>
            <w:tcW w:w="926" w:type="dxa"/>
            <w:tcBorders>
              <w:top w:val="nil"/>
              <w:bottom w:val="nil"/>
            </w:tcBorders>
            <w:vAlign w:val="bottom"/>
          </w:tcPr>
          <w:p w:rsidR="00E35632" w:rsidRDefault="00E35632">
            <w:pPr>
              <w:pStyle w:val="ConsPlusNormal"/>
              <w:jc w:val="center"/>
            </w:pPr>
            <w:r>
              <w:t>0,004</w:t>
            </w:r>
          </w:p>
        </w:tc>
        <w:tc>
          <w:tcPr>
            <w:tcW w:w="1680" w:type="dxa"/>
            <w:tcBorders>
              <w:top w:val="nil"/>
              <w:bottom w:val="nil"/>
            </w:tcBorders>
            <w:vAlign w:val="bottom"/>
          </w:tcPr>
          <w:p w:rsidR="00E35632" w:rsidRDefault="00E35632">
            <w:pPr>
              <w:pStyle w:val="ConsPlusNormal"/>
              <w:jc w:val="center"/>
            </w:pPr>
            <w:r>
              <w:t>40</w:t>
            </w:r>
          </w:p>
        </w:tc>
      </w:tr>
      <w:tr w:rsidR="00E35632">
        <w:tblPrEx>
          <w:tblBorders>
            <w:insideH w:val="none" w:sz="0" w:space="0" w:color="auto"/>
          </w:tblBorders>
        </w:tblPrEx>
        <w:tc>
          <w:tcPr>
            <w:tcW w:w="4620" w:type="dxa"/>
            <w:tcBorders>
              <w:top w:val="nil"/>
              <w:bottom w:val="single" w:sz="4" w:space="0" w:color="auto"/>
            </w:tcBorders>
          </w:tcPr>
          <w:p w:rsidR="00E35632" w:rsidRDefault="00E35632">
            <w:pPr>
              <w:pStyle w:val="ConsPlusNormal"/>
              <w:ind w:firstLine="283"/>
            </w:pPr>
            <w:r>
              <w:t>то же, сборной конструкции</w:t>
            </w:r>
          </w:p>
        </w:tc>
        <w:tc>
          <w:tcPr>
            <w:tcW w:w="1834" w:type="dxa"/>
            <w:tcBorders>
              <w:top w:val="nil"/>
              <w:bottom w:val="single" w:sz="4" w:space="0" w:color="auto"/>
            </w:tcBorders>
            <w:vAlign w:val="bottom"/>
          </w:tcPr>
          <w:p w:rsidR="00E35632" w:rsidRDefault="00E35632">
            <w:pPr>
              <w:pStyle w:val="ConsPlusNormal"/>
              <w:jc w:val="center"/>
            </w:pPr>
            <w:r>
              <w:t>-</w:t>
            </w:r>
          </w:p>
        </w:tc>
        <w:tc>
          <w:tcPr>
            <w:tcW w:w="926" w:type="dxa"/>
            <w:tcBorders>
              <w:top w:val="nil"/>
              <w:bottom w:val="single" w:sz="4" w:space="0" w:color="auto"/>
            </w:tcBorders>
            <w:vAlign w:val="bottom"/>
          </w:tcPr>
          <w:p w:rsidR="00E35632" w:rsidRDefault="00E35632">
            <w:pPr>
              <w:pStyle w:val="ConsPlusNormal"/>
              <w:jc w:val="center"/>
            </w:pPr>
            <w:r>
              <w:t>0,004</w:t>
            </w:r>
          </w:p>
        </w:tc>
        <w:tc>
          <w:tcPr>
            <w:tcW w:w="1680" w:type="dxa"/>
            <w:tcBorders>
              <w:top w:val="nil"/>
              <w:bottom w:val="single" w:sz="4" w:space="0" w:color="auto"/>
            </w:tcBorders>
            <w:vAlign w:val="bottom"/>
          </w:tcPr>
          <w:p w:rsidR="00E35632" w:rsidRDefault="00E35632">
            <w:pPr>
              <w:pStyle w:val="ConsPlusNormal"/>
              <w:jc w:val="center"/>
            </w:pPr>
            <w:r>
              <w:t>30</w:t>
            </w:r>
          </w:p>
        </w:tc>
      </w:tr>
      <w:tr w:rsidR="00E35632">
        <w:tblPrEx>
          <w:tblBorders>
            <w:insideH w:val="none" w:sz="0" w:space="0" w:color="auto"/>
          </w:tblBorders>
        </w:tblPrEx>
        <w:tc>
          <w:tcPr>
            <w:tcW w:w="4620" w:type="dxa"/>
            <w:tcBorders>
              <w:top w:val="single" w:sz="4" w:space="0" w:color="auto"/>
              <w:bottom w:val="nil"/>
            </w:tcBorders>
          </w:tcPr>
          <w:p w:rsidR="00E35632" w:rsidRDefault="00E35632">
            <w:pPr>
              <w:pStyle w:val="ConsPlusNormal"/>
            </w:pPr>
            <w:bookmarkStart w:id="303" w:name="P6944"/>
            <w:bookmarkEnd w:id="303"/>
            <w:r>
              <w:t xml:space="preserve">5 Дымовые трубы высотой </w:t>
            </w:r>
            <w:r>
              <w:rPr>
                <w:i/>
              </w:rPr>
              <w:t>H</w:t>
            </w:r>
            <w:r>
              <w:t>, м:</w:t>
            </w:r>
          </w:p>
        </w:tc>
        <w:tc>
          <w:tcPr>
            <w:tcW w:w="1834" w:type="dxa"/>
            <w:tcBorders>
              <w:top w:val="single" w:sz="4" w:space="0" w:color="auto"/>
              <w:bottom w:val="nil"/>
            </w:tcBorders>
            <w:vAlign w:val="bottom"/>
          </w:tcPr>
          <w:p w:rsidR="00E35632" w:rsidRDefault="00E35632">
            <w:pPr>
              <w:pStyle w:val="ConsPlusNormal"/>
            </w:pPr>
          </w:p>
        </w:tc>
        <w:tc>
          <w:tcPr>
            <w:tcW w:w="926" w:type="dxa"/>
            <w:tcBorders>
              <w:top w:val="single" w:sz="4" w:space="0" w:color="auto"/>
              <w:bottom w:val="nil"/>
            </w:tcBorders>
            <w:vAlign w:val="bottom"/>
          </w:tcPr>
          <w:p w:rsidR="00E35632" w:rsidRDefault="00E35632">
            <w:pPr>
              <w:pStyle w:val="ConsPlusNormal"/>
            </w:pPr>
          </w:p>
        </w:tc>
        <w:tc>
          <w:tcPr>
            <w:tcW w:w="1680" w:type="dxa"/>
            <w:tcBorders>
              <w:top w:val="single" w:sz="4" w:space="0" w:color="auto"/>
              <w:bottom w:val="nil"/>
            </w:tcBorders>
            <w:vAlign w:val="bottom"/>
          </w:tcPr>
          <w:p w:rsidR="00E35632" w:rsidRDefault="00E35632">
            <w:pPr>
              <w:pStyle w:val="ConsPlusNormal"/>
            </w:pP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rPr>
                <w:i/>
              </w:rPr>
              <w:t>H</w:t>
            </w:r>
            <w:r>
              <w:t xml:space="preserve"> &lt;= 100</w:t>
            </w:r>
          </w:p>
        </w:tc>
        <w:tc>
          <w:tcPr>
            <w:tcW w:w="1834" w:type="dxa"/>
            <w:tcBorders>
              <w:top w:val="nil"/>
              <w:bottom w:val="nil"/>
            </w:tcBorders>
            <w:vAlign w:val="bottom"/>
          </w:tcPr>
          <w:p w:rsidR="00E35632" w:rsidRDefault="00E35632">
            <w:pPr>
              <w:pStyle w:val="ConsPlusNormal"/>
              <w:jc w:val="center"/>
            </w:pPr>
            <w:r>
              <w:t>-</w:t>
            </w:r>
          </w:p>
        </w:tc>
        <w:tc>
          <w:tcPr>
            <w:tcW w:w="926" w:type="dxa"/>
            <w:tcBorders>
              <w:top w:val="nil"/>
              <w:bottom w:val="nil"/>
            </w:tcBorders>
            <w:vAlign w:val="bottom"/>
          </w:tcPr>
          <w:p w:rsidR="00E35632" w:rsidRDefault="00E35632">
            <w:pPr>
              <w:pStyle w:val="ConsPlusNormal"/>
              <w:jc w:val="center"/>
            </w:pPr>
            <w:r>
              <w:t>0,005</w:t>
            </w:r>
          </w:p>
        </w:tc>
        <w:tc>
          <w:tcPr>
            <w:tcW w:w="1680" w:type="dxa"/>
            <w:tcBorders>
              <w:top w:val="nil"/>
              <w:bottom w:val="nil"/>
            </w:tcBorders>
            <w:vAlign w:val="bottom"/>
          </w:tcPr>
          <w:p w:rsidR="00E35632" w:rsidRDefault="00E35632">
            <w:pPr>
              <w:pStyle w:val="ConsPlusNormal"/>
              <w:jc w:val="center"/>
            </w:pPr>
            <w:r>
              <w:t>40</w:t>
            </w: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t xml:space="preserve">100 &lt; </w:t>
            </w:r>
            <w:r>
              <w:rPr>
                <w:i/>
              </w:rPr>
              <w:t>H</w:t>
            </w:r>
            <w:r>
              <w:t xml:space="preserve"> &lt;= 200</w:t>
            </w:r>
          </w:p>
        </w:tc>
        <w:tc>
          <w:tcPr>
            <w:tcW w:w="1834" w:type="dxa"/>
            <w:tcBorders>
              <w:top w:val="nil"/>
              <w:bottom w:val="nil"/>
            </w:tcBorders>
            <w:vAlign w:val="bottom"/>
          </w:tcPr>
          <w:p w:rsidR="00E35632" w:rsidRDefault="00E35632">
            <w:pPr>
              <w:pStyle w:val="ConsPlusNormal"/>
              <w:jc w:val="center"/>
            </w:pPr>
            <w:r>
              <w:t>-</w:t>
            </w:r>
          </w:p>
        </w:tc>
        <w:tc>
          <w:tcPr>
            <w:tcW w:w="926" w:type="dxa"/>
            <w:tcBorders>
              <w:top w:val="nil"/>
              <w:bottom w:val="nil"/>
            </w:tcBorders>
            <w:vAlign w:val="bottom"/>
          </w:tcPr>
          <w:p w:rsidR="00E35632" w:rsidRDefault="00E35632">
            <w:pPr>
              <w:pStyle w:val="ConsPlusNormal"/>
              <w:jc w:val="center"/>
            </w:pPr>
            <w:r>
              <w:t>1/(2</w:t>
            </w:r>
            <w:r>
              <w:rPr>
                <w:i/>
              </w:rPr>
              <w:t>H</w:t>
            </w:r>
            <w:r>
              <w:t>)</w:t>
            </w:r>
          </w:p>
        </w:tc>
        <w:tc>
          <w:tcPr>
            <w:tcW w:w="1680" w:type="dxa"/>
            <w:tcBorders>
              <w:top w:val="nil"/>
              <w:bottom w:val="nil"/>
            </w:tcBorders>
            <w:vAlign w:val="bottom"/>
          </w:tcPr>
          <w:p w:rsidR="00E35632" w:rsidRDefault="00E35632">
            <w:pPr>
              <w:pStyle w:val="ConsPlusNormal"/>
              <w:jc w:val="center"/>
            </w:pPr>
            <w:r>
              <w:t>30</w:t>
            </w: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t xml:space="preserve">200 &lt; </w:t>
            </w:r>
            <w:r>
              <w:rPr>
                <w:i/>
              </w:rPr>
              <w:t>H</w:t>
            </w:r>
            <w:r>
              <w:t xml:space="preserve"> &lt;= 300</w:t>
            </w:r>
          </w:p>
        </w:tc>
        <w:tc>
          <w:tcPr>
            <w:tcW w:w="1834" w:type="dxa"/>
            <w:tcBorders>
              <w:top w:val="nil"/>
              <w:bottom w:val="nil"/>
            </w:tcBorders>
            <w:vAlign w:val="bottom"/>
          </w:tcPr>
          <w:p w:rsidR="00E35632" w:rsidRDefault="00E35632">
            <w:pPr>
              <w:pStyle w:val="ConsPlusNormal"/>
              <w:jc w:val="center"/>
            </w:pPr>
            <w:r>
              <w:t>-</w:t>
            </w:r>
          </w:p>
        </w:tc>
        <w:tc>
          <w:tcPr>
            <w:tcW w:w="926" w:type="dxa"/>
            <w:tcBorders>
              <w:top w:val="nil"/>
              <w:bottom w:val="nil"/>
            </w:tcBorders>
            <w:vAlign w:val="bottom"/>
          </w:tcPr>
          <w:p w:rsidR="00E35632" w:rsidRDefault="00E35632">
            <w:pPr>
              <w:pStyle w:val="ConsPlusNormal"/>
              <w:jc w:val="center"/>
            </w:pPr>
            <w:r>
              <w:t>1/(2</w:t>
            </w:r>
            <w:r>
              <w:rPr>
                <w:i/>
              </w:rPr>
              <w:t>H</w:t>
            </w:r>
            <w:r>
              <w:t>)</w:t>
            </w:r>
          </w:p>
        </w:tc>
        <w:tc>
          <w:tcPr>
            <w:tcW w:w="1680" w:type="dxa"/>
            <w:tcBorders>
              <w:top w:val="nil"/>
              <w:bottom w:val="nil"/>
            </w:tcBorders>
            <w:vAlign w:val="bottom"/>
          </w:tcPr>
          <w:p w:rsidR="00E35632" w:rsidRDefault="00E35632">
            <w:pPr>
              <w:pStyle w:val="ConsPlusNormal"/>
              <w:jc w:val="center"/>
            </w:pPr>
            <w:r>
              <w:t>20</w:t>
            </w:r>
          </w:p>
        </w:tc>
      </w:tr>
      <w:tr w:rsidR="00E35632">
        <w:tblPrEx>
          <w:tblBorders>
            <w:insideH w:val="none" w:sz="0" w:space="0" w:color="auto"/>
          </w:tblBorders>
        </w:tblPrEx>
        <w:tc>
          <w:tcPr>
            <w:tcW w:w="4620" w:type="dxa"/>
            <w:tcBorders>
              <w:top w:val="nil"/>
              <w:bottom w:val="single" w:sz="4" w:space="0" w:color="auto"/>
            </w:tcBorders>
          </w:tcPr>
          <w:p w:rsidR="00E35632" w:rsidRDefault="00E35632">
            <w:pPr>
              <w:pStyle w:val="ConsPlusNormal"/>
              <w:ind w:firstLine="283"/>
            </w:pPr>
            <w:r>
              <w:rPr>
                <w:i/>
              </w:rPr>
              <w:t>H</w:t>
            </w:r>
            <w:r>
              <w:t xml:space="preserve"> &gt; 300</w:t>
            </w:r>
          </w:p>
        </w:tc>
        <w:tc>
          <w:tcPr>
            <w:tcW w:w="1834" w:type="dxa"/>
            <w:tcBorders>
              <w:top w:val="nil"/>
              <w:bottom w:val="single" w:sz="4" w:space="0" w:color="auto"/>
            </w:tcBorders>
            <w:vAlign w:val="bottom"/>
          </w:tcPr>
          <w:p w:rsidR="00E35632" w:rsidRDefault="00E35632">
            <w:pPr>
              <w:pStyle w:val="ConsPlusNormal"/>
              <w:jc w:val="center"/>
            </w:pPr>
            <w:r>
              <w:t>-</w:t>
            </w:r>
          </w:p>
        </w:tc>
        <w:tc>
          <w:tcPr>
            <w:tcW w:w="926" w:type="dxa"/>
            <w:tcBorders>
              <w:top w:val="nil"/>
              <w:bottom w:val="single" w:sz="4" w:space="0" w:color="auto"/>
            </w:tcBorders>
            <w:vAlign w:val="bottom"/>
          </w:tcPr>
          <w:p w:rsidR="00E35632" w:rsidRDefault="00E35632">
            <w:pPr>
              <w:pStyle w:val="ConsPlusNormal"/>
              <w:jc w:val="center"/>
            </w:pPr>
            <w:r>
              <w:t>1/(2</w:t>
            </w:r>
            <w:r>
              <w:rPr>
                <w:i/>
              </w:rPr>
              <w:t>H</w:t>
            </w:r>
            <w:r>
              <w:t>)</w:t>
            </w:r>
          </w:p>
        </w:tc>
        <w:tc>
          <w:tcPr>
            <w:tcW w:w="1680" w:type="dxa"/>
            <w:tcBorders>
              <w:top w:val="nil"/>
              <w:bottom w:val="single" w:sz="4" w:space="0" w:color="auto"/>
            </w:tcBorders>
            <w:vAlign w:val="bottom"/>
          </w:tcPr>
          <w:p w:rsidR="00E35632" w:rsidRDefault="00E35632">
            <w:pPr>
              <w:pStyle w:val="ConsPlusNormal"/>
              <w:jc w:val="center"/>
            </w:pPr>
            <w:r>
              <w:t>10</w:t>
            </w:r>
          </w:p>
        </w:tc>
      </w:tr>
      <w:tr w:rsidR="00E35632">
        <w:tc>
          <w:tcPr>
            <w:tcW w:w="4620" w:type="dxa"/>
            <w:tcBorders>
              <w:top w:val="single" w:sz="4" w:space="0" w:color="auto"/>
              <w:bottom w:val="single" w:sz="4" w:space="0" w:color="auto"/>
            </w:tcBorders>
          </w:tcPr>
          <w:p w:rsidR="00E35632" w:rsidRDefault="00E35632">
            <w:pPr>
              <w:pStyle w:val="ConsPlusNormal"/>
            </w:pPr>
            <w:r>
              <w:t xml:space="preserve">6 Жесткие сооружения высотой до 100 м, кроме указанных в </w:t>
            </w:r>
            <w:hyperlink w:anchor="P6924">
              <w:r>
                <w:rPr>
                  <w:color w:val="0000FF"/>
                </w:rPr>
                <w:t>пунктах таблицы 4</w:t>
              </w:r>
            </w:hyperlink>
            <w:r>
              <w:t xml:space="preserve"> и </w:t>
            </w:r>
            <w:hyperlink w:anchor="P6944">
              <w:r>
                <w:rPr>
                  <w:color w:val="0000FF"/>
                </w:rPr>
                <w:t>5</w:t>
              </w:r>
            </w:hyperlink>
          </w:p>
        </w:tc>
        <w:tc>
          <w:tcPr>
            <w:tcW w:w="1834" w:type="dxa"/>
            <w:tcBorders>
              <w:top w:val="single" w:sz="4" w:space="0" w:color="auto"/>
              <w:bottom w:val="single" w:sz="4" w:space="0" w:color="auto"/>
            </w:tcBorders>
            <w:vAlign w:val="bottom"/>
          </w:tcPr>
          <w:p w:rsidR="00E35632" w:rsidRDefault="00E35632">
            <w:pPr>
              <w:pStyle w:val="ConsPlusNormal"/>
              <w:jc w:val="center"/>
            </w:pPr>
            <w:r>
              <w:t>-</w:t>
            </w:r>
          </w:p>
        </w:tc>
        <w:tc>
          <w:tcPr>
            <w:tcW w:w="926" w:type="dxa"/>
            <w:tcBorders>
              <w:top w:val="single" w:sz="4" w:space="0" w:color="auto"/>
              <w:bottom w:val="single" w:sz="4" w:space="0" w:color="auto"/>
            </w:tcBorders>
            <w:vAlign w:val="bottom"/>
          </w:tcPr>
          <w:p w:rsidR="00E35632" w:rsidRDefault="00E35632">
            <w:pPr>
              <w:pStyle w:val="ConsPlusNormal"/>
              <w:jc w:val="center"/>
            </w:pPr>
            <w:r>
              <w:t>0,004</w:t>
            </w:r>
          </w:p>
        </w:tc>
        <w:tc>
          <w:tcPr>
            <w:tcW w:w="1680" w:type="dxa"/>
            <w:tcBorders>
              <w:top w:val="single" w:sz="4" w:space="0" w:color="auto"/>
              <w:bottom w:val="single" w:sz="4" w:space="0" w:color="auto"/>
            </w:tcBorders>
            <w:vAlign w:val="bottom"/>
          </w:tcPr>
          <w:p w:rsidR="00E35632" w:rsidRDefault="00E35632">
            <w:pPr>
              <w:pStyle w:val="ConsPlusNormal"/>
              <w:jc w:val="center"/>
            </w:pPr>
            <w:r>
              <w:t>20</w:t>
            </w:r>
          </w:p>
        </w:tc>
      </w:tr>
      <w:tr w:rsidR="00E35632">
        <w:tblPrEx>
          <w:tblBorders>
            <w:insideH w:val="none" w:sz="0" w:space="0" w:color="auto"/>
          </w:tblBorders>
        </w:tblPrEx>
        <w:tc>
          <w:tcPr>
            <w:tcW w:w="4620" w:type="dxa"/>
            <w:tcBorders>
              <w:top w:val="single" w:sz="4" w:space="0" w:color="auto"/>
              <w:bottom w:val="nil"/>
            </w:tcBorders>
          </w:tcPr>
          <w:p w:rsidR="00E35632" w:rsidRDefault="00E35632">
            <w:pPr>
              <w:pStyle w:val="ConsPlusNormal"/>
            </w:pPr>
            <w:r>
              <w:t>7 Антенные сооружения связи:</w:t>
            </w:r>
          </w:p>
        </w:tc>
        <w:tc>
          <w:tcPr>
            <w:tcW w:w="1834" w:type="dxa"/>
            <w:tcBorders>
              <w:top w:val="single" w:sz="4" w:space="0" w:color="auto"/>
              <w:bottom w:val="nil"/>
            </w:tcBorders>
            <w:vAlign w:val="bottom"/>
          </w:tcPr>
          <w:p w:rsidR="00E35632" w:rsidRDefault="00E35632">
            <w:pPr>
              <w:pStyle w:val="ConsPlusNormal"/>
            </w:pPr>
          </w:p>
        </w:tc>
        <w:tc>
          <w:tcPr>
            <w:tcW w:w="926" w:type="dxa"/>
            <w:tcBorders>
              <w:top w:val="single" w:sz="4" w:space="0" w:color="auto"/>
              <w:bottom w:val="nil"/>
            </w:tcBorders>
            <w:vAlign w:val="bottom"/>
          </w:tcPr>
          <w:p w:rsidR="00E35632" w:rsidRDefault="00E35632">
            <w:pPr>
              <w:pStyle w:val="ConsPlusNormal"/>
            </w:pPr>
          </w:p>
        </w:tc>
        <w:tc>
          <w:tcPr>
            <w:tcW w:w="1680" w:type="dxa"/>
            <w:tcBorders>
              <w:top w:val="single" w:sz="4" w:space="0" w:color="auto"/>
              <w:bottom w:val="nil"/>
            </w:tcBorders>
            <w:vAlign w:val="bottom"/>
          </w:tcPr>
          <w:p w:rsidR="00E35632" w:rsidRDefault="00E35632">
            <w:pPr>
              <w:pStyle w:val="ConsPlusNormal"/>
            </w:pP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t>стволы мачт заземленные</w:t>
            </w:r>
          </w:p>
        </w:tc>
        <w:tc>
          <w:tcPr>
            <w:tcW w:w="1834" w:type="dxa"/>
            <w:tcBorders>
              <w:top w:val="nil"/>
              <w:bottom w:val="nil"/>
            </w:tcBorders>
            <w:vAlign w:val="bottom"/>
          </w:tcPr>
          <w:p w:rsidR="00E35632" w:rsidRDefault="00E35632">
            <w:pPr>
              <w:pStyle w:val="ConsPlusNormal"/>
              <w:jc w:val="center"/>
            </w:pPr>
            <w:r>
              <w:t>-</w:t>
            </w:r>
          </w:p>
        </w:tc>
        <w:tc>
          <w:tcPr>
            <w:tcW w:w="926" w:type="dxa"/>
            <w:tcBorders>
              <w:top w:val="nil"/>
              <w:bottom w:val="nil"/>
            </w:tcBorders>
            <w:vAlign w:val="bottom"/>
          </w:tcPr>
          <w:p w:rsidR="00E35632" w:rsidRDefault="00E35632">
            <w:pPr>
              <w:pStyle w:val="ConsPlusNormal"/>
              <w:jc w:val="center"/>
            </w:pPr>
            <w:r>
              <w:t>0,002</w:t>
            </w:r>
          </w:p>
        </w:tc>
        <w:tc>
          <w:tcPr>
            <w:tcW w:w="1680" w:type="dxa"/>
            <w:tcBorders>
              <w:top w:val="nil"/>
              <w:bottom w:val="nil"/>
            </w:tcBorders>
            <w:vAlign w:val="bottom"/>
          </w:tcPr>
          <w:p w:rsidR="00E35632" w:rsidRDefault="00E35632">
            <w:pPr>
              <w:pStyle w:val="ConsPlusNormal"/>
              <w:jc w:val="center"/>
            </w:pPr>
            <w:r>
              <w:t>20</w:t>
            </w: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t>то же, электрически изолированные</w:t>
            </w:r>
          </w:p>
        </w:tc>
        <w:tc>
          <w:tcPr>
            <w:tcW w:w="1834" w:type="dxa"/>
            <w:tcBorders>
              <w:top w:val="nil"/>
              <w:bottom w:val="nil"/>
            </w:tcBorders>
            <w:vAlign w:val="bottom"/>
          </w:tcPr>
          <w:p w:rsidR="00E35632" w:rsidRDefault="00E35632">
            <w:pPr>
              <w:pStyle w:val="ConsPlusNormal"/>
              <w:jc w:val="center"/>
            </w:pPr>
            <w:r>
              <w:t>-</w:t>
            </w:r>
          </w:p>
        </w:tc>
        <w:tc>
          <w:tcPr>
            <w:tcW w:w="926" w:type="dxa"/>
            <w:tcBorders>
              <w:top w:val="nil"/>
              <w:bottom w:val="nil"/>
            </w:tcBorders>
            <w:vAlign w:val="bottom"/>
          </w:tcPr>
          <w:p w:rsidR="00E35632" w:rsidRDefault="00E35632">
            <w:pPr>
              <w:pStyle w:val="ConsPlusNormal"/>
              <w:jc w:val="center"/>
            </w:pPr>
            <w:r>
              <w:t>0,001</w:t>
            </w:r>
          </w:p>
        </w:tc>
        <w:tc>
          <w:tcPr>
            <w:tcW w:w="1680" w:type="dxa"/>
            <w:tcBorders>
              <w:top w:val="nil"/>
              <w:bottom w:val="nil"/>
            </w:tcBorders>
            <w:vAlign w:val="bottom"/>
          </w:tcPr>
          <w:p w:rsidR="00E35632" w:rsidRDefault="00E35632">
            <w:pPr>
              <w:pStyle w:val="ConsPlusNormal"/>
              <w:jc w:val="center"/>
            </w:pPr>
            <w:r>
              <w:t>10</w:t>
            </w: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t>башни радио</w:t>
            </w:r>
          </w:p>
        </w:tc>
        <w:tc>
          <w:tcPr>
            <w:tcW w:w="1834" w:type="dxa"/>
            <w:tcBorders>
              <w:top w:val="nil"/>
              <w:bottom w:val="nil"/>
            </w:tcBorders>
            <w:vAlign w:val="bottom"/>
          </w:tcPr>
          <w:p w:rsidR="00E35632" w:rsidRDefault="00E35632">
            <w:pPr>
              <w:pStyle w:val="ConsPlusNormal"/>
              <w:jc w:val="center"/>
            </w:pPr>
            <w:r>
              <w:t>0,002</w:t>
            </w:r>
          </w:p>
        </w:tc>
        <w:tc>
          <w:tcPr>
            <w:tcW w:w="926" w:type="dxa"/>
            <w:tcBorders>
              <w:top w:val="nil"/>
              <w:bottom w:val="nil"/>
            </w:tcBorders>
            <w:vAlign w:val="bottom"/>
          </w:tcPr>
          <w:p w:rsidR="00E35632" w:rsidRDefault="00E35632">
            <w:pPr>
              <w:pStyle w:val="ConsPlusNormal"/>
              <w:jc w:val="center"/>
            </w:pPr>
            <w:r>
              <w:t>-</w:t>
            </w:r>
          </w:p>
        </w:tc>
        <w:tc>
          <w:tcPr>
            <w:tcW w:w="1680" w:type="dxa"/>
            <w:tcBorders>
              <w:top w:val="nil"/>
              <w:bottom w:val="nil"/>
            </w:tcBorders>
            <w:vAlign w:val="bottom"/>
          </w:tcPr>
          <w:p w:rsidR="00E35632" w:rsidRDefault="00E35632">
            <w:pPr>
              <w:pStyle w:val="ConsPlusNormal"/>
              <w:jc w:val="center"/>
            </w:pPr>
            <w:r>
              <w:t>-</w:t>
            </w: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t>башни коротковолновых радиостанций</w:t>
            </w:r>
          </w:p>
        </w:tc>
        <w:tc>
          <w:tcPr>
            <w:tcW w:w="1834" w:type="dxa"/>
            <w:tcBorders>
              <w:top w:val="nil"/>
              <w:bottom w:val="nil"/>
            </w:tcBorders>
            <w:vAlign w:val="bottom"/>
          </w:tcPr>
          <w:p w:rsidR="00E35632" w:rsidRDefault="00E35632">
            <w:pPr>
              <w:pStyle w:val="ConsPlusNormal"/>
              <w:jc w:val="center"/>
            </w:pPr>
            <w:r>
              <w:t>0,0025</w:t>
            </w:r>
          </w:p>
        </w:tc>
        <w:tc>
          <w:tcPr>
            <w:tcW w:w="926" w:type="dxa"/>
            <w:tcBorders>
              <w:top w:val="nil"/>
              <w:bottom w:val="nil"/>
            </w:tcBorders>
            <w:vAlign w:val="bottom"/>
          </w:tcPr>
          <w:p w:rsidR="00E35632" w:rsidRDefault="00E35632">
            <w:pPr>
              <w:pStyle w:val="ConsPlusNormal"/>
              <w:jc w:val="center"/>
            </w:pPr>
            <w:r>
              <w:t>-</w:t>
            </w:r>
          </w:p>
        </w:tc>
        <w:tc>
          <w:tcPr>
            <w:tcW w:w="1680" w:type="dxa"/>
            <w:tcBorders>
              <w:top w:val="nil"/>
              <w:bottom w:val="nil"/>
            </w:tcBorders>
            <w:vAlign w:val="bottom"/>
          </w:tcPr>
          <w:p w:rsidR="00E35632" w:rsidRDefault="00E35632">
            <w:pPr>
              <w:pStyle w:val="ConsPlusNormal"/>
              <w:jc w:val="center"/>
            </w:pPr>
            <w:r>
              <w:t>-</w:t>
            </w:r>
          </w:p>
        </w:tc>
      </w:tr>
      <w:tr w:rsidR="00E35632">
        <w:tblPrEx>
          <w:tblBorders>
            <w:insideH w:val="none" w:sz="0" w:space="0" w:color="auto"/>
          </w:tblBorders>
        </w:tblPrEx>
        <w:tc>
          <w:tcPr>
            <w:tcW w:w="4620" w:type="dxa"/>
            <w:tcBorders>
              <w:top w:val="nil"/>
              <w:bottom w:val="single" w:sz="4" w:space="0" w:color="auto"/>
            </w:tcBorders>
          </w:tcPr>
          <w:p w:rsidR="00E35632" w:rsidRDefault="00E35632">
            <w:pPr>
              <w:pStyle w:val="ConsPlusNormal"/>
              <w:ind w:firstLine="283"/>
            </w:pPr>
            <w:r>
              <w:t>башни (отдельные блоки)</w:t>
            </w:r>
          </w:p>
        </w:tc>
        <w:tc>
          <w:tcPr>
            <w:tcW w:w="1834" w:type="dxa"/>
            <w:tcBorders>
              <w:top w:val="nil"/>
              <w:bottom w:val="single" w:sz="4" w:space="0" w:color="auto"/>
            </w:tcBorders>
            <w:vAlign w:val="bottom"/>
          </w:tcPr>
          <w:p w:rsidR="00E35632" w:rsidRDefault="00E35632">
            <w:pPr>
              <w:pStyle w:val="ConsPlusNormal"/>
              <w:jc w:val="center"/>
            </w:pPr>
            <w:r>
              <w:t>0,001</w:t>
            </w:r>
          </w:p>
        </w:tc>
        <w:tc>
          <w:tcPr>
            <w:tcW w:w="926" w:type="dxa"/>
            <w:tcBorders>
              <w:top w:val="nil"/>
              <w:bottom w:val="single" w:sz="4" w:space="0" w:color="auto"/>
            </w:tcBorders>
            <w:vAlign w:val="bottom"/>
          </w:tcPr>
          <w:p w:rsidR="00E35632" w:rsidRDefault="00E35632">
            <w:pPr>
              <w:pStyle w:val="ConsPlusNormal"/>
              <w:jc w:val="center"/>
            </w:pPr>
            <w:r>
              <w:t>-</w:t>
            </w:r>
          </w:p>
        </w:tc>
        <w:tc>
          <w:tcPr>
            <w:tcW w:w="1680" w:type="dxa"/>
            <w:tcBorders>
              <w:top w:val="nil"/>
              <w:bottom w:val="single" w:sz="4" w:space="0" w:color="auto"/>
            </w:tcBorders>
            <w:vAlign w:val="bottom"/>
          </w:tcPr>
          <w:p w:rsidR="00E35632" w:rsidRDefault="00E35632">
            <w:pPr>
              <w:pStyle w:val="ConsPlusNormal"/>
              <w:jc w:val="center"/>
            </w:pPr>
            <w:r>
              <w:t>-</w:t>
            </w:r>
          </w:p>
        </w:tc>
      </w:tr>
      <w:tr w:rsidR="00E35632">
        <w:tblPrEx>
          <w:tblBorders>
            <w:insideH w:val="none" w:sz="0" w:space="0" w:color="auto"/>
          </w:tblBorders>
        </w:tblPrEx>
        <w:tc>
          <w:tcPr>
            <w:tcW w:w="4620" w:type="dxa"/>
            <w:tcBorders>
              <w:top w:val="single" w:sz="4" w:space="0" w:color="auto"/>
              <w:bottom w:val="nil"/>
            </w:tcBorders>
          </w:tcPr>
          <w:p w:rsidR="00E35632" w:rsidRDefault="00E35632">
            <w:pPr>
              <w:pStyle w:val="ConsPlusNormal"/>
            </w:pPr>
            <w:bookmarkStart w:id="304" w:name="P6992"/>
            <w:bookmarkEnd w:id="304"/>
            <w:r>
              <w:t>8 Опоры воздушных линий электропередачи:</w:t>
            </w:r>
          </w:p>
        </w:tc>
        <w:tc>
          <w:tcPr>
            <w:tcW w:w="1834" w:type="dxa"/>
            <w:tcBorders>
              <w:top w:val="single" w:sz="4" w:space="0" w:color="auto"/>
              <w:bottom w:val="nil"/>
            </w:tcBorders>
            <w:vAlign w:val="bottom"/>
          </w:tcPr>
          <w:p w:rsidR="00E35632" w:rsidRDefault="00E35632">
            <w:pPr>
              <w:pStyle w:val="ConsPlusNormal"/>
            </w:pPr>
          </w:p>
        </w:tc>
        <w:tc>
          <w:tcPr>
            <w:tcW w:w="926" w:type="dxa"/>
            <w:tcBorders>
              <w:top w:val="single" w:sz="4" w:space="0" w:color="auto"/>
              <w:bottom w:val="nil"/>
            </w:tcBorders>
            <w:vAlign w:val="bottom"/>
          </w:tcPr>
          <w:p w:rsidR="00E35632" w:rsidRDefault="00E35632">
            <w:pPr>
              <w:pStyle w:val="ConsPlusNormal"/>
            </w:pPr>
          </w:p>
        </w:tc>
        <w:tc>
          <w:tcPr>
            <w:tcW w:w="1680" w:type="dxa"/>
            <w:tcBorders>
              <w:top w:val="single" w:sz="4" w:space="0" w:color="auto"/>
              <w:bottom w:val="nil"/>
            </w:tcBorders>
            <w:vAlign w:val="bottom"/>
          </w:tcPr>
          <w:p w:rsidR="00E35632" w:rsidRDefault="00E35632">
            <w:pPr>
              <w:pStyle w:val="ConsPlusNormal"/>
            </w:pP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t>промежуточные прямые</w:t>
            </w:r>
          </w:p>
        </w:tc>
        <w:tc>
          <w:tcPr>
            <w:tcW w:w="1834" w:type="dxa"/>
            <w:tcBorders>
              <w:top w:val="nil"/>
              <w:bottom w:val="nil"/>
            </w:tcBorders>
            <w:vAlign w:val="bottom"/>
          </w:tcPr>
          <w:p w:rsidR="00E35632" w:rsidRDefault="00E35632">
            <w:pPr>
              <w:pStyle w:val="ConsPlusNormal"/>
              <w:jc w:val="center"/>
            </w:pPr>
            <w:r>
              <w:t>0,003</w:t>
            </w:r>
          </w:p>
        </w:tc>
        <w:tc>
          <w:tcPr>
            <w:tcW w:w="926" w:type="dxa"/>
            <w:tcBorders>
              <w:top w:val="nil"/>
              <w:bottom w:val="nil"/>
            </w:tcBorders>
            <w:vAlign w:val="bottom"/>
          </w:tcPr>
          <w:p w:rsidR="00E35632" w:rsidRDefault="00E35632">
            <w:pPr>
              <w:pStyle w:val="ConsPlusNormal"/>
              <w:jc w:val="center"/>
            </w:pPr>
            <w:r>
              <w:t>-</w:t>
            </w:r>
          </w:p>
        </w:tc>
        <w:tc>
          <w:tcPr>
            <w:tcW w:w="1680" w:type="dxa"/>
            <w:tcBorders>
              <w:top w:val="nil"/>
              <w:bottom w:val="nil"/>
            </w:tcBorders>
            <w:vAlign w:val="bottom"/>
          </w:tcPr>
          <w:p w:rsidR="00E35632" w:rsidRDefault="00E35632">
            <w:pPr>
              <w:pStyle w:val="ConsPlusNormal"/>
              <w:jc w:val="center"/>
            </w:pPr>
            <w:r>
              <w:t>-</w:t>
            </w:r>
          </w:p>
        </w:tc>
      </w:tr>
      <w:tr w:rsidR="00E35632">
        <w:tblPrEx>
          <w:tblBorders>
            <w:insideH w:val="none" w:sz="0" w:space="0" w:color="auto"/>
          </w:tblBorders>
        </w:tblPrEx>
        <w:tc>
          <w:tcPr>
            <w:tcW w:w="4620" w:type="dxa"/>
            <w:tcBorders>
              <w:top w:val="nil"/>
              <w:bottom w:val="nil"/>
            </w:tcBorders>
          </w:tcPr>
          <w:p w:rsidR="00E35632" w:rsidRDefault="00E35632">
            <w:pPr>
              <w:pStyle w:val="ConsPlusNormal"/>
              <w:ind w:firstLine="283"/>
            </w:pPr>
            <w:r>
              <w:t>анкерные и анкерно-угловые, промежуточные угловые, концевые, порталы открытых распределительных устройств</w:t>
            </w:r>
          </w:p>
        </w:tc>
        <w:tc>
          <w:tcPr>
            <w:tcW w:w="1834" w:type="dxa"/>
            <w:tcBorders>
              <w:top w:val="nil"/>
              <w:bottom w:val="nil"/>
            </w:tcBorders>
            <w:vAlign w:val="bottom"/>
          </w:tcPr>
          <w:p w:rsidR="00E35632" w:rsidRDefault="00E35632">
            <w:pPr>
              <w:pStyle w:val="ConsPlusNormal"/>
              <w:jc w:val="center"/>
            </w:pPr>
            <w:r>
              <w:t>0,0025</w:t>
            </w:r>
          </w:p>
        </w:tc>
        <w:tc>
          <w:tcPr>
            <w:tcW w:w="926" w:type="dxa"/>
            <w:tcBorders>
              <w:top w:val="nil"/>
              <w:bottom w:val="nil"/>
            </w:tcBorders>
            <w:vAlign w:val="bottom"/>
          </w:tcPr>
          <w:p w:rsidR="00E35632" w:rsidRDefault="00E35632">
            <w:pPr>
              <w:pStyle w:val="ConsPlusNormal"/>
              <w:jc w:val="center"/>
            </w:pPr>
            <w:r>
              <w:t>-</w:t>
            </w:r>
          </w:p>
        </w:tc>
        <w:tc>
          <w:tcPr>
            <w:tcW w:w="1680" w:type="dxa"/>
            <w:tcBorders>
              <w:top w:val="nil"/>
              <w:bottom w:val="nil"/>
            </w:tcBorders>
            <w:vAlign w:val="bottom"/>
          </w:tcPr>
          <w:p w:rsidR="00E35632" w:rsidRDefault="00E35632">
            <w:pPr>
              <w:pStyle w:val="ConsPlusNormal"/>
              <w:jc w:val="center"/>
            </w:pPr>
            <w:r>
              <w:t>-</w:t>
            </w:r>
          </w:p>
        </w:tc>
      </w:tr>
      <w:tr w:rsidR="00E35632">
        <w:tblPrEx>
          <w:tblBorders>
            <w:insideH w:val="none" w:sz="0" w:space="0" w:color="auto"/>
          </w:tblBorders>
        </w:tblPrEx>
        <w:tc>
          <w:tcPr>
            <w:tcW w:w="4620" w:type="dxa"/>
            <w:tcBorders>
              <w:top w:val="nil"/>
              <w:bottom w:val="single" w:sz="4" w:space="0" w:color="auto"/>
            </w:tcBorders>
          </w:tcPr>
          <w:p w:rsidR="00E35632" w:rsidRDefault="00E35632">
            <w:pPr>
              <w:pStyle w:val="ConsPlusNormal"/>
              <w:ind w:firstLine="283"/>
            </w:pPr>
            <w:r>
              <w:t>специальные переходные</w:t>
            </w:r>
          </w:p>
        </w:tc>
        <w:tc>
          <w:tcPr>
            <w:tcW w:w="1834" w:type="dxa"/>
            <w:tcBorders>
              <w:top w:val="nil"/>
              <w:bottom w:val="single" w:sz="4" w:space="0" w:color="auto"/>
            </w:tcBorders>
            <w:vAlign w:val="bottom"/>
          </w:tcPr>
          <w:p w:rsidR="00E35632" w:rsidRDefault="00E35632">
            <w:pPr>
              <w:pStyle w:val="ConsPlusNormal"/>
              <w:jc w:val="center"/>
            </w:pPr>
            <w:r>
              <w:t>0,002</w:t>
            </w:r>
          </w:p>
        </w:tc>
        <w:tc>
          <w:tcPr>
            <w:tcW w:w="926" w:type="dxa"/>
            <w:tcBorders>
              <w:top w:val="nil"/>
              <w:bottom w:val="single" w:sz="4" w:space="0" w:color="auto"/>
            </w:tcBorders>
            <w:vAlign w:val="bottom"/>
          </w:tcPr>
          <w:p w:rsidR="00E35632" w:rsidRDefault="00E35632">
            <w:pPr>
              <w:pStyle w:val="ConsPlusNormal"/>
              <w:jc w:val="center"/>
            </w:pPr>
            <w:r>
              <w:t>-</w:t>
            </w:r>
          </w:p>
        </w:tc>
        <w:tc>
          <w:tcPr>
            <w:tcW w:w="1680" w:type="dxa"/>
            <w:tcBorders>
              <w:top w:val="nil"/>
              <w:bottom w:val="single" w:sz="4" w:space="0" w:color="auto"/>
            </w:tcBorders>
            <w:vAlign w:val="bottom"/>
          </w:tcPr>
          <w:p w:rsidR="00E35632" w:rsidRDefault="00E35632">
            <w:pPr>
              <w:pStyle w:val="ConsPlusNormal"/>
              <w:jc w:val="center"/>
            </w:pPr>
            <w:r>
              <w:t>-</w:t>
            </w:r>
          </w:p>
        </w:tc>
      </w:tr>
      <w:tr w:rsidR="00E35632">
        <w:tc>
          <w:tcPr>
            <w:tcW w:w="9060" w:type="dxa"/>
            <w:gridSpan w:val="4"/>
            <w:tcBorders>
              <w:top w:val="single" w:sz="4" w:space="0" w:color="auto"/>
              <w:bottom w:val="single" w:sz="4" w:space="0" w:color="auto"/>
            </w:tcBorders>
          </w:tcPr>
          <w:p w:rsidR="00E35632" w:rsidRDefault="00E35632">
            <w:pPr>
              <w:pStyle w:val="ConsPlusNormal"/>
              <w:ind w:firstLine="283"/>
              <w:jc w:val="both"/>
            </w:pPr>
            <w:r>
              <w:t>Примечания</w:t>
            </w:r>
          </w:p>
          <w:p w:rsidR="00E35632" w:rsidRDefault="00E35632">
            <w:pPr>
              <w:pStyle w:val="ConsPlusNormal"/>
              <w:ind w:firstLine="283"/>
              <w:jc w:val="both"/>
            </w:pPr>
            <w:r>
              <w:t xml:space="preserve">1 Значение предельной максимальной осадки основания фундаментов </w:t>
            </w:r>
            <w:r>
              <w:rPr>
                <w:noProof/>
                <w:position w:val="-10"/>
              </w:rPr>
              <w:drawing>
                <wp:inline distT="0" distB="0" distL="0" distR="0">
                  <wp:extent cx="310515" cy="267970"/>
                  <wp:effectExtent l="0" t="0" r="0" b="0"/>
                  <wp:docPr id="70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310515" cy="267970"/>
                          </a:xfrm>
                          <a:prstGeom prst="rect">
                            <a:avLst/>
                          </a:prstGeom>
                          <a:noFill/>
                          <a:ln>
                            <a:noFill/>
                          </a:ln>
                        </pic:spPr>
                      </pic:pic>
                    </a:graphicData>
                  </a:graphic>
                </wp:inline>
              </w:drawing>
            </w:r>
            <w:r>
              <w:t xml:space="preserve"> применяется к сооружениям, возводимым на отдельно стоящих фундаментах на естественном (искусственном) основании или на свайных фундаментах с отдельно стоящими ростверками (ленточные, столбчатые и т.п.).</w:t>
            </w:r>
          </w:p>
          <w:p w:rsidR="00E35632" w:rsidRDefault="00E35632">
            <w:pPr>
              <w:pStyle w:val="ConsPlusNormal"/>
              <w:ind w:firstLine="283"/>
              <w:jc w:val="both"/>
            </w:pPr>
            <w:r>
              <w:t xml:space="preserve">2 Значение предельной средней осадки </w:t>
            </w:r>
            <w:r>
              <w:rPr>
                <w:noProof/>
                <w:position w:val="-8"/>
              </w:rPr>
              <w:drawing>
                <wp:inline distT="0" distB="0" distL="0" distR="0">
                  <wp:extent cx="167640" cy="251460"/>
                  <wp:effectExtent l="0" t="0" r="0" b="0"/>
                  <wp:docPr id="70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167640" cy="251460"/>
                          </a:xfrm>
                          <a:prstGeom prst="rect">
                            <a:avLst/>
                          </a:prstGeom>
                          <a:noFill/>
                          <a:ln>
                            <a:noFill/>
                          </a:ln>
                        </pic:spPr>
                      </pic:pic>
                    </a:graphicData>
                  </a:graphic>
                </wp:inline>
              </w:drawing>
            </w:r>
            <w:r>
              <w:t xml:space="preserve"> основания фундаментов применяются к сооружениям, возводимым на едином монолитном железобетонном фундаменте неразрезной конструкции (перекрестные ленточные и плитные фундаменты на естественном или искусственном основании, свайные фундаменты с плитным ростверком, плитно-свайные фундаменты и т.п.).</w:t>
            </w:r>
          </w:p>
          <w:p w:rsidR="00E35632" w:rsidRDefault="00E35632">
            <w:pPr>
              <w:pStyle w:val="ConsPlusNormal"/>
              <w:ind w:firstLine="283"/>
              <w:jc w:val="both"/>
            </w:pPr>
            <w:r>
              <w:t xml:space="preserve">3 Предельные значения относительного прогиба зданий, указанных в </w:t>
            </w:r>
            <w:hyperlink w:anchor="P6908">
              <w:r>
                <w:rPr>
                  <w:color w:val="0000FF"/>
                </w:rPr>
                <w:t>пункте 3 таблицы</w:t>
              </w:r>
            </w:hyperlink>
            <w:r>
              <w:t xml:space="preserve">, принимают равными </w:t>
            </w:r>
            <w:r>
              <w:rPr>
                <w:noProof/>
                <w:position w:val="-8"/>
              </w:rPr>
              <w:drawing>
                <wp:inline distT="0" distB="0" distL="0" distR="0">
                  <wp:extent cx="832485" cy="251460"/>
                  <wp:effectExtent l="0" t="0" r="0" b="0"/>
                  <wp:docPr id="70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2485" cy="251460"/>
                          </a:xfrm>
                          <a:prstGeom prst="rect">
                            <a:avLst/>
                          </a:prstGeom>
                          <a:noFill/>
                          <a:ln>
                            <a:noFill/>
                          </a:ln>
                        </pic:spPr>
                      </pic:pic>
                    </a:graphicData>
                  </a:graphic>
                </wp:inline>
              </w:drawing>
            </w:r>
            <w:r>
              <w:t xml:space="preserve">, а относительного выгиба - </w:t>
            </w:r>
            <w:r>
              <w:rPr>
                <w:noProof/>
                <w:position w:val="-8"/>
              </w:rPr>
              <w:drawing>
                <wp:inline distT="0" distB="0" distL="0" distR="0">
                  <wp:extent cx="908050" cy="251460"/>
                  <wp:effectExtent l="0" t="0" r="0" b="0"/>
                  <wp:docPr id="70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908050" cy="251460"/>
                          </a:xfrm>
                          <a:prstGeom prst="rect">
                            <a:avLst/>
                          </a:prstGeom>
                          <a:noFill/>
                          <a:ln>
                            <a:noFill/>
                          </a:ln>
                        </pic:spPr>
                      </pic:pic>
                    </a:graphicData>
                  </a:graphic>
                </wp:inline>
              </w:drawing>
            </w:r>
            <w:r>
              <w:t>.</w:t>
            </w:r>
          </w:p>
          <w:p w:rsidR="00E35632" w:rsidRDefault="00E35632">
            <w:pPr>
              <w:pStyle w:val="ConsPlusNormal"/>
              <w:ind w:firstLine="283"/>
              <w:jc w:val="both"/>
            </w:pPr>
            <w:r>
              <w:t xml:space="preserve">4 При определении относительной разности осадок </w:t>
            </w:r>
            <w:r>
              <w:rPr>
                <w:noProof/>
                <w:position w:val="-6"/>
              </w:rPr>
              <w:drawing>
                <wp:inline distT="0" distB="0" distL="0" distR="0">
                  <wp:extent cx="544830" cy="219075"/>
                  <wp:effectExtent l="0" t="0" r="0" b="0"/>
                  <wp:docPr id="70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44830" cy="219075"/>
                          </a:xfrm>
                          <a:prstGeom prst="rect">
                            <a:avLst/>
                          </a:prstGeom>
                          <a:noFill/>
                          <a:ln>
                            <a:noFill/>
                          </a:ln>
                        </pic:spPr>
                      </pic:pic>
                    </a:graphicData>
                  </a:graphic>
                </wp:inline>
              </w:drawing>
            </w:r>
            <w:r>
              <w:t xml:space="preserve"> в </w:t>
            </w:r>
            <w:hyperlink w:anchor="P6992">
              <w:r>
                <w:rPr>
                  <w:color w:val="0000FF"/>
                </w:rPr>
                <w:t>пункте 8 таблицы Г.1</w:t>
              </w:r>
            </w:hyperlink>
            <w:r>
              <w:t xml:space="preserve"> за </w:t>
            </w:r>
            <w:r>
              <w:rPr>
                <w:i/>
              </w:rPr>
              <w:t>L</w:t>
            </w:r>
            <w:r>
              <w:t xml:space="preserve"> принимают расстояние между осями блоков фундаментов в направлении горизонтальных нагрузок, а в опорах с оттяжками - расстояние между осями сжатого фундамента и анкера.</w:t>
            </w:r>
          </w:p>
          <w:p w:rsidR="00E35632" w:rsidRDefault="00E35632">
            <w:pPr>
              <w:pStyle w:val="ConsPlusNormal"/>
              <w:ind w:firstLine="283"/>
              <w:jc w:val="both"/>
            </w:pPr>
            <w:r>
              <w:t>5 Если основание сложено горизонтальными (с уклоном не более 0,1), выдержанными по толщине слоями грунтов, предельные значения максимальных и средних осадок допускается увеличивать на 20%.</w:t>
            </w:r>
          </w:p>
          <w:p w:rsidR="00E35632" w:rsidRDefault="00E35632">
            <w:pPr>
              <w:pStyle w:val="ConsPlusNormal"/>
              <w:ind w:firstLine="283"/>
              <w:jc w:val="both"/>
            </w:pPr>
            <w:r>
              <w:t xml:space="preserve">6 Предельные значения подъема основания, сложенного набухающими грунтами, допускается принимать: максимальный и средний подъем в размере 25% и относительную разность осадок в размере 50% соответствующих предельных значений деформаций, приведенных в настоящем приложении, а относительный выгиб - в размере </w:t>
            </w:r>
            <w:r>
              <w:rPr>
                <w:noProof/>
                <w:position w:val="-8"/>
              </w:rPr>
              <w:drawing>
                <wp:inline distT="0" distB="0" distL="0" distR="0">
                  <wp:extent cx="908050" cy="251460"/>
                  <wp:effectExtent l="0" t="0" r="0" b="0"/>
                  <wp:docPr id="70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908050" cy="251460"/>
                          </a:xfrm>
                          <a:prstGeom prst="rect">
                            <a:avLst/>
                          </a:prstGeom>
                          <a:noFill/>
                          <a:ln>
                            <a:noFill/>
                          </a:ln>
                        </pic:spPr>
                      </pic:pic>
                    </a:graphicData>
                  </a:graphic>
                </wp:inline>
              </w:drawing>
            </w:r>
            <w:r>
              <w:t>.</w:t>
            </w:r>
          </w:p>
          <w:p w:rsidR="00E35632" w:rsidRDefault="00E35632">
            <w:pPr>
              <w:pStyle w:val="ConsPlusNormal"/>
              <w:ind w:firstLine="283"/>
              <w:jc w:val="both"/>
            </w:pPr>
            <w:r>
              <w:t>7 На основе обобщения опыта проектирования, строительства и эксплуатации отдельных видов сооружений допускается принимать предельные значения деформаций основания фундаментов, отличающиеся от указанных в настоящем приложении.</w:t>
            </w:r>
          </w:p>
        </w:tc>
      </w:tr>
    </w:tbl>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right"/>
        <w:outlineLvl w:val="0"/>
      </w:pPr>
      <w:r>
        <w:rPr>
          <w:b/>
        </w:rPr>
        <w:t>Приложение Д</w:t>
      </w:r>
    </w:p>
    <w:p w:rsidR="00E35632" w:rsidRDefault="00E35632">
      <w:pPr>
        <w:pStyle w:val="ConsPlusNormal"/>
        <w:jc w:val="right"/>
      </w:pPr>
      <w:r>
        <w:t xml:space="preserve">(в ред. </w:t>
      </w:r>
      <w:hyperlink r:id="rId992">
        <w:r>
          <w:rPr>
            <w:color w:val="0000FF"/>
          </w:rPr>
          <w:t>Изменения N 3</w:t>
        </w:r>
      </w:hyperlink>
      <w:r>
        <w:t>, утв. Приказом Минстроя России от 22.11.2019 N 722/пр)</w:t>
      </w:r>
    </w:p>
    <w:p w:rsidR="00E35632" w:rsidRDefault="00E35632">
      <w:pPr>
        <w:pStyle w:val="ConsPlusNormal"/>
        <w:jc w:val="both"/>
      </w:pPr>
    </w:p>
    <w:p w:rsidR="00E35632" w:rsidRDefault="00E35632">
      <w:pPr>
        <w:pStyle w:val="ConsPlusTitle"/>
        <w:jc w:val="center"/>
      </w:pPr>
      <w:bookmarkStart w:id="305" w:name="P7024"/>
      <w:bookmarkEnd w:id="305"/>
      <w:r>
        <w:t>КАТЕГОРИИ ТЕХНИЧЕСКОГО СОСТОЯНИЯ СУЩЕСТВУЮЩИХ СООРУЖЕНИЙ</w:t>
      </w:r>
    </w:p>
    <w:p w:rsidR="00E35632" w:rsidRDefault="00E35632">
      <w:pPr>
        <w:pStyle w:val="ConsPlusNormal"/>
        <w:jc w:val="both"/>
      </w:pPr>
    </w:p>
    <w:p w:rsidR="00E35632" w:rsidRDefault="00E35632">
      <w:pPr>
        <w:pStyle w:val="ConsPlusNormal"/>
        <w:jc w:val="right"/>
      </w:pPr>
      <w:r>
        <w:t>Таблица Д.1</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780"/>
        <w:gridCol w:w="5280"/>
      </w:tblGrid>
      <w:tr w:rsidR="00E35632">
        <w:tc>
          <w:tcPr>
            <w:tcW w:w="3780" w:type="dxa"/>
          </w:tcPr>
          <w:p w:rsidR="00E35632" w:rsidRDefault="00E35632">
            <w:pPr>
              <w:pStyle w:val="ConsPlusNormal"/>
              <w:jc w:val="center"/>
            </w:pPr>
            <w:r>
              <w:t>Категория состояния сооружения</w:t>
            </w:r>
          </w:p>
        </w:tc>
        <w:tc>
          <w:tcPr>
            <w:tcW w:w="5280" w:type="dxa"/>
          </w:tcPr>
          <w:p w:rsidR="00E35632" w:rsidRDefault="00E35632">
            <w:pPr>
              <w:pStyle w:val="ConsPlusNormal"/>
              <w:jc w:val="center"/>
            </w:pPr>
            <w:r>
              <w:t>Характеристика состояния сооружения</w:t>
            </w:r>
          </w:p>
        </w:tc>
      </w:tr>
      <w:tr w:rsidR="00E35632">
        <w:tc>
          <w:tcPr>
            <w:tcW w:w="3780" w:type="dxa"/>
          </w:tcPr>
          <w:p w:rsidR="00E35632" w:rsidRDefault="00E35632">
            <w:pPr>
              <w:pStyle w:val="ConsPlusNormal"/>
            </w:pPr>
            <w:r>
              <w:t>I - нормативное</w:t>
            </w:r>
          </w:p>
        </w:tc>
        <w:tc>
          <w:tcPr>
            <w:tcW w:w="5280" w:type="dxa"/>
          </w:tcPr>
          <w:p w:rsidR="00E35632" w:rsidRDefault="00E35632">
            <w:pPr>
              <w:pStyle w:val="ConsPlusNormal"/>
            </w:pPr>
            <w:r>
              <w:t>Количественные и качественные значения параметров всех критериев оценки технического состояния строительных конструкций зданий и сооружений, включая состояние грунтов основания, соответствуют установленным в проектной документации значениям с учетом пределов их изменения</w:t>
            </w:r>
          </w:p>
        </w:tc>
      </w:tr>
      <w:tr w:rsidR="00E35632">
        <w:tc>
          <w:tcPr>
            <w:tcW w:w="3780" w:type="dxa"/>
          </w:tcPr>
          <w:p w:rsidR="00E35632" w:rsidRDefault="00E35632">
            <w:pPr>
              <w:pStyle w:val="ConsPlusNormal"/>
            </w:pPr>
            <w:r>
              <w:t>II - работоспособное</w:t>
            </w:r>
          </w:p>
        </w:tc>
        <w:tc>
          <w:tcPr>
            <w:tcW w:w="5280" w:type="dxa"/>
          </w:tcPr>
          <w:p w:rsidR="00E35632" w:rsidRDefault="00E35632">
            <w:pPr>
              <w:pStyle w:val="ConsPlusNormal"/>
            </w:pPr>
            <w:r>
              <w:t>Некоторые из числа оцениваемых контролируемых параметров не отвечают требованиям проекта или норм, но имеющиеся нарушения требований в конкретных условиях эксплуатации не приводят к нарушению работоспособности, и необходимая несущая способность конструкций и грунтов основания с учетом влияния имеющихся дефектов и повреждений обеспечивается</w:t>
            </w:r>
          </w:p>
        </w:tc>
      </w:tr>
      <w:tr w:rsidR="00E35632">
        <w:tc>
          <w:tcPr>
            <w:tcW w:w="3780" w:type="dxa"/>
          </w:tcPr>
          <w:p w:rsidR="00E35632" w:rsidRDefault="00E35632">
            <w:pPr>
              <w:pStyle w:val="ConsPlusNormal"/>
            </w:pPr>
            <w:r>
              <w:t>III - ограниченно-работоспособное</w:t>
            </w:r>
          </w:p>
        </w:tc>
        <w:tc>
          <w:tcPr>
            <w:tcW w:w="5280" w:type="dxa"/>
          </w:tcPr>
          <w:p w:rsidR="00E35632" w:rsidRDefault="00E35632">
            <w:pPr>
              <w:pStyle w:val="ConsPlusNormal"/>
            </w:pPr>
            <w:r>
              <w:t>Имеются крены, дефекты и повреждения, приведшие к снижению несущей способности, но отсутствует опасность внезапного разрушения, потери устойчивости или опрокидывания, и функционирование конструкций и эксплуатация здания или сооружения возможны либо при контроле (мониторинге) технического состояния, либо при проведении необходимых мероприятий по восстановлению или усилению конструкций и (или) грунтов основания и последующем мониторинге технического состояния (при необходимости)</w:t>
            </w:r>
          </w:p>
        </w:tc>
      </w:tr>
      <w:tr w:rsidR="00E35632">
        <w:tc>
          <w:tcPr>
            <w:tcW w:w="3780" w:type="dxa"/>
          </w:tcPr>
          <w:p w:rsidR="00E35632" w:rsidRDefault="00E35632">
            <w:pPr>
              <w:pStyle w:val="ConsPlusNormal"/>
            </w:pPr>
            <w:r>
              <w:t>IV - аварийное</w:t>
            </w:r>
          </w:p>
        </w:tc>
        <w:tc>
          <w:tcPr>
            <w:tcW w:w="5280" w:type="dxa"/>
          </w:tcPr>
          <w:p w:rsidR="00E35632" w:rsidRDefault="00E35632">
            <w:pPr>
              <w:pStyle w:val="ConsPlusNormal"/>
            </w:pPr>
            <w:r>
              <w:t>Наличие повреждений и деформаций, свидетельствующих об исчерпании несущей способности и опасности обрушения и (или) наличие кренов, которые могут вызвать потерю устойчивости объекта</w:t>
            </w:r>
          </w:p>
        </w:tc>
      </w:tr>
      <w:tr w:rsidR="00E35632">
        <w:tc>
          <w:tcPr>
            <w:tcW w:w="9060" w:type="dxa"/>
            <w:gridSpan w:val="2"/>
          </w:tcPr>
          <w:p w:rsidR="00E35632" w:rsidRDefault="00E35632">
            <w:pPr>
              <w:pStyle w:val="ConsPlusNormal"/>
              <w:ind w:firstLine="283"/>
              <w:jc w:val="both"/>
            </w:pPr>
            <w:r>
              <w:t>Примечания</w:t>
            </w:r>
          </w:p>
          <w:p w:rsidR="00E35632" w:rsidRDefault="00E35632">
            <w:pPr>
              <w:pStyle w:val="ConsPlusNormal"/>
              <w:ind w:firstLine="283"/>
              <w:jc w:val="both"/>
            </w:pPr>
            <w:r>
              <w:t>1 Категория технического состояния устанавливается по результатам технического обследования строительных конструкций сооружения, в т.ч. фундаментов, включая исследования грунтов основания, подстилающих фундаменты.</w:t>
            </w:r>
          </w:p>
          <w:p w:rsidR="00E35632" w:rsidRDefault="00E35632">
            <w:pPr>
              <w:pStyle w:val="ConsPlusNormal"/>
              <w:ind w:firstLine="283"/>
              <w:jc w:val="both"/>
            </w:pPr>
            <w:r>
              <w:t>2 При соответствующем обосновании категория технического состояния реконструируемого сооружения или сооружения, расположенного в зоне влияния нового строительства или реконструкции, может быть повышена, если проектом реконструкции или проектом защитных мероприятий (для окружающей застройки) предусмотрено выполнение работ по усилению фундаментов и надземной части сооружения, связанных в т.ч. с увеличением его жесткости.</w:t>
            </w:r>
          </w:p>
          <w:p w:rsidR="00E35632" w:rsidRDefault="00E35632">
            <w:pPr>
              <w:pStyle w:val="ConsPlusNormal"/>
              <w:ind w:firstLine="283"/>
              <w:jc w:val="both"/>
            </w:pPr>
            <w:r>
              <w:t>3 Категория технического состояния одноэтажных и многоэтажных зданий исторической застройки или памятников истории, архитектуры и культуры с несущими стенами из кирпичной кладки без армирования не может быть установлена (повышена) выше категории II - работоспособное. К исторической застройке относятся здания с указанной конструктивной схемой при сроке их эксплуатации более 100 лет.</w:t>
            </w:r>
          </w:p>
          <w:p w:rsidR="00E35632" w:rsidRDefault="00E35632">
            <w:pPr>
              <w:pStyle w:val="ConsPlusNormal"/>
              <w:ind w:firstLine="283"/>
              <w:jc w:val="both"/>
            </w:pPr>
            <w:r>
              <w:t>4 Результаты технического обследования сооружений допускается использовать при сроке давности выполнения технического обследования, не превышающем: три года для сооружений с категориями технического состояния I - нормативное и II - работоспособное и 1,5 года для сооружений с категориями технического состояния III - ограниченно-работоспособное и IV - аварийное.</w:t>
            </w:r>
          </w:p>
        </w:tc>
      </w:tr>
    </w:tbl>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right"/>
        <w:outlineLvl w:val="0"/>
      </w:pPr>
      <w:r>
        <w:rPr>
          <w:b/>
        </w:rPr>
        <w:t>Приложение Е</w:t>
      </w:r>
    </w:p>
    <w:p w:rsidR="00E35632" w:rsidRDefault="00E35632">
      <w:pPr>
        <w:pStyle w:val="ConsPlusNormal"/>
        <w:jc w:val="right"/>
      </w:pPr>
      <w:r>
        <w:t xml:space="preserve">(в ред. </w:t>
      </w:r>
      <w:hyperlink r:id="rId993">
        <w:r>
          <w:rPr>
            <w:color w:val="0000FF"/>
          </w:rPr>
          <w:t>Изменения N 3</w:t>
        </w:r>
      </w:hyperlink>
      <w:r>
        <w:t>, утв. Приказом Минстроя России от 22.11.2019 N 722/пр)</w:t>
      </w:r>
    </w:p>
    <w:p w:rsidR="00E35632" w:rsidRDefault="00E35632">
      <w:pPr>
        <w:pStyle w:val="ConsPlusNormal"/>
        <w:jc w:val="both"/>
      </w:pPr>
    </w:p>
    <w:p w:rsidR="00E35632" w:rsidRDefault="00E35632">
      <w:pPr>
        <w:pStyle w:val="ConsPlusTitle"/>
        <w:jc w:val="center"/>
      </w:pPr>
      <w:bookmarkStart w:id="306" w:name="P7051"/>
      <w:bookmarkEnd w:id="306"/>
      <w:r>
        <w:t>ПРЕДЕЛЬНЫЕ ДОПОЛНИТЕЛЬНЫЕ ДЕФОРМАЦИИ ОСНОВАНИЯ</w:t>
      </w:r>
    </w:p>
    <w:p w:rsidR="00E35632" w:rsidRDefault="00E35632">
      <w:pPr>
        <w:pStyle w:val="ConsPlusTitle"/>
        <w:jc w:val="center"/>
      </w:pPr>
      <w:r>
        <w:t>ФУНДАМЕНТОВ РЕКОНСТРУИРУЕМЫХ СООРУЖЕНИЙ</w:t>
      </w:r>
    </w:p>
    <w:p w:rsidR="00E35632" w:rsidRDefault="00E35632">
      <w:pPr>
        <w:pStyle w:val="ConsPlusNormal"/>
        <w:jc w:val="both"/>
      </w:pPr>
    </w:p>
    <w:p w:rsidR="00E35632" w:rsidRDefault="00E35632">
      <w:pPr>
        <w:pStyle w:val="ConsPlusNormal"/>
        <w:jc w:val="right"/>
      </w:pPr>
      <w:bookmarkStart w:id="307" w:name="P7054"/>
      <w:bookmarkEnd w:id="307"/>
      <w:r>
        <w:t>Таблица Е.1</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900"/>
        <w:gridCol w:w="1548"/>
        <w:gridCol w:w="1848"/>
        <w:gridCol w:w="1752"/>
      </w:tblGrid>
      <w:tr w:rsidR="00E35632">
        <w:tc>
          <w:tcPr>
            <w:tcW w:w="3900" w:type="dxa"/>
            <w:vMerge w:val="restart"/>
            <w:tcBorders>
              <w:top w:val="single" w:sz="4" w:space="0" w:color="auto"/>
              <w:bottom w:val="single" w:sz="4" w:space="0" w:color="auto"/>
            </w:tcBorders>
            <w:vAlign w:val="center"/>
          </w:tcPr>
          <w:p w:rsidR="00E35632" w:rsidRDefault="00E35632">
            <w:pPr>
              <w:pStyle w:val="ConsPlusNormal"/>
              <w:jc w:val="center"/>
            </w:pPr>
            <w:r>
              <w:t>Сооружения</w:t>
            </w:r>
          </w:p>
        </w:tc>
        <w:tc>
          <w:tcPr>
            <w:tcW w:w="1548" w:type="dxa"/>
            <w:vMerge w:val="restart"/>
            <w:tcBorders>
              <w:top w:val="single" w:sz="4" w:space="0" w:color="auto"/>
              <w:bottom w:val="single" w:sz="4" w:space="0" w:color="auto"/>
            </w:tcBorders>
            <w:vAlign w:val="center"/>
          </w:tcPr>
          <w:p w:rsidR="00E35632" w:rsidRDefault="00E35632">
            <w:pPr>
              <w:pStyle w:val="ConsPlusNormal"/>
              <w:jc w:val="center"/>
            </w:pPr>
            <w:r>
              <w:t>Категории технического состояния зданий</w:t>
            </w:r>
          </w:p>
        </w:tc>
        <w:tc>
          <w:tcPr>
            <w:tcW w:w="3600" w:type="dxa"/>
            <w:gridSpan w:val="2"/>
            <w:tcBorders>
              <w:top w:val="single" w:sz="4" w:space="0" w:color="auto"/>
              <w:bottom w:val="single" w:sz="4" w:space="0" w:color="auto"/>
            </w:tcBorders>
            <w:vAlign w:val="center"/>
          </w:tcPr>
          <w:p w:rsidR="00E35632" w:rsidRDefault="00E35632">
            <w:pPr>
              <w:pStyle w:val="ConsPlusNormal"/>
              <w:jc w:val="center"/>
            </w:pPr>
            <w:r>
              <w:t>Предельные дополнительные деформации основания фундаментов</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848" w:type="dxa"/>
            <w:tcBorders>
              <w:top w:val="single" w:sz="4" w:space="0" w:color="auto"/>
              <w:bottom w:val="single" w:sz="4" w:space="0" w:color="auto"/>
            </w:tcBorders>
            <w:vAlign w:val="center"/>
          </w:tcPr>
          <w:p w:rsidR="00E35632" w:rsidRDefault="00E35632">
            <w:pPr>
              <w:pStyle w:val="ConsPlusNormal"/>
              <w:jc w:val="center"/>
            </w:pPr>
            <w:r>
              <w:t>Относительная разность осадок </w:t>
            </w:r>
            <w:r>
              <w:rPr>
                <w:noProof/>
                <w:position w:val="-8"/>
              </w:rPr>
              <w:drawing>
                <wp:inline distT="0" distB="0" distL="0" distR="0">
                  <wp:extent cx="593725" cy="251460"/>
                  <wp:effectExtent l="0" t="0" r="0" b="0"/>
                  <wp:docPr id="70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593725" cy="251460"/>
                          </a:xfrm>
                          <a:prstGeom prst="rect">
                            <a:avLst/>
                          </a:prstGeom>
                          <a:noFill/>
                          <a:ln>
                            <a:noFill/>
                          </a:ln>
                        </pic:spPr>
                      </pic:pic>
                    </a:graphicData>
                  </a:graphic>
                </wp:inline>
              </w:drawing>
            </w:r>
          </w:p>
        </w:tc>
        <w:tc>
          <w:tcPr>
            <w:tcW w:w="1752" w:type="dxa"/>
            <w:tcBorders>
              <w:top w:val="single" w:sz="4" w:space="0" w:color="auto"/>
              <w:bottom w:val="single" w:sz="4" w:space="0" w:color="auto"/>
            </w:tcBorders>
            <w:vAlign w:val="center"/>
          </w:tcPr>
          <w:p w:rsidR="00E35632" w:rsidRDefault="00E35632">
            <w:pPr>
              <w:pStyle w:val="ConsPlusNormal"/>
              <w:jc w:val="center"/>
            </w:pPr>
            <w:r>
              <w:t xml:space="preserve">Максимальная осадка </w:t>
            </w:r>
            <w:r>
              <w:rPr>
                <w:noProof/>
                <w:position w:val="-10"/>
              </w:rPr>
              <w:drawing>
                <wp:inline distT="0" distB="0" distL="0" distR="0">
                  <wp:extent cx="310515" cy="276860"/>
                  <wp:effectExtent l="0" t="0" r="0" b="0"/>
                  <wp:docPr id="70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310515" cy="276860"/>
                          </a:xfrm>
                          <a:prstGeom prst="rect">
                            <a:avLst/>
                          </a:prstGeom>
                          <a:noFill/>
                          <a:ln>
                            <a:noFill/>
                          </a:ln>
                        </pic:spPr>
                      </pic:pic>
                    </a:graphicData>
                  </a:graphic>
                </wp:inline>
              </w:drawing>
            </w:r>
            <w:r>
              <w:t>, см</w:t>
            </w:r>
          </w:p>
        </w:tc>
      </w:tr>
      <w:tr w:rsidR="00E35632">
        <w:tc>
          <w:tcPr>
            <w:tcW w:w="3900" w:type="dxa"/>
            <w:vMerge w:val="restart"/>
            <w:tcBorders>
              <w:top w:val="single" w:sz="4" w:space="0" w:color="auto"/>
              <w:bottom w:val="single" w:sz="4" w:space="0" w:color="auto"/>
            </w:tcBorders>
          </w:tcPr>
          <w:p w:rsidR="00E35632" w:rsidRDefault="00E35632">
            <w:pPr>
              <w:pStyle w:val="ConsPlusNormal"/>
            </w:pPr>
            <w:r>
              <w:t>1 Одноэтажные и многоэтажные бескаркасные здания со стенами из крупных панелей</w:t>
            </w:r>
          </w:p>
        </w:tc>
        <w:tc>
          <w:tcPr>
            <w:tcW w:w="1548" w:type="dxa"/>
            <w:tcBorders>
              <w:top w:val="single" w:sz="4" w:space="0" w:color="auto"/>
              <w:bottom w:val="nil"/>
            </w:tcBorders>
          </w:tcPr>
          <w:p w:rsidR="00E35632" w:rsidRDefault="00E35632">
            <w:pPr>
              <w:pStyle w:val="ConsPlusNormal"/>
              <w:jc w:val="center"/>
            </w:pPr>
            <w:r>
              <w:t>I</w:t>
            </w:r>
          </w:p>
        </w:tc>
        <w:tc>
          <w:tcPr>
            <w:tcW w:w="1848" w:type="dxa"/>
            <w:tcBorders>
              <w:top w:val="single" w:sz="4" w:space="0" w:color="auto"/>
              <w:bottom w:val="nil"/>
            </w:tcBorders>
          </w:tcPr>
          <w:p w:rsidR="00E35632" w:rsidRDefault="00E35632">
            <w:pPr>
              <w:pStyle w:val="ConsPlusNormal"/>
              <w:jc w:val="center"/>
            </w:pPr>
            <w:r>
              <w:t>0,0020</w:t>
            </w:r>
          </w:p>
        </w:tc>
        <w:tc>
          <w:tcPr>
            <w:tcW w:w="1752" w:type="dxa"/>
            <w:tcBorders>
              <w:top w:val="single" w:sz="4" w:space="0" w:color="auto"/>
              <w:bottom w:val="nil"/>
            </w:tcBorders>
          </w:tcPr>
          <w:p w:rsidR="00E35632" w:rsidRDefault="00E35632">
            <w:pPr>
              <w:pStyle w:val="ConsPlusNormal"/>
              <w:jc w:val="center"/>
            </w:pPr>
            <w:r>
              <w:t>4,0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548" w:type="dxa"/>
            <w:tcBorders>
              <w:top w:val="nil"/>
              <w:bottom w:val="nil"/>
            </w:tcBorders>
          </w:tcPr>
          <w:p w:rsidR="00E35632" w:rsidRDefault="00E35632">
            <w:pPr>
              <w:pStyle w:val="ConsPlusNormal"/>
              <w:jc w:val="center"/>
            </w:pPr>
            <w:r>
              <w:t>II</w:t>
            </w:r>
          </w:p>
        </w:tc>
        <w:tc>
          <w:tcPr>
            <w:tcW w:w="1848" w:type="dxa"/>
            <w:tcBorders>
              <w:top w:val="nil"/>
              <w:bottom w:val="nil"/>
            </w:tcBorders>
          </w:tcPr>
          <w:p w:rsidR="00E35632" w:rsidRDefault="00E35632">
            <w:pPr>
              <w:pStyle w:val="ConsPlusNormal"/>
              <w:jc w:val="center"/>
            </w:pPr>
            <w:r>
              <w:t>0,0010</w:t>
            </w:r>
          </w:p>
        </w:tc>
        <w:tc>
          <w:tcPr>
            <w:tcW w:w="1752" w:type="dxa"/>
            <w:tcBorders>
              <w:top w:val="nil"/>
              <w:bottom w:val="nil"/>
            </w:tcBorders>
          </w:tcPr>
          <w:p w:rsidR="00E35632" w:rsidRDefault="00E35632">
            <w:pPr>
              <w:pStyle w:val="ConsPlusNormal"/>
              <w:jc w:val="center"/>
            </w:pPr>
            <w:r>
              <w:t>3,0</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548" w:type="dxa"/>
            <w:tcBorders>
              <w:top w:val="nil"/>
              <w:bottom w:val="single" w:sz="4" w:space="0" w:color="auto"/>
            </w:tcBorders>
          </w:tcPr>
          <w:p w:rsidR="00E35632" w:rsidRDefault="00E35632">
            <w:pPr>
              <w:pStyle w:val="ConsPlusNormal"/>
              <w:jc w:val="center"/>
            </w:pPr>
            <w:r>
              <w:t>III</w:t>
            </w:r>
          </w:p>
        </w:tc>
        <w:tc>
          <w:tcPr>
            <w:tcW w:w="1848" w:type="dxa"/>
            <w:tcBorders>
              <w:top w:val="nil"/>
              <w:bottom w:val="single" w:sz="4" w:space="0" w:color="auto"/>
            </w:tcBorders>
          </w:tcPr>
          <w:p w:rsidR="00E35632" w:rsidRDefault="00E35632">
            <w:pPr>
              <w:pStyle w:val="ConsPlusNormal"/>
              <w:jc w:val="center"/>
            </w:pPr>
            <w:r>
              <w:t>0,0007</w:t>
            </w:r>
          </w:p>
        </w:tc>
        <w:tc>
          <w:tcPr>
            <w:tcW w:w="1752" w:type="dxa"/>
            <w:tcBorders>
              <w:top w:val="nil"/>
              <w:bottom w:val="single" w:sz="4" w:space="0" w:color="auto"/>
            </w:tcBorders>
          </w:tcPr>
          <w:p w:rsidR="00E35632" w:rsidRDefault="00E35632">
            <w:pPr>
              <w:pStyle w:val="ConsPlusNormal"/>
              <w:jc w:val="center"/>
            </w:pPr>
            <w:r>
              <w:t>2,0</w:t>
            </w:r>
          </w:p>
        </w:tc>
      </w:tr>
      <w:tr w:rsidR="00E35632">
        <w:tc>
          <w:tcPr>
            <w:tcW w:w="3900" w:type="dxa"/>
            <w:vMerge w:val="restart"/>
            <w:tcBorders>
              <w:top w:val="single" w:sz="4" w:space="0" w:color="auto"/>
              <w:bottom w:val="single" w:sz="4" w:space="0" w:color="auto"/>
            </w:tcBorders>
          </w:tcPr>
          <w:p w:rsidR="00E35632" w:rsidRDefault="00E35632">
            <w:pPr>
              <w:pStyle w:val="ConsPlusNormal"/>
            </w:pPr>
            <w:r>
              <w:t>2 Одноэтажные и многоэтажные бескаркасные здания со стенами из кирпича или крупных блоков без армирования</w:t>
            </w:r>
          </w:p>
        </w:tc>
        <w:tc>
          <w:tcPr>
            <w:tcW w:w="1548" w:type="dxa"/>
            <w:tcBorders>
              <w:top w:val="single" w:sz="4" w:space="0" w:color="auto"/>
              <w:bottom w:val="nil"/>
            </w:tcBorders>
          </w:tcPr>
          <w:p w:rsidR="00E35632" w:rsidRDefault="00E35632">
            <w:pPr>
              <w:pStyle w:val="ConsPlusNormal"/>
              <w:jc w:val="center"/>
            </w:pPr>
            <w:r>
              <w:t>I</w:t>
            </w:r>
          </w:p>
        </w:tc>
        <w:tc>
          <w:tcPr>
            <w:tcW w:w="1848" w:type="dxa"/>
            <w:tcBorders>
              <w:top w:val="single" w:sz="4" w:space="0" w:color="auto"/>
              <w:bottom w:val="nil"/>
            </w:tcBorders>
          </w:tcPr>
          <w:p w:rsidR="00E35632" w:rsidRDefault="00E35632">
            <w:pPr>
              <w:pStyle w:val="ConsPlusNormal"/>
              <w:jc w:val="center"/>
            </w:pPr>
            <w:r>
              <w:t>0,003</w:t>
            </w:r>
          </w:p>
        </w:tc>
        <w:tc>
          <w:tcPr>
            <w:tcW w:w="1752" w:type="dxa"/>
            <w:tcBorders>
              <w:top w:val="single" w:sz="4" w:space="0" w:color="auto"/>
              <w:bottom w:val="nil"/>
            </w:tcBorders>
          </w:tcPr>
          <w:p w:rsidR="00E35632" w:rsidRDefault="00E35632">
            <w:pPr>
              <w:pStyle w:val="ConsPlusNormal"/>
              <w:jc w:val="center"/>
            </w:pPr>
            <w:r>
              <w:t>4,0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548" w:type="dxa"/>
            <w:tcBorders>
              <w:top w:val="nil"/>
              <w:bottom w:val="nil"/>
            </w:tcBorders>
          </w:tcPr>
          <w:p w:rsidR="00E35632" w:rsidRDefault="00E35632">
            <w:pPr>
              <w:pStyle w:val="ConsPlusNormal"/>
              <w:jc w:val="center"/>
            </w:pPr>
            <w:r>
              <w:t>II</w:t>
            </w:r>
          </w:p>
        </w:tc>
        <w:tc>
          <w:tcPr>
            <w:tcW w:w="1848" w:type="dxa"/>
            <w:tcBorders>
              <w:top w:val="nil"/>
              <w:bottom w:val="nil"/>
            </w:tcBorders>
          </w:tcPr>
          <w:p w:rsidR="00E35632" w:rsidRDefault="00E35632">
            <w:pPr>
              <w:pStyle w:val="ConsPlusNormal"/>
              <w:jc w:val="center"/>
            </w:pPr>
            <w:r>
              <w:t>0,0015</w:t>
            </w:r>
          </w:p>
        </w:tc>
        <w:tc>
          <w:tcPr>
            <w:tcW w:w="1752" w:type="dxa"/>
            <w:tcBorders>
              <w:top w:val="nil"/>
              <w:bottom w:val="nil"/>
            </w:tcBorders>
          </w:tcPr>
          <w:p w:rsidR="00E35632" w:rsidRDefault="00E35632">
            <w:pPr>
              <w:pStyle w:val="ConsPlusNormal"/>
              <w:jc w:val="center"/>
            </w:pPr>
            <w:r>
              <w:t>3,0</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548" w:type="dxa"/>
            <w:tcBorders>
              <w:top w:val="nil"/>
              <w:bottom w:val="single" w:sz="4" w:space="0" w:color="auto"/>
            </w:tcBorders>
          </w:tcPr>
          <w:p w:rsidR="00E35632" w:rsidRDefault="00E35632">
            <w:pPr>
              <w:pStyle w:val="ConsPlusNormal"/>
              <w:jc w:val="center"/>
            </w:pPr>
            <w:r>
              <w:t>III</w:t>
            </w:r>
          </w:p>
        </w:tc>
        <w:tc>
          <w:tcPr>
            <w:tcW w:w="1848" w:type="dxa"/>
            <w:tcBorders>
              <w:top w:val="nil"/>
              <w:bottom w:val="single" w:sz="4" w:space="0" w:color="auto"/>
            </w:tcBorders>
          </w:tcPr>
          <w:p w:rsidR="00E35632" w:rsidRDefault="00E35632">
            <w:pPr>
              <w:pStyle w:val="ConsPlusNormal"/>
              <w:jc w:val="center"/>
            </w:pPr>
            <w:r>
              <w:t>0,001</w:t>
            </w:r>
          </w:p>
        </w:tc>
        <w:tc>
          <w:tcPr>
            <w:tcW w:w="1752" w:type="dxa"/>
            <w:tcBorders>
              <w:top w:val="nil"/>
              <w:bottom w:val="single" w:sz="4" w:space="0" w:color="auto"/>
            </w:tcBorders>
          </w:tcPr>
          <w:p w:rsidR="00E35632" w:rsidRDefault="00E35632">
            <w:pPr>
              <w:pStyle w:val="ConsPlusNormal"/>
              <w:jc w:val="center"/>
            </w:pPr>
            <w:r>
              <w:t>2,0</w:t>
            </w:r>
          </w:p>
        </w:tc>
      </w:tr>
      <w:tr w:rsidR="00E35632">
        <w:tc>
          <w:tcPr>
            <w:tcW w:w="3900" w:type="dxa"/>
            <w:vMerge w:val="restart"/>
            <w:tcBorders>
              <w:top w:val="single" w:sz="4" w:space="0" w:color="auto"/>
              <w:bottom w:val="single" w:sz="4" w:space="0" w:color="auto"/>
            </w:tcBorders>
          </w:tcPr>
          <w:p w:rsidR="00E35632" w:rsidRDefault="00E35632">
            <w:pPr>
              <w:pStyle w:val="ConsPlusNormal"/>
            </w:pPr>
            <w:r>
              <w:t>3 Одноэтажные и многоэтажные бескаркасные здания со стенами из кирпича или крупных блоков с армированием или железобетонными поясами</w:t>
            </w:r>
          </w:p>
        </w:tc>
        <w:tc>
          <w:tcPr>
            <w:tcW w:w="1548" w:type="dxa"/>
            <w:tcBorders>
              <w:top w:val="single" w:sz="4" w:space="0" w:color="auto"/>
              <w:bottom w:val="nil"/>
            </w:tcBorders>
          </w:tcPr>
          <w:p w:rsidR="00E35632" w:rsidRDefault="00E35632">
            <w:pPr>
              <w:pStyle w:val="ConsPlusNormal"/>
              <w:jc w:val="center"/>
            </w:pPr>
            <w:r>
              <w:t>I</w:t>
            </w:r>
          </w:p>
        </w:tc>
        <w:tc>
          <w:tcPr>
            <w:tcW w:w="1848" w:type="dxa"/>
            <w:tcBorders>
              <w:top w:val="single" w:sz="4" w:space="0" w:color="auto"/>
              <w:bottom w:val="nil"/>
            </w:tcBorders>
          </w:tcPr>
          <w:p w:rsidR="00E35632" w:rsidRDefault="00E35632">
            <w:pPr>
              <w:pStyle w:val="ConsPlusNormal"/>
              <w:jc w:val="center"/>
            </w:pPr>
            <w:r>
              <w:t>0,0035</w:t>
            </w:r>
          </w:p>
        </w:tc>
        <w:tc>
          <w:tcPr>
            <w:tcW w:w="1752" w:type="dxa"/>
            <w:tcBorders>
              <w:top w:val="single" w:sz="4" w:space="0" w:color="auto"/>
              <w:bottom w:val="nil"/>
            </w:tcBorders>
          </w:tcPr>
          <w:p w:rsidR="00E35632" w:rsidRDefault="00E35632">
            <w:pPr>
              <w:pStyle w:val="ConsPlusNormal"/>
              <w:jc w:val="center"/>
            </w:pPr>
            <w:r>
              <w:t>5,0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548" w:type="dxa"/>
            <w:tcBorders>
              <w:top w:val="nil"/>
              <w:bottom w:val="nil"/>
            </w:tcBorders>
          </w:tcPr>
          <w:p w:rsidR="00E35632" w:rsidRDefault="00E35632">
            <w:pPr>
              <w:pStyle w:val="ConsPlusNormal"/>
              <w:jc w:val="center"/>
            </w:pPr>
            <w:r>
              <w:t>II</w:t>
            </w:r>
          </w:p>
        </w:tc>
        <w:tc>
          <w:tcPr>
            <w:tcW w:w="1848" w:type="dxa"/>
            <w:tcBorders>
              <w:top w:val="nil"/>
              <w:bottom w:val="nil"/>
            </w:tcBorders>
          </w:tcPr>
          <w:p w:rsidR="00E35632" w:rsidRDefault="00E35632">
            <w:pPr>
              <w:pStyle w:val="ConsPlusNormal"/>
              <w:jc w:val="center"/>
            </w:pPr>
            <w:r>
              <w:t>0,0018</w:t>
            </w:r>
          </w:p>
        </w:tc>
        <w:tc>
          <w:tcPr>
            <w:tcW w:w="1752" w:type="dxa"/>
            <w:tcBorders>
              <w:top w:val="nil"/>
              <w:bottom w:val="nil"/>
            </w:tcBorders>
          </w:tcPr>
          <w:p w:rsidR="00E35632" w:rsidRDefault="00E35632">
            <w:pPr>
              <w:pStyle w:val="ConsPlusNormal"/>
              <w:jc w:val="center"/>
            </w:pPr>
            <w:r>
              <w:t>4,0</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548" w:type="dxa"/>
            <w:tcBorders>
              <w:top w:val="nil"/>
              <w:bottom w:val="single" w:sz="4" w:space="0" w:color="auto"/>
            </w:tcBorders>
          </w:tcPr>
          <w:p w:rsidR="00E35632" w:rsidRDefault="00E35632">
            <w:pPr>
              <w:pStyle w:val="ConsPlusNormal"/>
              <w:jc w:val="center"/>
            </w:pPr>
            <w:r>
              <w:t>III</w:t>
            </w:r>
          </w:p>
        </w:tc>
        <w:tc>
          <w:tcPr>
            <w:tcW w:w="1848" w:type="dxa"/>
            <w:tcBorders>
              <w:top w:val="nil"/>
              <w:bottom w:val="single" w:sz="4" w:space="0" w:color="auto"/>
            </w:tcBorders>
          </w:tcPr>
          <w:p w:rsidR="00E35632" w:rsidRDefault="00E35632">
            <w:pPr>
              <w:pStyle w:val="ConsPlusNormal"/>
              <w:jc w:val="center"/>
            </w:pPr>
            <w:r>
              <w:t>0,0012</w:t>
            </w:r>
          </w:p>
        </w:tc>
        <w:tc>
          <w:tcPr>
            <w:tcW w:w="1752" w:type="dxa"/>
            <w:tcBorders>
              <w:top w:val="nil"/>
              <w:bottom w:val="single" w:sz="4" w:space="0" w:color="auto"/>
            </w:tcBorders>
          </w:tcPr>
          <w:p w:rsidR="00E35632" w:rsidRDefault="00E35632">
            <w:pPr>
              <w:pStyle w:val="ConsPlusNormal"/>
              <w:jc w:val="center"/>
            </w:pPr>
            <w:r>
              <w:t>3,0</w:t>
            </w:r>
          </w:p>
        </w:tc>
      </w:tr>
      <w:tr w:rsidR="00E35632">
        <w:tc>
          <w:tcPr>
            <w:tcW w:w="3900" w:type="dxa"/>
            <w:vMerge w:val="restart"/>
            <w:tcBorders>
              <w:top w:val="single" w:sz="4" w:space="0" w:color="auto"/>
              <w:bottom w:val="single" w:sz="4" w:space="0" w:color="auto"/>
            </w:tcBorders>
          </w:tcPr>
          <w:p w:rsidR="00E35632" w:rsidRDefault="00E35632">
            <w:pPr>
              <w:pStyle w:val="ConsPlusNormal"/>
            </w:pPr>
            <w:r>
              <w:t>4 Многоэтажные и одноэтажные здания исторической застройки или памятники истории, архитектуры и культуры с несущими стенами из кирпичной кладки без армирования</w:t>
            </w:r>
          </w:p>
        </w:tc>
        <w:tc>
          <w:tcPr>
            <w:tcW w:w="1548" w:type="dxa"/>
            <w:tcBorders>
              <w:top w:val="single" w:sz="4" w:space="0" w:color="auto"/>
              <w:bottom w:val="nil"/>
            </w:tcBorders>
          </w:tcPr>
          <w:p w:rsidR="00E35632" w:rsidRDefault="00E35632">
            <w:pPr>
              <w:pStyle w:val="ConsPlusNormal"/>
              <w:jc w:val="center"/>
            </w:pPr>
            <w:r>
              <w:t>I</w:t>
            </w:r>
          </w:p>
        </w:tc>
        <w:tc>
          <w:tcPr>
            <w:tcW w:w="1848" w:type="dxa"/>
            <w:tcBorders>
              <w:top w:val="single" w:sz="4" w:space="0" w:color="auto"/>
              <w:bottom w:val="nil"/>
            </w:tcBorders>
          </w:tcPr>
          <w:p w:rsidR="00E35632" w:rsidRDefault="00E35632">
            <w:pPr>
              <w:pStyle w:val="ConsPlusNormal"/>
              <w:jc w:val="center"/>
            </w:pPr>
            <w:r>
              <w:t>-</w:t>
            </w:r>
          </w:p>
        </w:tc>
        <w:tc>
          <w:tcPr>
            <w:tcW w:w="1752" w:type="dxa"/>
            <w:tcBorders>
              <w:top w:val="single" w:sz="4" w:space="0" w:color="auto"/>
              <w:bottom w:val="nil"/>
            </w:tcBorders>
          </w:tcPr>
          <w:p w:rsidR="00E35632" w:rsidRDefault="00E35632">
            <w:pPr>
              <w:pStyle w:val="ConsPlusNormal"/>
              <w:jc w:val="center"/>
            </w:pPr>
            <w:r>
              <w:t>-</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548" w:type="dxa"/>
            <w:tcBorders>
              <w:top w:val="nil"/>
              <w:bottom w:val="nil"/>
            </w:tcBorders>
          </w:tcPr>
          <w:p w:rsidR="00E35632" w:rsidRDefault="00E35632">
            <w:pPr>
              <w:pStyle w:val="ConsPlusNormal"/>
              <w:jc w:val="center"/>
            </w:pPr>
            <w:r>
              <w:t>II</w:t>
            </w:r>
          </w:p>
        </w:tc>
        <w:tc>
          <w:tcPr>
            <w:tcW w:w="1848" w:type="dxa"/>
            <w:tcBorders>
              <w:top w:val="nil"/>
              <w:bottom w:val="nil"/>
            </w:tcBorders>
          </w:tcPr>
          <w:p w:rsidR="00E35632" w:rsidRDefault="00E35632">
            <w:pPr>
              <w:pStyle w:val="ConsPlusNormal"/>
              <w:jc w:val="center"/>
            </w:pPr>
            <w:r>
              <w:t>0,0009</w:t>
            </w:r>
          </w:p>
        </w:tc>
        <w:tc>
          <w:tcPr>
            <w:tcW w:w="1752" w:type="dxa"/>
            <w:tcBorders>
              <w:top w:val="nil"/>
              <w:bottom w:val="nil"/>
            </w:tcBorders>
          </w:tcPr>
          <w:p w:rsidR="00E35632" w:rsidRDefault="00E35632">
            <w:pPr>
              <w:pStyle w:val="ConsPlusNormal"/>
              <w:jc w:val="center"/>
            </w:pPr>
            <w:r>
              <w:t>1,5</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548" w:type="dxa"/>
            <w:tcBorders>
              <w:top w:val="nil"/>
              <w:bottom w:val="single" w:sz="4" w:space="0" w:color="auto"/>
            </w:tcBorders>
          </w:tcPr>
          <w:p w:rsidR="00E35632" w:rsidRDefault="00E35632">
            <w:pPr>
              <w:pStyle w:val="ConsPlusNormal"/>
              <w:jc w:val="center"/>
            </w:pPr>
            <w:r>
              <w:t>III</w:t>
            </w:r>
          </w:p>
        </w:tc>
        <w:tc>
          <w:tcPr>
            <w:tcW w:w="1848" w:type="dxa"/>
            <w:tcBorders>
              <w:top w:val="nil"/>
              <w:bottom w:val="single" w:sz="4" w:space="0" w:color="auto"/>
            </w:tcBorders>
          </w:tcPr>
          <w:p w:rsidR="00E35632" w:rsidRDefault="00E35632">
            <w:pPr>
              <w:pStyle w:val="ConsPlusNormal"/>
              <w:jc w:val="center"/>
            </w:pPr>
            <w:r>
              <w:t>0,0007</w:t>
            </w:r>
          </w:p>
        </w:tc>
        <w:tc>
          <w:tcPr>
            <w:tcW w:w="1752" w:type="dxa"/>
            <w:tcBorders>
              <w:top w:val="nil"/>
              <w:bottom w:val="single" w:sz="4" w:space="0" w:color="auto"/>
            </w:tcBorders>
          </w:tcPr>
          <w:p w:rsidR="00E35632" w:rsidRDefault="00E35632">
            <w:pPr>
              <w:pStyle w:val="ConsPlusNormal"/>
              <w:jc w:val="center"/>
            </w:pPr>
            <w:r>
              <w:t>1,0</w:t>
            </w:r>
          </w:p>
        </w:tc>
      </w:tr>
      <w:tr w:rsidR="00E35632">
        <w:tblPrEx>
          <w:tblBorders>
            <w:insideH w:val="none" w:sz="0" w:space="0" w:color="auto"/>
          </w:tblBorders>
        </w:tblPrEx>
        <w:tc>
          <w:tcPr>
            <w:tcW w:w="9048" w:type="dxa"/>
            <w:gridSpan w:val="4"/>
            <w:tcBorders>
              <w:top w:val="single" w:sz="4" w:space="0" w:color="auto"/>
              <w:bottom w:val="nil"/>
            </w:tcBorders>
          </w:tcPr>
          <w:p w:rsidR="00E35632" w:rsidRDefault="00E35632">
            <w:pPr>
              <w:pStyle w:val="ConsPlusNormal"/>
              <w:ind w:firstLine="283"/>
              <w:jc w:val="both"/>
            </w:pPr>
            <w:r>
              <w:t>Примечания</w:t>
            </w:r>
          </w:p>
          <w:p w:rsidR="00E35632" w:rsidRDefault="00E35632">
            <w:pPr>
              <w:pStyle w:val="ConsPlusNormal"/>
              <w:ind w:firstLine="283"/>
              <w:jc w:val="both"/>
            </w:pPr>
            <w:r>
              <w:t xml:space="preserve">1 </w:t>
            </w:r>
            <w:r>
              <w:rPr>
                <w:noProof/>
                <w:position w:val="-10"/>
              </w:rPr>
              <w:drawing>
                <wp:inline distT="0" distB="0" distL="0" distR="0">
                  <wp:extent cx="310515" cy="276860"/>
                  <wp:effectExtent l="0" t="0" r="0" b="0"/>
                  <wp:docPr id="70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310515" cy="276860"/>
                          </a:xfrm>
                          <a:prstGeom prst="rect">
                            <a:avLst/>
                          </a:prstGeom>
                          <a:noFill/>
                          <a:ln>
                            <a:noFill/>
                          </a:ln>
                        </pic:spPr>
                      </pic:pic>
                    </a:graphicData>
                  </a:graphic>
                </wp:inline>
              </w:drawing>
            </w:r>
            <w:r>
              <w:t xml:space="preserve"> - значение предельной дополнительной максимальной осадки основания отдельно стоящих фундаментов реконструируемого сооружения на естественном основании или свайных ростверков, в т.ч. при усилении основания и фундаментов.</w:t>
            </w:r>
          </w:p>
          <w:p w:rsidR="00E35632" w:rsidRDefault="00E35632">
            <w:pPr>
              <w:pStyle w:val="ConsPlusNormal"/>
              <w:ind w:firstLine="283"/>
              <w:jc w:val="both"/>
            </w:pPr>
            <w:r>
              <w:t xml:space="preserve">2 При подведении сплошной монолитной железобетонной фундаментной плиты под реконструируемое сооружение допускается принимать значения предельных дополнительных средних осадок </w:t>
            </w:r>
            <w:r>
              <w:rPr>
                <w:noProof/>
                <w:position w:val="-10"/>
              </w:rPr>
              <w:drawing>
                <wp:inline distT="0" distB="0" distL="0" distR="0">
                  <wp:extent cx="310515" cy="267970"/>
                  <wp:effectExtent l="0" t="0" r="0" b="0"/>
                  <wp:docPr id="71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310515" cy="267970"/>
                          </a:xfrm>
                          <a:prstGeom prst="rect">
                            <a:avLst/>
                          </a:prstGeom>
                          <a:noFill/>
                          <a:ln>
                            <a:noFill/>
                          </a:ln>
                        </pic:spPr>
                      </pic:pic>
                    </a:graphicData>
                  </a:graphic>
                </wp:inline>
              </w:drawing>
            </w:r>
            <w:r>
              <w:t xml:space="preserve"> равными </w:t>
            </w:r>
            <w:r>
              <w:rPr>
                <w:noProof/>
                <w:position w:val="-10"/>
              </w:rPr>
              <w:drawing>
                <wp:inline distT="0" distB="0" distL="0" distR="0">
                  <wp:extent cx="310515" cy="276860"/>
                  <wp:effectExtent l="0" t="0" r="0" b="0"/>
                  <wp:docPr id="71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310515" cy="276860"/>
                          </a:xfrm>
                          <a:prstGeom prst="rect">
                            <a:avLst/>
                          </a:prstGeom>
                          <a:noFill/>
                          <a:ln>
                            <a:noFill/>
                          </a:ln>
                        </pic:spPr>
                      </pic:pic>
                    </a:graphicData>
                  </a:graphic>
                </wp:inline>
              </w:drawing>
            </w:r>
            <w:r>
              <w:t>.</w:t>
            </w:r>
          </w:p>
          <w:p w:rsidR="00E35632" w:rsidRDefault="00E35632">
            <w:pPr>
              <w:pStyle w:val="ConsPlusNormal"/>
              <w:ind w:firstLine="283"/>
              <w:jc w:val="both"/>
            </w:pPr>
            <w:r>
              <w:t>3 Для сооружений с категорией технического состояния IV - аварийное дополнительные деформации основания фундаментов не допускаются.</w:t>
            </w:r>
          </w:p>
          <w:p w:rsidR="00E35632" w:rsidRDefault="00E35632">
            <w:pPr>
              <w:pStyle w:val="ConsPlusNormal"/>
              <w:ind w:firstLine="283"/>
              <w:jc w:val="both"/>
            </w:pPr>
            <w:r>
              <w:t xml:space="preserve">4 Значения </w:t>
            </w:r>
            <w:hyperlink w:anchor="P7054">
              <w:r>
                <w:rPr>
                  <w:color w:val="0000FF"/>
                </w:rPr>
                <w:t>таблицы Е.1</w:t>
              </w:r>
            </w:hyperlink>
            <w:r>
              <w:t xml:space="preserve"> допускается не применять, если в основании фундаментов реконструируемого сооружения в пределах сжимаемой толщи </w:t>
            </w:r>
            <w:r>
              <w:rPr>
                <w:i/>
              </w:rPr>
              <w:t>H</w:t>
            </w:r>
            <w:r>
              <w:rPr>
                <w:i/>
                <w:vertAlign w:val="subscript"/>
              </w:rPr>
              <w:t>c</w:t>
            </w:r>
            <w:r>
              <w:t xml:space="preserve">, определенной с учетом требований </w:t>
            </w:r>
            <w:hyperlink w:anchor="P1695">
              <w:r>
                <w:rPr>
                  <w:color w:val="0000FF"/>
                </w:rPr>
                <w:t>5.6.41</w:t>
              </w:r>
            </w:hyperlink>
            <w:r>
              <w:t xml:space="preserve">, залегают грунты с модулем деформации </w:t>
            </w:r>
            <w:r>
              <w:rPr>
                <w:i/>
              </w:rPr>
              <w:t>E</w:t>
            </w:r>
            <w:r>
              <w:t xml:space="preserve"> &lt;= 7 МПа или в основании залегают специфические грунты, указанные в </w:t>
            </w:r>
            <w:hyperlink w:anchor="P2321">
              <w:r>
                <w:rPr>
                  <w:color w:val="0000FF"/>
                </w:rPr>
                <w:t>разделе 6</w:t>
              </w:r>
            </w:hyperlink>
            <w:r>
              <w:t xml:space="preserve">. Вместо указанных величин следует пользоваться значениями региональных таблиц, характерными для этих районов и приведенными в территориальных строительных нормах. В случае отсутствия соответствующих нормативных значений в территориальных строительных нормах необходимо руководствоваться данными </w:t>
            </w:r>
            <w:hyperlink w:anchor="P7054">
              <w:r>
                <w:rPr>
                  <w:color w:val="0000FF"/>
                </w:rPr>
                <w:t>таблицы Е.1</w:t>
              </w:r>
            </w:hyperlink>
            <w:r>
              <w:t>.</w:t>
            </w:r>
          </w:p>
          <w:p w:rsidR="00E35632" w:rsidRDefault="00E35632">
            <w:pPr>
              <w:pStyle w:val="ConsPlusNormal"/>
              <w:ind w:firstLine="283"/>
              <w:jc w:val="both"/>
            </w:pPr>
            <w:r>
              <w:t xml:space="preserve">5 Если конструктивная схема реконструируемого здания отличается от указанных в </w:t>
            </w:r>
            <w:hyperlink w:anchor="P7054">
              <w:r>
                <w:rPr>
                  <w:color w:val="0000FF"/>
                </w:rPr>
                <w:t>таблице Е.1</w:t>
              </w:r>
            </w:hyperlink>
            <w:r>
              <w:t>, то для такого здания (в т.ч. исторической застройки или памятников истории, архитектуры и культуры) необходимо устанавливать предельные величины дополнительных деформаций основания путем проведения пространственных прочностных расчетов с учетом их технического состояния, конструктивной схемы, прогнозируемых деформаций основания и других требований.</w:t>
            </w:r>
          </w:p>
          <w:p w:rsidR="00E35632" w:rsidRDefault="00E35632">
            <w:pPr>
              <w:pStyle w:val="ConsPlusNormal"/>
              <w:ind w:firstLine="283"/>
              <w:jc w:val="both"/>
            </w:pPr>
            <w:r>
              <w:t>6 Допустимые величины подъема зданий и сооружений определяются как половина указанных в таблице значений максимальных осадок, но не более 5 мм.</w:t>
            </w:r>
          </w:p>
        </w:tc>
      </w:tr>
      <w:tr w:rsidR="00E35632">
        <w:tblPrEx>
          <w:tblBorders>
            <w:insideH w:val="none" w:sz="0" w:space="0" w:color="auto"/>
          </w:tblBorders>
        </w:tblPrEx>
        <w:tc>
          <w:tcPr>
            <w:tcW w:w="9048" w:type="dxa"/>
            <w:gridSpan w:val="4"/>
            <w:tcBorders>
              <w:top w:val="nil"/>
              <w:bottom w:val="single" w:sz="4" w:space="0" w:color="auto"/>
            </w:tcBorders>
          </w:tcPr>
          <w:p w:rsidR="00E35632" w:rsidRDefault="00E35632">
            <w:pPr>
              <w:pStyle w:val="ConsPlusNormal"/>
              <w:jc w:val="both"/>
            </w:pPr>
            <w:r>
              <w:t xml:space="preserve">(примечание 6 введено </w:t>
            </w:r>
            <w:hyperlink r:id="rId996">
              <w:r>
                <w:rPr>
                  <w:color w:val="0000FF"/>
                </w:rPr>
                <w:t>Изменением N 4</w:t>
              </w:r>
            </w:hyperlink>
            <w:r>
              <w:t>, утв. Приказом Минстроя России от 27.12.2021 N 1022/пр)</w:t>
            </w:r>
          </w:p>
        </w:tc>
      </w:tr>
    </w:tbl>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right"/>
        <w:outlineLvl w:val="0"/>
      </w:pPr>
      <w:r>
        <w:rPr>
          <w:b/>
        </w:rPr>
        <w:t>Приложение Ж</w:t>
      </w:r>
    </w:p>
    <w:p w:rsidR="00E35632" w:rsidRDefault="00E35632">
      <w:pPr>
        <w:pStyle w:val="ConsPlusNormal"/>
        <w:jc w:val="right"/>
      </w:pPr>
      <w:r>
        <w:t xml:space="preserve">(в ред. </w:t>
      </w:r>
      <w:hyperlink r:id="rId997">
        <w:r>
          <w:rPr>
            <w:color w:val="0000FF"/>
          </w:rPr>
          <w:t>Изменения N 3</w:t>
        </w:r>
      </w:hyperlink>
      <w:r>
        <w:t>, утв. Приказом Минстроя России от 22.11.2019 N 722/пр)</w:t>
      </w:r>
    </w:p>
    <w:p w:rsidR="00E35632" w:rsidRDefault="00E35632">
      <w:pPr>
        <w:pStyle w:val="ConsPlusNormal"/>
        <w:jc w:val="both"/>
      </w:pPr>
    </w:p>
    <w:p w:rsidR="00E35632" w:rsidRDefault="00E35632">
      <w:pPr>
        <w:pStyle w:val="ConsPlusTitle"/>
        <w:jc w:val="center"/>
      </w:pPr>
      <w:bookmarkStart w:id="308" w:name="P7117"/>
      <w:bookmarkEnd w:id="308"/>
      <w:r>
        <w:t>ФИЗИКО-МЕХАНИЧЕСКИЕ ХАРАКТЕРИСТИКИ</w:t>
      </w:r>
    </w:p>
    <w:p w:rsidR="00E35632" w:rsidRDefault="00E35632">
      <w:pPr>
        <w:pStyle w:val="ConsPlusTitle"/>
        <w:jc w:val="center"/>
      </w:pPr>
      <w:r>
        <w:t>ОРГАНОМИНЕРАЛЬНЫХ И ОРГАНИЧЕСКИХ ГРУНТОВ</w:t>
      </w:r>
    </w:p>
    <w:p w:rsidR="00E35632" w:rsidRDefault="00E35632">
      <w:pPr>
        <w:pStyle w:val="ConsPlusNormal"/>
        <w:jc w:val="both"/>
      </w:pPr>
    </w:p>
    <w:p w:rsidR="00E35632" w:rsidRDefault="00E35632">
      <w:pPr>
        <w:pStyle w:val="ConsPlusNormal"/>
        <w:ind w:firstLine="540"/>
        <w:jc w:val="both"/>
      </w:pPr>
      <w:r>
        <w:t xml:space="preserve">Ж.1 Значения характеристик грунтов, приведенные в таблицах Ж.1 - </w:t>
      </w:r>
      <w:hyperlink w:anchor="P7247">
        <w:r>
          <w:rPr>
            <w:color w:val="0000FF"/>
          </w:rPr>
          <w:t>Ж.4</w:t>
        </w:r>
      </w:hyperlink>
      <w:r>
        <w:t xml:space="preserve">, допускается использовать для предварительной оценки оснований, сложенных из органоминеральных и органических грунтов (см. </w:t>
      </w:r>
      <w:hyperlink w:anchor="P2910">
        <w:r>
          <w:rPr>
            <w:color w:val="0000FF"/>
          </w:rPr>
          <w:t>6.4.7</w:t>
        </w:r>
      </w:hyperlink>
      <w:r>
        <w:t>).</w:t>
      </w:r>
    </w:p>
    <w:p w:rsidR="00E35632" w:rsidRDefault="00E35632">
      <w:pPr>
        <w:pStyle w:val="ConsPlusNormal"/>
        <w:jc w:val="both"/>
      </w:pPr>
    </w:p>
    <w:p w:rsidR="00E35632" w:rsidRDefault="00E35632">
      <w:pPr>
        <w:pStyle w:val="ConsPlusNormal"/>
        <w:jc w:val="right"/>
      </w:pPr>
      <w:r>
        <w:t>Таблица Ж.1</w:t>
      </w:r>
    </w:p>
    <w:p w:rsidR="00E35632" w:rsidRDefault="00E35632">
      <w:pPr>
        <w:pStyle w:val="ConsPlusNormal"/>
        <w:jc w:val="both"/>
      </w:pPr>
    </w:p>
    <w:p w:rsidR="00E35632" w:rsidRDefault="00E35632">
      <w:pPr>
        <w:pStyle w:val="ConsPlusNormal"/>
        <w:jc w:val="center"/>
      </w:pPr>
      <w:r>
        <w:rPr>
          <w:b/>
        </w:rPr>
        <w:t>Средние значения физико-механических</w:t>
      </w:r>
    </w:p>
    <w:p w:rsidR="00E35632" w:rsidRDefault="00E35632">
      <w:pPr>
        <w:pStyle w:val="ConsPlusNormal"/>
        <w:jc w:val="center"/>
      </w:pPr>
      <w:r>
        <w:rPr>
          <w:b/>
        </w:rPr>
        <w:t>характеристик открытого торфа</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660"/>
        <w:gridCol w:w="720"/>
        <w:gridCol w:w="840"/>
        <w:gridCol w:w="840"/>
        <w:gridCol w:w="720"/>
        <w:gridCol w:w="720"/>
        <w:gridCol w:w="840"/>
        <w:gridCol w:w="720"/>
      </w:tblGrid>
      <w:tr w:rsidR="00E35632">
        <w:tc>
          <w:tcPr>
            <w:tcW w:w="3660" w:type="dxa"/>
            <w:vMerge w:val="restart"/>
            <w:tcBorders>
              <w:top w:val="single" w:sz="4" w:space="0" w:color="auto"/>
              <w:bottom w:val="single" w:sz="4" w:space="0" w:color="auto"/>
            </w:tcBorders>
            <w:vAlign w:val="center"/>
          </w:tcPr>
          <w:p w:rsidR="00E35632" w:rsidRDefault="00E35632">
            <w:pPr>
              <w:pStyle w:val="ConsPlusNormal"/>
              <w:jc w:val="center"/>
            </w:pPr>
            <w:r>
              <w:t>Показатель</w:t>
            </w:r>
          </w:p>
        </w:tc>
        <w:tc>
          <w:tcPr>
            <w:tcW w:w="5400" w:type="dxa"/>
            <w:gridSpan w:val="7"/>
            <w:tcBorders>
              <w:top w:val="single" w:sz="4" w:space="0" w:color="auto"/>
              <w:bottom w:val="single" w:sz="4" w:space="0" w:color="auto"/>
            </w:tcBorders>
            <w:vAlign w:val="center"/>
          </w:tcPr>
          <w:p w:rsidR="00E35632" w:rsidRDefault="00E35632">
            <w:pPr>
              <w:pStyle w:val="ConsPlusNormal"/>
              <w:jc w:val="center"/>
            </w:pPr>
            <w:r>
              <w:t xml:space="preserve">Значение показателя при степени разложения </w:t>
            </w:r>
            <w:r>
              <w:rPr>
                <w:i/>
              </w:rPr>
              <w:t>D</w:t>
            </w:r>
            <w:r>
              <w:rPr>
                <w:i/>
                <w:vertAlign w:val="subscript"/>
              </w:rPr>
              <w:t>dp</w:t>
            </w:r>
            <w:r>
              <w:rPr>
                <w:i/>
              </w:rPr>
              <w:t>,</w:t>
            </w:r>
            <w:r>
              <w:t xml:space="preserve"> %</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3120" w:type="dxa"/>
            <w:gridSpan w:val="4"/>
            <w:tcBorders>
              <w:top w:val="single" w:sz="4" w:space="0" w:color="auto"/>
              <w:bottom w:val="single" w:sz="4" w:space="0" w:color="auto"/>
            </w:tcBorders>
            <w:vAlign w:val="center"/>
          </w:tcPr>
          <w:p w:rsidR="00E35632" w:rsidRDefault="00E35632">
            <w:pPr>
              <w:pStyle w:val="ConsPlusNormal"/>
              <w:jc w:val="center"/>
            </w:pPr>
            <w:r>
              <w:t>верхового</w:t>
            </w:r>
          </w:p>
        </w:tc>
        <w:tc>
          <w:tcPr>
            <w:tcW w:w="2280" w:type="dxa"/>
            <w:gridSpan w:val="3"/>
            <w:tcBorders>
              <w:top w:val="single" w:sz="4" w:space="0" w:color="auto"/>
              <w:bottom w:val="single" w:sz="4" w:space="0" w:color="auto"/>
            </w:tcBorders>
            <w:vAlign w:val="center"/>
          </w:tcPr>
          <w:p w:rsidR="00E35632" w:rsidRDefault="00E35632">
            <w:pPr>
              <w:pStyle w:val="ConsPlusNormal"/>
              <w:jc w:val="center"/>
            </w:pPr>
            <w:r>
              <w:t>низинного</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720" w:type="dxa"/>
            <w:tcBorders>
              <w:top w:val="single" w:sz="4" w:space="0" w:color="auto"/>
              <w:bottom w:val="single" w:sz="4" w:space="0" w:color="auto"/>
            </w:tcBorders>
            <w:vAlign w:val="center"/>
          </w:tcPr>
          <w:p w:rsidR="00E35632" w:rsidRDefault="00E35632">
            <w:pPr>
              <w:pStyle w:val="ConsPlusNormal"/>
              <w:jc w:val="center"/>
            </w:pPr>
            <w:r>
              <w:t>5 - 20</w:t>
            </w:r>
          </w:p>
        </w:tc>
        <w:tc>
          <w:tcPr>
            <w:tcW w:w="840" w:type="dxa"/>
            <w:tcBorders>
              <w:top w:val="single" w:sz="4" w:space="0" w:color="auto"/>
              <w:bottom w:val="single" w:sz="4" w:space="0" w:color="auto"/>
            </w:tcBorders>
            <w:vAlign w:val="center"/>
          </w:tcPr>
          <w:p w:rsidR="00E35632" w:rsidRDefault="00E35632">
            <w:pPr>
              <w:pStyle w:val="ConsPlusNormal"/>
              <w:jc w:val="center"/>
            </w:pPr>
            <w:r>
              <w:t>21 - 30</w:t>
            </w:r>
          </w:p>
        </w:tc>
        <w:tc>
          <w:tcPr>
            <w:tcW w:w="840" w:type="dxa"/>
            <w:tcBorders>
              <w:top w:val="single" w:sz="4" w:space="0" w:color="auto"/>
              <w:bottom w:val="single" w:sz="4" w:space="0" w:color="auto"/>
            </w:tcBorders>
            <w:vAlign w:val="center"/>
          </w:tcPr>
          <w:p w:rsidR="00E35632" w:rsidRDefault="00E35632">
            <w:pPr>
              <w:pStyle w:val="ConsPlusNormal"/>
              <w:jc w:val="center"/>
            </w:pPr>
            <w:r>
              <w:t>31 - 40</w:t>
            </w:r>
          </w:p>
        </w:tc>
        <w:tc>
          <w:tcPr>
            <w:tcW w:w="720" w:type="dxa"/>
            <w:tcBorders>
              <w:top w:val="single" w:sz="4" w:space="0" w:color="auto"/>
              <w:bottom w:val="single" w:sz="4" w:space="0" w:color="auto"/>
            </w:tcBorders>
            <w:vAlign w:val="center"/>
          </w:tcPr>
          <w:p w:rsidR="00E35632" w:rsidRDefault="00E35632">
            <w:pPr>
              <w:pStyle w:val="ConsPlusNormal"/>
              <w:jc w:val="center"/>
            </w:pPr>
            <w:r>
              <w:t>&gt; 40</w:t>
            </w:r>
          </w:p>
        </w:tc>
        <w:tc>
          <w:tcPr>
            <w:tcW w:w="720" w:type="dxa"/>
            <w:tcBorders>
              <w:top w:val="single" w:sz="4" w:space="0" w:color="auto"/>
              <w:bottom w:val="single" w:sz="4" w:space="0" w:color="auto"/>
            </w:tcBorders>
            <w:vAlign w:val="center"/>
          </w:tcPr>
          <w:p w:rsidR="00E35632" w:rsidRDefault="00E35632">
            <w:pPr>
              <w:pStyle w:val="ConsPlusNormal"/>
              <w:jc w:val="center"/>
            </w:pPr>
            <w:r>
              <w:t>5 - 25</w:t>
            </w:r>
          </w:p>
        </w:tc>
        <w:tc>
          <w:tcPr>
            <w:tcW w:w="840" w:type="dxa"/>
            <w:tcBorders>
              <w:top w:val="single" w:sz="4" w:space="0" w:color="auto"/>
              <w:bottom w:val="single" w:sz="4" w:space="0" w:color="auto"/>
            </w:tcBorders>
            <w:vAlign w:val="center"/>
          </w:tcPr>
          <w:p w:rsidR="00E35632" w:rsidRDefault="00E35632">
            <w:pPr>
              <w:pStyle w:val="ConsPlusNormal"/>
              <w:jc w:val="center"/>
            </w:pPr>
            <w:r>
              <w:t>26 - 40</w:t>
            </w:r>
          </w:p>
        </w:tc>
        <w:tc>
          <w:tcPr>
            <w:tcW w:w="720" w:type="dxa"/>
            <w:tcBorders>
              <w:top w:val="single" w:sz="4" w:space="0" w:color="auto"/>
              <w:bottom w:val="single" w:sz="4" w:space="0" w:color="auto"/>
            </w:tcBorders>
            <w:vAlign w:val="center"/>
          </w:tcPr>
          <w:p w:rsidR="00E35632" w:rsidRDefault="00E35632">
            <w:pPr>
              <w:pStyle w:val="ConsPlusNormal"/>
              <w:jc w:val="center"/>
            </w:pPr>
            <w:r>
              <w:t>&gt; 40</w:t>
            </w:r>
          </w:p>
        </w:tc>
      </w:tr>
      <w:tr w:rsidR="00E35632">
        <w:tblPrEx>
          <w:tblBorders>
            <w:insideH w:val="none" w:sz="0" w:space="0" w:color="auto"/>
          </w:tblBorders>
        </w:tblPrEx>
        <w:tc>
          <w:tcPr>
            <w:tcW w:w="3660" w:type="dxa"/>
            <w:tcBorders>
              <w:top w:val="single" w:sz="4" w:space="0" w:color="auto"/>
              <w:bottom w:val="nil"/>
            </w:tcBorders>
          </w:tcPr>
          <w:p w:rsidR="00E35632" w:rsidRDefault="00E35632">
            <w:pPr>
              <w:pStyle w:val="ConsPlusNormal"/>
            </w:pPr>
            <w:r>
              <w:t xml:space="preserve">Влажность, соответствующая полному водонасыщению </w:t>
            </w:r>
            <w:r>
              <w:rPr>
                <w:i/>
              </w:rPr>
              <w:t>w</w:t>
            </w:r>
            <w:r>
              <w:rPr>
                <w:i/>
                <w:vertAlign w:val="subscript"/>
              </w:rPr>
              <w:t>sat</w:t>
            </w:r>
            <w:r>
              <w:t>, доли единицы</w:t>
            </w:r>
          </w:p>
        </w:tc>
        <w:tc>
          <w:tcPr>
            <w:tcW w:w="720" w:type="dxa"/>
            <w:tcBorders>
              <w:top w:val="single" w:sz="4" w:space="0" w:color="auto"/>
              <w:bottom w:val="nil"/>
            </w:tcBorders>
            <w:vAlign w:val="bottom"/>
          </w:tcPr>
          <w:p w:rsidR="00E35632" w:rsidRDefault="00E35632">
            <w:pPr>
              <w:pStyle w:val="ConsPlusNormal"/>
              <w:jc w:val="center"/>
            </w:pPr>
            <w:r>
              <w:t>14,5</w:t>
            </w:r>
          </w:p>
        </w:tc>
        <w:tc>
          <w:tcPr>
            <w:tcW w:w="840" w:type="dxa"/>
            <w:tcBorders>
              <w:top w:val="single" w:sz="4" w:space="0" w:color="auto"/>
              <w:bottom w:val="nil"/>
            </w:tcBorders>
            <w:vAlign w:val="bottom"/>
          </w:tcPr>
          <w:p w:rsidR="00E35632" w:rsidRDefault="00E35632">
            <w:pPr>
              <w:pStyle w:val="ConsPlusNormal"/>
              <w:jc w:val="center"/>
            </w:pPr>
            <w:r>
              <w:t>12,5</w:t>
            </w:r>
          </w:p>
        </w:tc>
        <w:tc>
          <w:tcPr>
            <w:tcW w:w="840" w:type="dxa"/>
            <w:tcBorders>
              <w:top w:val="single" w:sz="4" w:space="0" w:color="auto"/>
              <w:bottom w:val="nil"/>
            </w:tcBorders>
            <w:vAlign w:val="bottom"/>
          </w:tcPr>
          <w:p w:rsidR="00E35632" w:rsidRDefault="00E35632">
            <w:pPr>
              <w:pStyle w:val="ConsPlusNormal"/>
              <w:jc w:val="center"/>
            </w:pPr>
            <w:r>
              <w:t>11,8</w:t>
            </w:r>
          </w:p>
        </w:tc>
        <w:tc>
          <w:tcPr>
            <w:tcW w:w="720" w:type="dxa"/>
            <w:tcBorders>
              <w:top w:val="single" w:sz="4" w:space="0" w:color="auto"/>
              <w:bottom w:val="nil"/>
            </w:tcBorders>
            <w:vAlign w:val="bottom"/>
          </w:tcPr>
          <w:p w:rsidR="00E35632" w:rsidRDefault="00E35632">
            <w:pPr>
              <w:pStyle w:val="ConsPlusNormal"/>
              <w:jc w:val="center"/>
            </w:pPr>
            <w:r>
              <w:t>10,0</w:t>
            </w:r>
          </w:p>
        </w:tc>
        <w:tc>
          <w:tcPr>
            <w:tcW w:w="720" w:type="dxa"/>
            <w:tcBorders>
              <w:top w:val="single" w:sz="4" w:space="0" w:color="auto"/>
              <w:bottom w:val="nil"/>
            </w:tcBorders>
            <w:vAlign w:val="bottom"/>
          </w:tcPr>
          <w:p w:rsidR="00E35632" w:rsidRDefault="00E35632">
            <w:pPr>
              <w:pStyle w:val="ConsPlusNormal"/>
              <w:jc w:val="center"/>
            </w:pPr>
            <w:r>
              <w:t>11,5</w:t>
            </w:r>
          </w:p>
        </w:tc>
        <w:tc>
          <w:tcPr>
            <w:tcW w:w="840" w:type="dxa"/>
            <w:tcBorders>
              <w:top w:val="single" w:sz="4" w:space="0" w:color="auto"/>
              <w:bottom w:val="nil"/>
            </w:tcBorders>
            <w:vAlign w:val="bottom"/>
          </w:tcPr>
          <w:p w:rsidR="00E35632" w:rsidRDefault="00E35632">
            <w:pPr>
              <w:pStyle w:val="ConsPlusNormal"/>
              <w:jc w:val="center"/>
            </w:pPr>
            <w:r>
              <w:t>7,5</w:t>
            </w:r>
          </w:p>
        </w:tc>
        <w:tc>
          <w:tcPr>
            <w:tcW w:w="720" w:type="dxa"/>
            <w:tcBorders>
              <w:top w:val="single" w:sz="4" w:space="0" w:color="auto"/>
              <w:bottom w:val="nil"/>
            </w:tcBorders>
            <w:vAlign w:val="bottom"/>
          </w:tcPr>
          <w:p w:rsidR="00E35632" w:rsidRDefault="00E35632">
            <w:pPr>
              <w:pStyle w:val="ConsPlusNormal"/>
              <w:jc w:val="center"/>
            </w:pPr>
            <w:r>
              <w:t>5,8</w:t>
            </w:r>
          </w:p>
        </w:tc>
      </w:tr>
      <w:tr w:rsidR="00E35632">
        <w:tblPrEx>
          <w:tblBorders>
            <w:insideH w:val="none" w:sz="0" w:space="0" w:color="auto"/>
          </w:tblBorders>
        </w:tblPrEx>
        <w:tc>
          <w:tcPr>
            <w:tcW w:w="3660" w:type="dxa"/>
            <w:tcBorders>
              <w:top w:val="nil"/>
              <w:bottom w:val="nil"/>
            </w:tcBorders>
          </w:tcPr>
          <w:p w:rsidR="00E35632" w:rsidRDefault="00E35632">
            <w:pPr>
              <w:pStyle w:val="ConsPlusNormal"/>
            </w:pPr>
            <w:r>
              <w:t xml:space="preserve">Плотность частиц торфа </w:t>
            </w:r>
            <w:r>
              <w:rPr>
                <w:noProof/>
                <w:position w:val="-8"/>
              </w:rPr>
              <w:drawing>
                <wp:inline distT="0" distB="0" distL="0" distR="0">
                  <wp:extent cx="200660" cy="250825"/>
                  <wp:effectExtent l="0" t="0" r="0" b="0"/>
                  <wp:docPr id="71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г/см</w:t>
            </w:r>
            <w:r>
              <w:rPr>
                <w:vertAlign w:val="superscript"/>
              </w:rPr>
              <w:t>3</w:t>
            </w:r>
          </w:p>
        </w:tc>
        <w:tc>
          <w:tcPr>
            <w:tcW w:w="720" w:type="dxa"/>
            <w:tcBorders>
              <w:top w:val="nil"/>
              <w:bottom w:val="nil"/>
            </w:tcBorders>
            <w:vAlign w:val="bottom"/>
          </w:tcPr>
          <w:p w:rsidR="00E35632" w:rsidRDefault="00E35632">
            <w:pPr>
              <w:pStyle w:val="ConsPlusNormal"/>
              <w:jc w:val="center"/>
            </w:pPr>
            <w:r>
              <w:t>1,62</w:t>
            </w:r>
          </w:p>
        </w:tc>
        <w:tc>
          <w:tcPr>
            <w:tcW w:w="840" w:type="dxa"/>
            <w:tcBorders>
              <w:top w:val="nil"/>
              <w:bottom w:val="nil"/>
            </w:tcBorders>
            <w:vAlign w:val="bottom"/>
          </w:tcPr>
          <w:p w:rsidR="00E35632" w:rsidRDefault="00E35632">
            <w:pPr>
              <w:pStyle w:val="ConsPlusNormal"/>
              <w:jc w:val="center"/>
            </w:pPr>
            <w:r>
              <w:t>1,56</w:t>
            </w:r>
          </w:p>
        </w:tc>
        <w:tc>
          <w:tcPr>
            <w:tcW w:w="840" w:type="dxa"/>
            <w:tcBorders>
              <w:top w:val="nil"/>
              <w:bottom w:val="nil"/>
            </w:tcBorders>
            <w:vAlign w:val="bottom"/>
          </w:tcPr>
          <w:p w:rsidR="00E35632" w:rsidRDefault="00E35632">
            <w:pPr>
              <w:pStyle w:val="ConsPlusNormal"/>
              <w:jc w:val="center"/>
            </w:pPr>
            <w:r>
              <w:t>1,49</w:t>
            </w:r>
          </w:p>
        </w:tc>
        <w:tc>
          <w:tcPr>
            <w:tcW w:w="720" w:type="dxa"/>
            <w:tcBorders>
              <w:top w:val="nil"/>
              <w:bottom w:val="nil"/>
            </w:tcBorders>
            <w:vAlign w:val="bottom"/>
          </w:tcPr>
          <w:p w:rsidR="00E35632" w:rsidRDefault="00E35632">
            <w:pPr>
              <w:pStyle w:val="ConsPlusNormal"/>
              <w:jc w:val="center"/>
            </w:pPr>
            <w:r>
              <w:t>1,40</w:t>
            </w:r>
          </w:p>
        </w:tc>
        <w:tc>
          <w:tcPr>
            <w:tcW w:w="720" w:type="dxa"/>
            <w:tcBorders>
              <w:top w:val="nil"/>
              <w:bottom w:val="nil"/>
            </w:tcBorders>
            <w:vAlign w:val="bottom"/>
          </w:tcPr>
          <w:p w:rsidR="00E35632" w:rsidRDefault="00E35632">
            <w:pPr>
              <w:pStyle w:val="ConsPlusNormal"/>
              <w:jc w:val="center"/>
            </w:pPr>
            <w:r>
              <w:t>1,58</w:t>
            </w:r>
          </w:p>
        </w:tc>
        <w:tc>
          <w:tcPr>
            <w:tcW w:w="840" w:type="dxa"/>
            <w:tcBorders>
              <w:top w:val="nil"/>
              <w:bottom w:val="nil"/>
            </w:tcBorders>
            <w:vAlign w:val="bottom"/>
          </w:tcPr>
          <w:p w:rsidR="00E35632" w:rsidRDefault="00E35632">
            <w:pPr>
              <w:pStyle w:val="ConsPlusNormal"/>
              <w:jc w:val="center"/>
            </w:pPr>
            <w:r>
              <w:t>1,51</w:t>
            </w:r>
          </w:p>
        </w:tc>
        <w:tc>
          <w:tcPr>
            <w:tcW w:w="720" w:type="dxa"/>
            <w:tcBorders>
              <w:top w:val="nil"/>
              <w:bottom w:val="nil"/>
            </w:tcBorders>
            <w:vAlign w:val="bottom"/>
          </w:tcPr>
          <w:p w:rsidR="00E35632" w:rsidRDefault="00E35632">
            <w:pPr>
              <w:pStyle w:val="ConsPlusNormal"/>
              <w:jc w:val="center"/>
            </w:pPr>
            <w:r>
              <w:t>1,5</w:t>
            </w:r>
          </w:p>
        </w:tc>
      </w:tr>
      <w:tr w:rsidR="00E35632">
        <w:tblPrEx>
          <w:tblBorders>
            <w:insideH w:val="none" w:sz="0" w:space="0" w:color="auto"/>
          </w:tblBorders>
        </w:tblPrEx>
        <w:tc>
          <w:tcPr>
            <w:tcW w:w="3660" w:type="dxa"/>
            <w:tcBorders>
              <w:top w:val="nil"/>
              <w:bottom w:val="nil"/>
            </w:tcBorders>
          </w:tcPr>
          <w:p w:rsidR="00E35632" w:rsidRDefault="00E35632">
            <w:pPr>
              <w:pStyle w:val="ConsPlusNormal"/>
            </w:pPr>
            <w:r>
              <w:t xml:space="preserve">Модуль деформации при полной влагоемкости </w:t>
            </w:r>
            <w:r>
              <w:rPr>
                <w:i/>
              </w:rPr>
              <w:t>E</w:t>
            </w:r>
            <w:r>
              <w:t>, МПа</w:t>
            </w:r>
          </w:p>
        </w:tc>
        <w:tc>
          <w:tcPr>
            <w:tcW w:w="720" w:type="dxa"/>
            <w:tcBorders>
              <w:top w:val="nil"/>
              <w:bottom w:val="nil"/>
            </w:tcBorders>
            <w:vAlign w:val="bottom"/>
          </w:tcPr>
          <w:p w:rsidR="00E35632" w:rsidRDefault="00E35632">
            <w:pPr>
              <w:pStyle w:val="ConsPlusNormal"/>
              <w:jc w:val="center"/>
            </w:pPr>
            <w:r>
              <w:t>0,11</w:t>
            </w:r>
          </w:p>
        </w:tc>
        <w:tc>
          <w:tcPr>
            <w:tcW w:w="840" w:type="dxa"/>
            <w:tcBorders>
              <w:top w:val="nil"/>
              <w:bottom w:val="nil"/>
            </w:tcBorders>
            <w:vAlign w:val="bottom"/>
          </w:tcPr>
          <w:p w:rsidR="00E35632" w:rsidRDefault="00E35632">
            <w:pPr>
              <w:pStyle w:val="ConsPlusNormal"/>
              <w:jc w:val="center"/>
            </w:pPr>
            <w:r>
              <w:t>0,15</w:t>
            </w:r>
          </w:p>
        </w:tc>
        <w:tc>
          <w:tcPr>
            <w:tcW w:w="840" w:type="dxa"/>
            <w:tcBorders>
              <w:top w:val="nil"/>
              <w:bottom w:val="nil"/>
            </w:tcBorders>
            <w:vAlign w:val="bottom"/>
          </w:tcPr>
          <w:p w:rsidR="00E35632" w:rsidRDefault="00E35632">
            <w:pPr>
              <w:pStyle w:val="ConsPlusNormal"/>
              <w:jc w:val="center"/>
            </w:pPr>
            <w:r>
              <w:t>0,23</w:t>
            </w:r>
          </w:p>
        </w:tc>
        <w:tc>
          <w:tcPr>
            <w:tcW w:w="720" w:type="dxa"/>
            <w:tcBorders>
              <w:top w:val="nil"/>
              <w:bottom w:val="nil"/>
            </w:tcBorders>
            <w:vAlign w:val="bottom"/>
          </w:tcPr>
          <w:p w:rsidR="00E35632" w:rsidRDefault="00E35632">
            <w:pPr>
              <w:pStyle w:val="ConsPlusNormal"/>
              <w:jc w:val="center"/>
            </w:pPr>
            <w:r>
              <w:t>0,25</w:t>
            </w:r>
          </w:p>
        </w:tc>
        <w:tc>
          <w:tcPr>
            <w:tcW w:w="720" w:type="dxa"/>
            <w:tcBorders>
              <w:top w:val="nil"/>
              <w:bottom w:val="nil"/>
            </w:tcBorders>
            <w:vAlign w:val="bottom"/>
          </w:tcPr>
          <w:p w:rsidR="00E35632" w:rsidRDefault="00E35632">
            <w:pPr>
              <w:pStyle w:val="ConsPlusNormal"/>
              <w:jc w:val="center"/>
            </w:pPr>
            <w:r>
              <w:t>0,15</w:t>
            </w:r>
          </w:p>
        </w:tc>
        <w:tc>
          <w:tcPr>
            <w:tcW w:w="840" w:type="dxa"/>
            <w:tcBorders>
              <w:top w:val="nil"/>
              <w:bottom w:val="nil"/>
            </w:tcBorders>
            <w:vAlign w:val="bottom"/>
          </w:tcPr>
          <w:p w:rsidR="00E35632" w:rsidRDefault="00E35632">
            <w:pPr>
              <w:pStyle w:val="ConsPlusNormal"/>
              <w:jc w:val="center"/>
            </w:pPr>
            <w:r>
              <w:t>0,24</w:t>
            </w:r>
          </w:p>
        </w:tc>
        <w:tc>
          <w:tcPr>
            <w:tcW w:w="720" w:type="dxa"/>
            <w:tcBorders>
              <w:top w:val="nil"/>
              <w:bottom w:val="nil"/>
            </w:tcBorders>
            <w:vAlign w:val="bottom"/>
          </w:tcPr>
          <w:p w:rsidR="00E35632" w:rsidRDefault="00E35632">
            <w:pPr>
              <w:pStyle w:val="ConsPlusNormal"/>
              <w:jc w:val="center"/>
            </w:pPr>
            <w:r>
              <w:t>0,31</w:t>
            </w:r>
          </w:p>
        </w:tc>
      </w:tr>
      <w:tr w:rsidR="00E35632">
        <w:tblPrEx>
          <w:tblBorders>
            <w:insideH w:val="none" w:sz="0" w:space="0" w:color="auto"/>
          </w:tblBorders>
        </w:tblPrEx>
        <w:tc>
          <w:tcPr>
            <w:tcW w:w="3660" w:type="dxa"/>
            <w:tcBorders>
              <w:top w:val="nil"/>
              <w:bottom w:val="nil"/>
            </w:tcBorders>
          </w:tcPr>
          <w:p w:rsidR="00E35632" w:rsidRDefault="00E35632">
            <w:pPr>
              <w:pStyle w:val="ConsPlusNormal"/>
            </w:pPr>
            <w:r>
              <w:t>Коэффициент бокового давления </w:t>
            </w:r>
            <w:r>
              <w:rPr>
                <w:noProof/>
                <w:position w:val="-6"/>
              </w:rPr>
              <w:drawing>
                <wp:inline distT="0" distB="0" distL="0" distR="0">
                  <wp:extent cx="142240" cy="219075"/>
                  <wp:effectExtent l="0" t="0" r="0" b="0"/>
                  <wp:docPr id="71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142240" cy="219075"/>
                          </a:xfrm>
                          <a:prstGeom prst="rect">
                            <a:avLst/>
                          </a:prstGeom>
                          <a:noFill/>
                          <a:ln>
                            <a:noFill/>
                          </a:ln>
                        </pic:spPr>
                      </pic:pic>
                    </a:graphicData>
                  </a:graphic>
                </wp:inline>
              </w:drawing>
            </w:r>
          </w:p>
        </w:tc>
        <w:tc>
          <w:tcPr>
            <w:tcW w:w="720" w:type="dxa"/>
            <w:tcBorders>
              <w:top w:val="nil"/>
              <w:bottom w:val="nil"/>
            </w:tcBorders>
            <w:vAlign w:val="bottom"/>
          </w:tcPr>
          <w:p w:rsidR="00E35632" w:rsidRDefault="00E35632">
            <w:pPr>
              <w:pStyle w:val="ConsPlusNormal"/>
              <w:jc w:val="center"/>
            </w:pPr>
            <w:r>
              <w:t>0,12</w:t>
            </w:r>
          </w:p>
        </w:tc>
        <w:tc>
          <w:tcPr>
            <w:tcW w:w="840" w:type="dxa"/>
            <w:tcBorders>
              <w:top w:val="nil"/>
              <w:bottom w:val="nil"/>
            </w:tcBorders>
            <w:vAlign w:val="bottom"/>
          </w:tcPr>
          <w:p w:rsidR="00E35632" w:rsidRDefault="00E35632">
            <w:pPr>
              <w:pStyle w:val="ConsPlusNormal"/>
              <w:jc w:val="center"/>
            </w:pPr>
            <w:r>
              <w:t>0,19</w:t>
            </w:r>
          </w:p>
        </w:tc>
        <w:tc>
          <w:tcPr>
            <w:tcW w:w="840" w:type="dxa"/>
            <w:tcBorders>
              <w:top w:val="nil"/>
              <w:bottom w:val="nil"/>
            </w:tcBorders>
            <w:vAlign w:val="bottom"/>
          </w:tcPr>
          <w:p w:rsidR="00E35632" w:rsidRDefault="00E35632">
            <w:pPr>
              <w:pStyle w:val="ConsPlusNormal"/>
              <w:jc w:val="center"/>
            </w:pPr>
            <w:r>
              <w:t>0,28</w:t>
            </w:r>
          </w:p>
        </w:tc>
        <w:tc>
          <w:tcPr>
            <w:tcW w:w="720" w:type="dxa"/>
            <w:tcBorders>
              <w:top w:val="nil"/>
              <w:bottom w:val="nil"/>
            </w:tcBorders>
            <w:vAlign w:val="bottom"/>
          </w:tcPr>
          <w:p w:rsidR="00E35632" w:rsidRDefault="00E35632">
            <w:pPr>
              <w:pStyle w:val="ConsPlusNormal"/>
              <w:jc w:val="center"/>
            </w:pPr>
            <w:r>
              <w:t>0,35</w:t>
            </w:r>
          </w:p>
        </w:tc>
        <w:tc>
          <w:tcPr>
            <w:tcW w:w="720" w:type="dxa"/>
            <w:tcBorders>
              <w:top w:val="nil"/>
              <w:bottom w:val="nil"/>
            </w:tcBorders>
            <w:vAlign w:val="bottom"/>
          </w:tcPr>
          <w:p w:rsidR="00E35632" w:rsidRDefault="00E35632">
            <w:pPr>
              <w:pStyle w:val="ConsPlusNormal"/>
              <w:jc w:val="center"/>
            </w:pPr>
            <w:r>
              <w:t>0,22</w:t>
            </w:r>
          </w:p>
        </w:tc>
        <w:tc>
          <w:tcPr>
            <w:tcW w:w="840" w:type="dxa"/>
            <w:tcBorders>
              <w:top w:val="nil"/>
              <w:bottom w:val="nil"/>
            </w:tcBorders>
            <w:vAlign w:val="bottom"/>
          </w:tcPr>
          <w:p w:rsidR="00E35632" w:rsidRDefault="00E35632">
            <w:pPr>
              <w:pStyle w:val="ConsPlusNormal"/>
              <w:jc w:val="center"/>
            </w:pPr>
            <w:r>
              <w:t>0,43</w:t>
            </w:r>
          </w:p>
        </w:tc>
        <w:tc>
          <w:tcPr>
            <w:tcW w:w="720" w:type="dxa"/>
            <w:tcBorders>
              <w:top w:val="nil"/>
              <w:bottom w:val="nil"/>
            </w:tcBorders>
            <w:vAlign w:val="bottom"/>
          </w:tcPr>
          <w:p w:rsidR="00E35632" w:rsidRDefault="00E35632">
            <w:pPr>
              <w:pStyle w:val="ConsPlusNormal"/>
              <w:jc w:val="center"/>
            </w:pPr>
            <w:r>
              <w:t>0,50</w:t>
            </w:r>
          </w:p>
        </w:tc>
      </w:tr>
      <w:tr w:rsidR="00E35632">
        <w:tblPrEx>
          <w:tblBorders>
            <w:insideH w:val="none" w:sz="0" w:space="0" w:color="auto"/>
          </w:tblBorders>
        </w:tblPrEx>
        <w:tc>
          <w:tcPr>
            <w:tcW w:w="3660" w:type="dxa"/>
            <w:tcBorders>
              <w:top w:val="nil"/>
              <w:bottom w:val="single" w:sz="4" w:space="0" w:color="auto"/>
            </w:tcBorders>
          </w:tcPr>
          <w:p w:rsidR="00E35632" w:rsidRDefault="00E35632">
            <w:pPr>
              <w:pStyle w:val="ConsPlusNormal"/>
            </w:pPr>
            <w:r>
              <w:t xml:space="preserve">Коэффициент консолидации </w:t>
            </w:r>
            <w:r>
              <w:rPr>
                <w:noProof/>
                <w:position w:val="-8"/>
              </w:rPr>
              <w:drawing>
                <wp:inline distT="0" distB="0" distL="0" distR="0">
                  <wp:extent cx="175895" cy="251460"/>
                  <wp:effectExtent l="0" t="0" r="0" b="0"/>
                  <wp:docPr id="71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175895" cy="251460"/>
                          </a:xfrm>
                          <a:prstGeom prst="rect">
                            <a:avLst/>
                          </a:prstGeom>
                          <a:noFill/>
                          <a:ln>
                            <a:noFill/>
                          </a:ln>
                        </pic:spPr>
                      </pic:pic>
                    </a:graphicData>
                  </a:graphic>
                </wp:inline>
              </w:drawing>
            </w:r>
            <w:r>
              <w:t>, м</w:t>
            </w:r>
            <w:r>
              <w:rPr>
                <w:vertAlign w:val="superscript"/>
              </w:rPr>
              <w:t>2</w:t>
            </w:r>
            <w:r>
              <w:t>/год</w:t>
            </w:r>
          </w:p>
        </w:tc>
        <w:tc>
          <w:tcPr>
            <w:tcW w:w="720" w:type="dxa"/>
            <w:tcBorders>
              <w:top w:val="nil"/>
              <w:bottom w:val="single" w:sz="4" w:space="0" w:color="auto"/>
            </w:tcBorders>
            <w:vAlign w:val="bottom"/>
          </w:tcPr>
          <w:p w:rsidR="00E35632" w:rsidRDefault="00E35632">
            <w:pPr>
              <w:pStyle w:val="ConsPlusNormal"/>
              <w:jc w:val="center"/>
            </w:pPr>
            <w:r>
              <w:t>10</w:t>
            </w:r>
          </w:p>
        </w:tc>
        <w:tc>
          <w:tcPr>
            <w:tcW w:w="840" w:type="dxa"/>
            <w:tcBorders>
              <w:top w:val="nil"/>
              <w:bottom w:val="single" w:sz="4" w:space="0" w:color="auto"/>
            </w:tcBorders>
            <w:vAlign w:val="bottom"/>
          </w:tcPr>
          <w:p w:rsidR="00E35632" w:rsidRDefault="00E35632">
            <w:pPr>
              <w:pStyle w:val="ConsPlusNormal"/>
              <w:jc w:val="center"/>
            </w:pPr>
            <w:r>
              <w:t>5</w:t>
            </w:r>
          </w:p>
        </w:tc>
        <w:tc>
          <w:tcPr>
            <w:tcW w:w="840" w:type="dxa"/>
            <w:tcBorders>
              <w:top w:val="nil"/>
              <w:bottom w:val="single" w:sz="4" w:space="0" w:color="auto"/>
            </w:tcBorders>
            <w:vAlign w:val="bottom"/>
          </w:tcPr>
          <w:p w:rsidR="00E35632" w:rsidRDefault="00E35632">
            <w:pPr>
              <w:pStyle w:val="ConsPlusNormal"/>
              <w:jc w:val="center"/>
            </w:pPr>
            <w:r>
              <w:t>2</w:t>
            </w:r>
          </w:p>
        </w:tc>
        <w:tc>
          <w:tcPr>
            <w:tcW w:w="720" w:type="dxa"/>
            <w:tcBorders>
              <w:top w:val="nil"/>
              <w:bottom w:val="single" w:sz="4" w:space="0" w:color="auto"/>
            </w:tcBorders>
            <w:vAlign w:val="bottom"/>
          </w:tcPr>
          <w:p w:rsidR="00E35632" w:rsidRDefault="00E35632">
            <w:pPr>
              <w:pStyle w:val="ConsPlusNormal"/>
              <w:jc w:val="center"/>
            </w:pPr>
            <w:r>
              <w:t>1</w:t>
            </w:r>
          </w:p>
        </w:tc>
        <w:tc>
          <w:tcPr>
            <w:tcW w:w="720" w:type="dxa"/>
            <w:tcBorders>
              <w:top w:val="nil"/>
              <w:bottom w:val="single" w:sz="4" w:space="0" w:color="auto"/>
            </w:tcBorders>
            <w:vAlign w:val="bottom"/>
          </w:tcPr>
          <w:p w:rsidR="00E35632" w:rsidRDefault="00E35632">
            <w:pPr>
              <w:pStyle w:val="ConsPlusNormal"/>
              <w:jc w:val="center"/>
            </w:pPr>
            <w:r>
              <w:t>5</w:t>
            </w:r>
          </w:p>
        </w:tc>
        <w:tc>
          <w:tcPr>
            <w:tcW w:w="840" w:type="dxa"/>
            <w:tcBorders>
              <w:top w:val="nil"/>
              <w:bottom w:val="single" w:sz="4" w:space="0" w:color="auto"/>
            </w:tcBorders>
            <w:vAlign w:val="bottom"/>
          </w:tcPr>
          <w:p w:rsidR="00E35632" w:rsidRDefault="00E35632">
            <w:pPr>
              <w:pStyle w:val="ConsPlusNormal"/>
              <w:jc w:val="center"/>
            </w:pPr>
            <w:r>
              <w:t>2</w:t>
            </w:r>
          </w:p>
        </w:tc>
        <w:tc>
          <w:tcPr>
            <w:tcW w:w="720" w:type="dxa"/>
            <w:tcBorders>
              <w:top w:val="nil"/>
              <w:bottom w:val="single" w:sz="4" w:space="0" w:color="auto"/>
            </w:tcBorders>
            <w:vAlign w:val="bottom"/>
          </w:tcPr>
          <w:p w:rsidR="00E35632" w:rsidRDefault="00E35632">
            <w:pPr>
              <w:pStyle w:val="ConsPlusNormal"/>
              <w:jc w:val="center"/>
            </w:pPr>
            <w:r>
              <w:t>1</w:t>
            </w:r>
          </w:p>
        </w:tc>
      </w:tr>
    </w:tbl>
    <w:p w:rsidR="00E35632" w:rsidRDefault="00E35632">
      <w:pPr>
        <w:pStyle w:val="ConsPlusNormal"/>
        <w:jc w:val="both"/>
      </w:pPr>
    </w:p>
    <w:p w:rsidR="00E35632" w:rsidRDefault="00E35632">
      <w:pPr>
        <w:pStyle w:val="ConsPlusNormal"/>
        <w:jc w:val="right"/>
      </w:pPr>
      <w:r>
        <w:t>Таблица Ж.2</w:t>
      </w:r>
    </w:p>
    <w:p w:rsidR="00E35632" w:rsidRDefault="00E35632">
      <w:pPr>
        <w:pStyle w:val="ConsPlusNormal"/>
        <w:jc w:val="both"/>
      </w:pPr>
    </w:p>
    <w:p w:rsidR="00E35632" w:rsidRDefault="00E35632">
      <w:pPr>
        <w:pStyle w:val="ConsPlusNormal"/>
        <w:jc w:val="center"/>
      </w:pPr>
      <w:r>
        <w:rPr>
          <w:b/>
        </w:rPr>
        <w:t>Средние значения физико-механических</w:t>
      </w:r>
    </w:p>
    <w:p w:rsidR="00E35632" w:rsidRDefault="00E35632">
      <w:pPr>
        <w:pStyle w:val="ConsPlusNormal"/>
        <w:jc w:val="center"/>
      </w:pPr>
      <w:r>
        <w:rPr>
          <w:b/>
        </w:rPr>
        <w:t>характеристик погребенного торфа</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649"/>
        <w:gridCol w:w="1460"/>
        <w:gridCol w:w="1460"/>
        <w:gridCol w:w="1460"/>
      </w:tblGrid>
      <w:tr w:rsidR="00E35632">
        <w:tc>
          <w:tcPr>
            <w:tcW w:w="4649" w:type="dxa"/>
            <w:vMerge w:val="restart"/>
            <w:tcBorders>
              <w:top w:val="single" w:sz="4" w:space="0" w:color="auto"/>
              <w:bottom w:val="single" w:sz="4" w:space="0" w:color="auto"/>
            </w:tcBorders>
            <w:vAlign w:val="center"/>
          </w:tcPr>
          <w:p w:rsidR="00E35632" w:rsidRDefault="00E35632">
            <w:pPr>
              <w:pStyle w:val="ConsPlusNormal"/>
              <w:jc w:val="center"/>
            </w:pPr>
            <w:r>
              <w:t>Показатель</w:t>
            </w:r>
          </w:p>
        </w:tc>
        <w:tc>
          <w:tcPr>
            <w:tcW w:w="4380" w:type="dxa"/>
            <w:gridSpan w:val="3"/>
            <w:tcBorders>
              <w:top w:val="single" w:sz="4" w:space="0" w:color="auto"/>
              <w:bottom w:val="single" w:sz="4" w:space="0" w:color="auto"/>
            </w:tcBorders>
            <w:vAlign w:val="center"/>
          </w:tcPr>
          <w:p w:rsidR="00E35632" w:rsidRDefault="00E35632">
            <w:pPr>
              <w:pStyle w:val="ConsPlusNormal"/>
              <w:jc w:val="center"/>
            </w:pPr>
            <w:r>
              <w:t xml:space="preserve">Значения показателя при степени разложения </w:t>
            </w:r>
            <w:r>
              <w:rPr>
                <w:i/>
              </w:rPr>
              <w:t>D</w:t>
            </w:r>
            <w:r>
              <w:rPr>
                <w:i/>
                <w:vertAlign w:val="subscript"/>
              </w:rPr>
              <w:t>dp</w:t>
            </w:r>
            <w:r>
              <w:t>, %</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460" w:type="dxa"/>
            <w:tcBorders>
              <w:top w:val="single" w:sz="4" w:space="0" w:color="auto"/>
              <w:bottom w:val="single" w:sz="4" w:space="0" w:color="auto"/>
            </w:tcBorders>
            <w:vAlign w:val="center"/>
          </w:tcPr>
          <w:p w:rsidR="00E35632" w:rsidRDefault="00E35632">
            <w:pPr>
              <w:pStyle w:val="ConsPlusNormal"/>
              <w:jc w:val="center"/>
            </w:pPr>
            <w:r>
              <w:t>20 - 30</w:t>
            </w:r>
          </w:p>
        </w:tc>
        <w:tc>
          <w:tcPr>
            <w:tcW w:w="1460" w:type="dxa"/>
            <w:tcBorders>
              <w:top w:val="single" w:sz="4" w:space="0" w:color="auto"/>
              <w:bottom w:val="single" w:sz="4" w:space="0" w:color="auto"/>
            </w:tcBorders>
            <w:vAlign w:val="center"/>
          </w:tcPr>
          <w:p w:rsidR="00E35632" w:rsidRDefault="00E35632">
            <w:pPr>
              <w:pStyle w:val="ConsPlusNormal"/>
              <w:jc w:val="center"/>
            </w:pPr>
            <w:r>
              <w:t>31 - 40</w:t>
            </w:r>
          </w:p>
        </w:tc>
        <w:tc>
          <w:tcPr>
            <w:tcW w:w="1460" w:type="dxa"/>
            <w:tcBorders>
              <w:top w:val="single" w:sz="4" w:space="0" w:color="auto"/>
              <w:bottom w:val="single" w:sz="4" w:space="0" w:color="auto"/>
            </w:tcBorders>
            <w:vAlign w:val="center"/>
          </w:tcPr>
          <w:p w:rsidR="00E35632" w:rsidRDefault="00E35632">
            <w:pPr>
              <w:pStyle w:val="ConsPlusNormal"/>
              <w:jc w:val="center"/>
            </w:pPr>
            <w:r>
              <w:t>41 - 60</w:t>
            </w:r>
          </w:p>
        </w:tc>
      </w:tr>
      <w:tr w:rsidR="00E35632">
        <w:tblPrEx>
          <w:tblBorders>
            <w:insideH w:val="none" w:sz="0" w:space="0" w:color="auto"/>
          </w:tblBorders>
        </w:tblPrEx>
        <w:tc>
          <w:tcPr>
            <w:tcW w:w="4649" w:type="dxa"/>
            <w:tcBorders>
              <w:top w:val="single" w:sz="4" w:space="0" w:color="auto"/>
              <w:bottom w:val="nil"/>
            </w:tcBorders>
          </w:tcPr>
          <w:p w:rsidR="00E35632" w:rsidRDefault="00E35632">
            <w:pPr>
              <w:pStyle w:val="ConsPlusNormal"/>
            </w:pPr>
            <w:r>
              <w:t xml:space="preserve">Плотность грунта </w:t>
            </w:r>
            <w:r>
              <w:rPr>
                <w:noProof/>
                <w:position w:val="-2"/>
              </w:rPr>
              <w:drawing>
                <wp:inline distT="0" distB="0" distL="0" distR="0">
                  <wp:extent cx="167640" cy="175895"/>
                  <wp:effectExtent l="0" t="0" r="0" b="0"/>
                  <wp:docPr id="71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167640" cy="175895"/>
                          </a:xfrm>
                          <a:prstGeom prst="rect">
                            <a:avLst/>
                          </a:prstGeom>
                          <a:noFill/>
                          <a:ln>
                            <a:noFill/>
                          </a:ln>
                        </pic:spPr>
                      </pic:pic>
                    </a:graphicData>
                  </a:graphic>
                </wp:inline>
              </w:drawing>
            </w:r>
            <w:r>
              <w:t>, г/см</w:t>
            </w:r>
            <w:r>
              <w:rPr>
                <w:vertAlign w:val="superscript"/>
              </w:rPr>
              <w:t>3</w:t>
            </w:r>
          </w:p>
        </w:tc>
        <w:tc>
          <w:tcPr>
            <w:tcW w:w="1460" w:type="dxa"/>
            <w:tcBorders>
              <w:top w:val="single" w:sz="4" w:space="0" w:color="auto"/>
              <w:bottom w:val="nil"/>
            </w:tcBorders>
          </w:tcPr>
          <w:p w:rsidR="00E35632" w:rsidRDefault="00E35632">
            <w:pPr>
              <w:pStyle w:val="ConsPlusNormal"/>
              <w:jc w:val="center"/>
            </w:pPr>
            <w:r>
              <w:t>1,0</w:t>
            </w:r>
          </w:p>
        </w:tc>
        <w:tc>
          <w:tcPr>
            <w:tcW w:w="1460" w:type="dxa"/>
            <w:tcBorders>
              <w:top w:val="single" w:sz="4" w:space="0" w:color="auto"/>
              <w:bottom w:val="nil"/>
            </w:tcBorders>
          </w:tcPr>
          <w:p w:rsidR="00E35632" w:rsidRDefault="00E35632">
            <w:pPr>
              <w:pStyle w:val="ConsPlusNormal"/>
              <w:jc w:val="center"/>
            </w:pPr>
            <w:r>
              <w:t>1,05</w:t>
            </w:r>
          </w:p>
        </w:tc>
        <w:tc>
          <w:tcPr>
            <w:tcW w:w="1460" w:type="dxa"/>
            <w:tcBorders>
              <w:top w:val="single" w:sz="4" w:space="0" w:color="auto"/>
              <w:bottom w:val="nil"/>
            </w:tcBorders>
          </w:tcPr>
          <w:p w:rsidR="00E35632" w:rsidRDefault="00E35632">
            <w:pPr>
              <w:pStyle w:val="ConsPlusNormal"/>
              <w:jc w:val="center"/>
            </w:pPr>
            <w:r>
              <w:t>1,2</w:t>
            </w:r>
          </w:p>
        </w:tc>
      </w:tr>
      <w:tr w:rsidR="00E35632">
        <w:tblPrEx>
          <w:tblBorders>
            <w:insideH w:val="none" w:sz="0" w:space="0" w:color="auto"/>
          </w:tblBorders>
        </w:tblPrEx>
        <w:tc>
          <w:tcPr>
            <w:tcW w:w="4649" w:type="dxa"/>
            <w:tcBorders>
              <w:top w:val="nil"/>
              <w:bottom w:val="nil"/>
            </w:tcBorders>
          </w:tcPr>
          <w:p w:rsidR="00E35632" w:rsidRDefault="00E35632">
            <w:pPr>
              <w:pStyle w:val="ConsPlusNormal"/>
            </w:pPr>
            <w:r>
              <w:t xml:space="preserve">Плотность частиц грунта </w:t>
            </w:r>
            <w:r>
              <w:rPr>
                <w:noProof/>
                <w:position w:val="-8"/>
              </w:rPr>
              <w:drawing>
                <wp:inline distT="0" distB="0" distL="0" distR="0">
                  <wp:extent cx="200660" cy="250825"/>
                  <wp:effectExtent l="0" t="0" r="0" b="0"/>
                  <wp:docPr id="71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г/см</w:t>
            </w:r>
            <w:r>
              <w:rPr>
                <w:vertAlign w:val="superscript"/>
              </w:rPr>
              <w:t>3</w:t>
            </w:r>
          </w:p>
        </w:tc>
        <w:tc>
          <w:tcPr>
            <w:tcW w:w="1460" w:type="dxa"/>
            <w:tcBorders>
              <w:top w:val="nil"/>
              <w:bottom w:val="nil"/>
            </w:tcBorders>
          </w:tcPr>
          <w:p w:rsidR="00E35632" w:rsidRDefault="00E35632">
            <w:pPr>
              <w:pStyle w:val="ConsPlusNormal"/>
              <w:jc w:val="center"/>
            </w:pPr>
            <w:r>
              <w:t>1,5</w:t>
            </w:r>
          </w:p>
        </w:tc>
        <w:tc>
          <w:tcPr>
            <w:tcW w:w="1460" w:type="dxa"/>
            <w:tcBorders>
              <w:top w:val="nil"/>
              <w:bottom w:val="nil"/>
            </w:tcBorders>
          </w:tcPr>
          <w:p w:rsidR="00E35632" w:rsidRDefault="00E35632">
            <w:pPr>
              <w:pStyle w:val="ConsPlusNormal"/>
              <w:jc w:val="center"/>
            </w:pPr>
            <w:r>
              <w:t>1,60</w:t>
            </w:r>
          </w:p>
        </w:tc>
        <w:tc>
          <w:tcPr>
            <w:tcW w:w="1460" w:type="dxa"/>
            <w:tcBorders>
              <w:top w:val="nil"/>
              <w:bottom w:val="nil"/>
            </w:tcBorders>
          </w:tcPr>
          <w:p w:rsidR="00E35632" w:rsidRDefault="00E35632">
            <w:pPr>
              <w:pStyle w:val="ConsPlusNormal"/>
              <w:jc w:val="center"/>
            </w:pPr>
            <w:r>
              <w:t>1,80</w:t>
            </w:r>
          </w:p>
        </w:tc>
      </w:tr>
      <w:tr w:rsidR="00E35632">
        <w:tblPrEx>
          <w:tblBorders>
            <w:insideH w:val="none" w:sz="0" w:space="0" w:color="auto"/>
          </w:tblBorders>
        </w:tblPrEx>
        <w:tc>
          <w:tcPr>
            <w:tcW w:w="4649" w:type="dxa"/>
            <w:tcBorders>
              <w:top w:val="nil"/>
              <w:bottom w:val="nil"/>
            </w:tcBorders>
          </w:tcPr>
          <w:p w:rsidR="00E35632" w:rsidRDefault="00E35632">
            <w:pPr>
              <w:pStyle w:val="ConsPlusNormal"/>
            </w:pPr>
            <w:r>
              <w:t xml:space="preserve">Природная влажность </w:t>
            </w:r>
            <w:r>
              <w:rPr>
                <w:i/>
              </w:rPr>
              <w:t>w</w:t>
            </w:r>
            <w:r>
              <w:t>, доли единицы</w:t>
            </w:r>
          </w:p>
        </w:tc>
        <w:tc>
          <w:tcPr>
            <w:tcW w:w="1460" w:type="dxa"/>
            <w:tcBorders>
              <w:top w:val="nil"/>
              <w:bottom w:val="nil"/>
            </w:tcBorders>
          </w:tcPr>
          <w:p w:rsidR="00E35632" w:rsidRDefault="00E35632">
            <w:pPr>
              <w:pStyle w:val="ConsPlusNormal"/>
              <w:jc w:val="center"/>
            </w:pPr>
            <w:r>
              <w:t>3,0</w:t>
            </w:r>
          </w:p>
        </w:tc>
        <w:tc>
          <w:tcPr>
            <w:tcW w:w="1460" w:type="dxa"/>
            <w:tcBorders>
              <w:top w:val="nil"/>
              <w:bottom w:val="nil"/>
            </w:tcBorders>
          </w:tcPr>
          <w:p w:rsidR="00E35632" w:rsidRDefault="00E35632">
            <w:pPr>
              <w:pStyle w:val="ConsPlusNormal"/>
              <w:jc w:val="center"/>
            </w:pPr>
            <w:r>
              <w:t>2,2</w:t>
            </w:r>
          </w:p>
        </w:tc>
        <w:tc>
          <w:tcPr>
            <w:tcW w:w="1460" w:type="dxa"/>
            <w:tcBorders>
              <w:top w:val="nil"/>
              <w:bottom w:val="nil"/>
            </w:tcBorders>
          </w:tcPr>
          <w:p w:rsidR="00E35632" w:rsidRDefault="00E35632">
            <w:pPr>
              <w:pStyle w:val="ConsPlusNormal"/>
              <w:jc w:val="center"/>
            </w:pPr>
            <w:r>
              <w:t>1,7</w:t>
            </w:r>
          </w:p>
        </w:tc>
      </w:tr>
      <w:tr w:rsidR="00E35632">
        <w:tblPrEx>
          <w:tblBorders>
            <w:insideH w:val="none" w:sz="0" w:space="0" w:color="auto"/>
          </w:tblBorders>
        </w:tblPrEx>
        <w:tc>
          <w:tcPr>
            <w:tcW w:w="4649" w:type="dxa"/>
            <w:tcBorders>
              <w:top w:val="nil"/>
              <w:bottom w:val="nil"/>
            </w:tcBorders>
          </w:tcPr>
          <w:p w:rsidR="00E35632" w:rsidRDefault="00E35632">
            <w:pPr>
              <w:pStyle w:val="ConsPlusNormal"/>
            </w:pPr>
            <w:r>
              <w:t xml:space="preserve">Коэффициент пористости </w:t>
            </w:r>
            <w:r>
              <w:rPr>
                <w:i/>
              </w:rPr>
              <w:t>e</w:t>
            </w:r>
          </w:p>
        </w:tc>
        <w:tc>
          <w:tcPr>
            <w:tcW w:w="1460" w:type="dxa"/>
            <w:tcBorders>
              <w:top w:val="nil"/>
              <w:bottom w:val="nil"/>
            </w:tcBorders>
          </w:tcPr>
          <w:p w:rsidR="00E35632" w:rsidRDefault="00E35632">
            <w:pPr>
              <w:pStyle w:val="ConsPlusNormal"/>
              <w:jc w:val="center"/>
            </w:pPr>
            <w:r>
              <w:t>5,5</w:t>
            </w:r>
          </w:p>
        </w:tc>
        <w:tc>
          <w:tcPr>
            <w:tcW w:w="1460" w:type="dxa"/>
            <w:tcBorders>
              <w:top w:val="nil"/>
              <w:bottom w:val="nil"/>
            </w:tcBorders>
          </w:tcPr>
          <w:p w:rsidR="00E35632" w:rsidRDefault="00E35632">
            <w:pPr>
              <w:pStyle w:val="ConsPlusNormal"/>
              <w:jc w:val="center"/>
            </w:pPr>
            <w:r>
              <w:t>4,0</w:t>
            </w:r>
          </w:p>
        </w:tc>
        <w:tc>
          <w:tcPr>
            <w:tcW w:w="1460" w:type="dxa"/>
            <w:tcBorders>
              <w:top w:val="nil"/>
              <w:bottom w:val="nil"/>
            </w:tcBorders>
          </w:tcPr>
          <w:p w:rsidR="00E35632" w:rsidRDefault="00E35632">
            <w:pPr>
              <w:pStyle w:val="ConsPlusNormal"/>
              <w:jc w:val="center"/>
            </w:pPr>
            <w:r>
              <w:t>3,0</w:t>
            </w:r>
          </w:p>
        </w:tc>
      </w:tr>
      <w:tr w:rsidR="00E35632">
        <w:tblPrEx>
          <w:tblBorders>
            <w:insideH w:val="none" w:sz="0" w:space="0" w:color="auto"/>
          </w:tblBorders>
        </w:tblPrEx>
        <w:tc>
          <w:tcPr>
            <w:tcW w:w="4649" w:type="dxa"/>
            <w:tcBorders>
              <w:top w:val="nil"/>
              <w:bottom w:val="nil"/>
            </w:tcBorders>
          </w:tcPr>
          <w:p w:rsidR="00E35632" w:rsidRDefault="00E35632">
            <w:pPr>
              <w:pStyle w:val="ConsPlusNormal"/>
            </w:pPr>
            <w:r>
              <w:t xml:space="preserve">Угол внутреннего трения </w:t>
            </w:r>
            <w:r>
              <w:rPr>
                <w:noProof/>
                <w:position w:val="-2"/>
              </w:rPr>
              <w:drawing>
                <wp:inline distT="0" distB="0" distL="0" distR="0">
                  <wp:extent cx="160020" cy="175895"/>
                  <wp:effectExtent l="0" t="0" r="0" b="0"/>
                  <wp:docPr id="71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160020" cy="175895"/>
                          </a:xfrm>
                          <a:prstGeom prst="rect">
                            <a:avLst/>
                          </a:prstGeom>
                          <a:noFill/>
                          <a:ln>
                            <a:noFill/>
                          </a:ln>
                        </pic:spPr>
                      </pic:pic>
                    </a:graphicData>
                  </a:graphic>
                </wp:inline>
              </w:drawing>
            </w:r>
            <w:r>
              <w:t>, град.</w:t>
            </w:r>
          </w:p>
        </w:tc>
        <w:tc>
          <w:tcPr>
            <w:tcW w:w="1460" w:type="dxa"/>
            <w:tcBorders>
              <w:top w:val="nil"/>
              <w:bottom w:val="nil"/>
            </w:tcBorders>
          </w:tcPr>
          <w:p w:rsidR="00E35632" w:rsidRDefault="00E35632">
            <w:pPr>
              <w:pStyle w:val="ConsPlusNormal"/>
              <w:jc w:val="center"/>
            </w:pPr>
            <w:r>
              <w:t>22</w:t>
            </w:r>
          </w:p>
        </w:tc>
        <w:tc>
          <w:tcPr>
            <w:tcW w:w="1460" w:type="dxa"/>
            <w:tcBorders>
              <w:top w:val="nil"/>
              <w:bottom w:val="nil"/>
            </w:tcBorders>
          </w:tcPr>
          <w:p w:rsidR="00E35632" w:rsidRDefault="00E35632">
            <w:pPr>
              <w:pStyle w:val="ConsPlusNormal"/>
              <w:jc w:val="center"/>
            </w:pPr>
            <w:r>
              <w:t>12</w:t>
            </w:r>
          </w:p>
        </w:tc>
        <w:tc>
          <w:tcPr>
            <w:tcW w:w="1460" w:type="dxa"/>
            <w:tcBorders>
              <w:top w:val="nil"/>
              <w:bottom w:val="nil"/>
            </w:tcBorders>
          </w:tcPr>
          <w:p w:rsidR="00E35632" w:rsidRDefault="00E35632">
            <w:pPr>
              <w:pStyle w:val="ConsPlusNormal"/>
              <w:jc w:val="center"/>
            </w:pPr>
            <w:r>
              <w:t>10</w:t>
            </w:r>
          </w:p>
        </w:tc>
      </w:tr>
      <w:tr w:rsidR="00E35632">
        <w:tblPrEx>
          <w:tblBorders>
            <w:insideH w:val="none" w:sz="0" w:space="0" w:color="auto"/>
          </w:tblBorders>
        </w:tblPrEx>
        <w:tc>
          <w:tcPr>
            <w:tcW w:w="4649" w:type="dxa"/>
            <w:tcBorders>
              <w:top w:val="nil"/>
              <w:bottom w:val="nil"/>
            </w:tcBorders>
          </w:tcPr>
          <w:p w:rsidR="00E35632" w:rsidRDefault="00E35632">
            <w:pPr>
              <w:pStyle w:val="ConsPlusNormal"/>
            </w:pPr>
            <w:r>
              <w:t xml:space="preserve">Удельное сцепление </w:t>
            </w:r>
            <w:r>
              <w:rPr>
                <w:i/>
              </w:rPr>
              <w:t>c</w:t>
            </w:r>
            <w:r>
              <w:t>, кПа</w:t>
            </w:r>
          </w:p>
        </w:tc>
        <w:tc>
          <w:tcPr>
            <w:tcW w:w="1460" w:type="dxa"/>
            <w:tcBorders>
              <w:top w:val="nil"/>
              <w:bottom w:val="nil"/>
            </w:tcBorders>
          </w:tcPr>
          <w:p w:rsidR="00E35632" w:rsidRDefault="00E35632">
            <w:pPr>
              <w:pStyle w:val="ConsPlusNormal"/>
              <w:jc w:val="center"/>
            </w:pPr>
            <w:r>
              <w:t>20</w:t>
            </w:r>
          </w:p>
        </w:tc>
        <w:tc>
          <w:tcPr>
            <w:tcW w:w="1460" w:type="dxa"/>
            <w:tcBorders>
              <w:top w:val="nil"/>
              <w:bottom w:val="nil"/>
            </w:tcBorders>
          </w:tcPr>
          <w:p w:rsidR="00E35632" w:rsidRDefault="00E35632">
            <w:pPr>
              <w:pStyle w:val="ConsPlusNormal"/>
              <w:jc w:val="center"/>
            </w:pPr>
            <w:r>
              <w:t>25</w:t>
            </w:r>
          </w:p>
        </w:tc>
        <w:tc>
          <w:tcPr>
            <w:tcW w:w="1460" w:type="dxa"/>
            <w:tcBorders>
              <w:top w:val="nil"/>
              <w:bottom w:val="nil"/>
            </w:tcBorders>
          </w:tcPr>
          <w:p w:rsidR="00E35632" w:rsidRDefault="00E35632">
            <w:pPr>
              <w:pStyle w:val="ConsPlusNormal"/>
              <w:jc w:val="center"/>
            </w:pPr>
            <w:r>
              <w:t>30</w:t>
            </w:r>
          </w:p>
        </w:tc>
      </w:tr>
      <w:tr w:rsidR="00E35632">
        <w:tblPrEx>
          <w:tblBorders>
            <w:insideH w:val="none" w:sz="0" w:space="0" w:color="auto"/>
          </w:tblBorders>
        </w:tblPrEx>
        <w:tc>
          <w:tcPr>
            <w:tcW w:w="4649" w:type="dxa"/>
            <w:tcBorders>
              <w:top w:val="nil"/>
              <w:bottom w:val="nil"/>
            </w:tcBorders>
          </w:tcPr>
          <w:p w:rsidR="00E35632" w:rsidRDefault="00E35632">
            <w:pPr>
              <w:pStyle w:val="ConsPlusNormal"/>
            </w:pPr>
            <w:r>
              <w:t xml:space="preserve">Модуль деформации </w:t>
            </w:r>
            <w:r>
              <w:rPr>
                <w:i/>
              </w:rPr>
              <w:t>E</w:t>
            </w:r>
            <w:r>
              <w:t>, МПа</w:t>
            </w:r>
          </w:p>
        </w:tc>
        <w:tc>
          <w:tcPr>
            <w:tcW w:w="1460" w:type="dxa"/>
            <w:tcBorders>
              <w:top w:val="nil"/>
              <w:bottom w:val="nil"/>
            </w:tcBorders>
          </w:tcPr>
          <w:p w:rsidR="00E35632" w:rsidRDefault="00E35632">
            <w:pPr>
              <w:pStyle w:val="ConsPlusNormal"/>
              <w:jc w:val="center"/>
            </w:pPr>
            <w:r>
              <w:t>1,1</w:t>
            </w:r>
          </w:p>
        </w:tc>
        <w:tc>
          <w:tcPr>
            <w:tcW w:w="1460" w:type="dxa"/>
            <w:tcBorders>
              <w:top w:val="nil"/>
              <w:bottom w:val="nil"/>
            </w:tcBorders>
          </w:tcPr>
          <w:p w:rsidR="00E35632" w:rsidRDefault="00E35632">
            <w:pPr>
              <w:pStyle w:val="ConsPlusNormal"/>
              <w:jc w:val="center"/>
            </w:pPr>
            <w:r>
              <w:t>2,0</w:t>
            </w:r>
          </w:p>
        </w:tc>
        <w:tc>
          <w:tcPr>
            <w:tcW w:w="1460" w:type="dxa"/>
            <w:tcBorders>
              <w:top w:val="nil"/>
              <w:bottom w:val="nil"/>
            </w:tcBorders>
          </w:tcPr>
          <w:p w:rsidR="00E35632" w:rsidRDefault="00E35632">
            <w:pPr>
              <w:pStyle w:val="ConsPlusNormal"/>
              <w:jc w:val="center"/>
            </w:pPr>
            <w:r>
              <w:t>3,0</w:t>
            </w:r>
          </w:p>
        </w:tc>
      </w:tr>
      <w:tr w:rsidR="00E35632">
        <w:tblPrEx>
          <w:tblBorders>
            <w:insideH w:val="none" w:sz="0" w:space="0" w:color="auto"/>
          </w:tblBorders>
        </w:tblPrEx>
        <w:tc>
          <w:tcPr>
            <w:tcW w:w="4649" w:type="dxa"/>
            <w:tcBorders>
              <w:top w:val="nil"/>
              <w:bottom w:val="single" w:sz="4" w:space="0" w:color="auto"/>
            </w:tcBorders>
          </w:tcPr>
          <w:p w:rsidR="00E35632" w:rsidRDefault="00E35632">
            <w:pPr>
              <w:pStyle w:val="ConsPlusNormal"/>
            </w:pPr>
            <w:r>
              <w:t>Коэффициент бокового давления </w:t>
            </w:r>
            <w:r>
              <w:rPr>
                <w:noProof/>
                <w:position w:val="-6"/>
              </w:rPr>
              <w:drawing>
                <wp:inline distT="0" distB="0" distL="0" distR="0">
                  <wp:extent cx="142240" cy="219075"/>
                  <wp:effectExtent l="0" t="0" r="0" b="0"/>
                  <wp:docPr id="71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142240" cy="219075"/>
                          </a:xfrm>
                          <a:prstGeom prst="rect">
                            <a:avLst/>
                          </a:prstGeom>
                          <a:noFill/>
                          <a:ln>
                            <a:noFill/>
                          </a:ln>
                        </pic:spPr>
                      </pic:pic>
                    </a:graphicData>
                  </a:graphic>
                </wp:inline>
              </w:drawing>
            </w:r>
          </w:p>
        </w:tc>
        <w:tc>
          <w:tcPr>
            <w:tcW w:w="1460" w:type="dxa"/>
            <w:tcBorders>
              <w:top w:val="nil"/>
              <w:bottom w:val="single" w:sz="4" w:space="0" w:color="auto"/>
            </w:tcBorders>
          </w:tcPr>
          <w:p w:rsidR="00E35632" w:rsidRDefault="00E35632">
            <w:pPr>
              <w:pStyle w:val="ConsPlusNormal"/>
              <w:jc w:val="center"/>
            </w:pPr>
            <w:r>
              <w:t>0,24</w:t>
            </w:r>
          </w:p>
        </w:tc>
        <w:tc>
          <w:tcPr>
            <w:tcW w:w="1460" w:type="dxa"/>
            <w:tcBorders>
              <w:top w:val="nil"/>
              <w:bottom w:val="single" w:sz="4" w:space="0" w:color="auto"/>
            </w:tcBorders>
          </w:tcPr>
          <w:p w:rsidR="00E35632" w:rsidRDefault="00E35632">
            <w:pPr>
              <w:pStyle w:val="ConsPlusNormal"/>
              <w:jc w:val="center"/>
            </w:pPr>
            <w:r>
              <w:t>0,28</w:t>
            </w:r>
          </w:p>
        </w:tc>
        <w:tc>
          <w:tcPr>
            <w:tcW w:w="1460" w:type="dxa"/>
            <w:tcBorders>
              <w:top w:val="nil"/>
              <w:bottom w:val="single" w:sz="4" w:space="0" w:color="auto"/>
            </w:tcBorders>
          </w:tcPr>
          <w:p w:rsidR="00E35632" w:rsidRDefault="00E35632">
            <w:pPr>
              <w:pStyle w:val="ConsPlusNormal"/>
              <w:jc w:val="center"/>
            </w:pPr>
            <w:r>
              <w:t>0,32</w:t>
            </w:r>
          </w:p>
        </w:tc>
      </w:tr>
    </w:tbl>
    <w:p w:rsidR="00E35632" w:rsidRDefault="00E35632">
      <w:pPr>
        <w:pStyle w:val="ConsPlusNormal"/>
        <w:jc w:val="both"/>
      </w:pPr>
    </w:p>
    <w:p w:rsidR="00E35632" w:rsidRDefault="00E35632">
      <w:pPr>
        <w:pStyle w:val="ConsPlusNormal"/>
        <w:jc w:val="right"/>
      </w:pPr>
      <w:r>
        <w:t>Таблица Ж.3</w:t>
      </w:r>
    </w:p>
    <w:p w:rsidR="00E35632" w:rsidRDefault="00E35632">
      <w:pPr>
        <w:pStyle w:val="ConsPlusNormal"/>
        <w:jc w:val="both"/>
      </w:pPr>
    </w:p>
    <w:p w:rsidR="00E35632" w:rsidRDefault="00E35632">
      <w:pPr>
        <w:pStyle w:val="ConsPlusNormal"/>
        <w:jc w:val="center"/>
      </w:pPr>
      <w:r>
        <w:rPr>
          <w:b/>
        </w:rPr>
        <w:t>Средние значения модуля деформации илов</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000"/>
        <w:gridCol w:w="3060"/>
        <w:gridCol w:w="3000"/>
      </w:tblGrid>
      <w:tr w:rsidR="00E35632">
        <w:tc>
          <w:tcPr>
            <w:tcW w:w="3000" w:type="dxa"/>
            <w:vAlign w:val="center"/>
          </w:tcPr>
          <w:p w:rsidR="00E35632" w:rsidRDefault="00E35632">
            <w:pPr>
              <w:pStyle w:val="ConsPlusNormal"/>
              <w:jc w:val="center"/>
            </w:pPr>
            <w:r>
              <w:t>Ил</w:t>
            </w:r>
          </w:p>
        </w:tc>
        <w:tc>
          <w:tcPr>
            <w:tcW w:w="3060" w:type="dxa"/>
            <w:vAlign w:val="center"/>
          </w:tcPr>
          <w:p w:rsidR="00E35632" w:rsidRDefault="00E35632">
            <w:pPr>
              <w:pStyle w:val="ConsPlusNormal"/>
              <w:jc w:val="center"/>
            </w:pPr>
            <w:r>
              <w:t xml:space="preserve">Коэффициент пористости </w:t>
            </w:r>
            <w:r>
              <w:rPr>
                <w:i/>
              </w:rPr>
              <w:t>e</w:t>
            </w:r>
          </w:p>
        </w:tc>
        <w:tc>
          <w:tcPr>
            <w:tcW w:w="3000" w:type="dxa"/>
            <w:vAlign w:val="center"/>
          </w:tcPr>
          <w:p w:rsidR="00E35632" w:rsidRDefault="00E35632">
            <w:pPr>
              <w:pStyle w:val="ConsPlusNormal"/>
              <w:jc w:val="center"/>
            </w:pPr>
            <w:r>
              <w:t xml:space="preserve">Модуль деформации </w:t>
            </w:r>
            <w:r>
              <w:rPr>
                <w:i/>
              </w:rPr>
              <w:t>E</w:t>
            </w:r>
            <w:r>
              <w:t>, МПа</w:t>
            </w:r>
          </w:p>
        </w:tc>
      </w:tr>
      <w:tr w:rsidR="00E35632">
        <w:tc>
          <w:tcPr>
            <w:tcW w:w="3000" w:type="dxa"/>
            <w:vMerge w:val="restart"/>
          </w:tcPr>
          <w:p w:rsidR="00E35632" w:rsidRDefault="00E35632">
            <w:pPr>
              <w:pStyle w:val="ConsPlusNormal"/>
            </w:pPr>
            <w:r>
              <w:t>Супесчаный</w:t>
            </w:r>
          </w:p>
        </w:tc>
        <w:tc>
          <w:tcPr>
            <w:tcW w:w="3060" w:type="dxa"/>
            <w:tcBorders>
              <w:bottom w:val="nil"/>
            </w:tcBorders>
          </w:tcPr>
          <w:p w:rsidR="00E35632" w:rsidRDefault="00E35632">
            <w:pPr>
              <w:pStyle w:val="ConsPlusNormal"/>
              <w:jc w:val="center"/>
            </w:pPr>
            <w:r>
              <w:t>0,8</w:t>
            </w:r>
          </w:p>
        </w:tc>
        <w:tc>
          <w:tcPr>
            <w:tcW w:w="3000" w:type="dxa"/>
            <w:tcBorders>
              <w:bottom w:val="nil"/>
            </w:tcBorders>
          </w:tcPr>
          <w:p w:rsidR="00E35632" w:rsidRDefault="00E35632">
            <w:pPr>
              <w:pStyle w:val="ConsPlusNormal"/>
              <w:jc w:val="center"/>
            </w:pPr>
            <w:r>
              <w:t>5,1</w:t>
            </w:r>
          </w:p>
        </w:tc>
      </w:tr>
      <w:tr w:rsidR="00E35632">
        <w:tc>
          <w:tcPr>
            <w:tcW w:w="0" w:type="auto"/>
            <w:vMerge/>
          </w:tcPr>
          <w:p w:rsidR="00E35632" w:rsidRDefault="00E35632">
            <w:pPr>
              <w:pStyle w:val="ConsPlusNormal"/>
            </w:pPr>
          </w:p>
        </w:tc>
        <w:tc>
          <w:tcPr>
            <w:tcW w:w="3060" w:type="dxa"/>
            <w:tcBorders>
              <w:top w:val="nil"/>
            </w:tcBorders>
          </w:tcPr>
          <w:p w:rsidR="00E35632" w:rsidRDefault="00E35632">
            <w:pPr>
              <w:pStyle w:val="ConsPlusNormal"/>
              <w:jc w:val="center"/>
            </w:pPr>
            <w:r>
              <w:t>1,2</w:t>
            </w:r>
          </w:p>
        </w:tc>
        <w:tc>
          <w:tcPr>
            <w:tcW w:w="3000" w:type="dxa"/>
            <w:tcBorders>
              <w:top w:val="nil"/>
            </w:tcBorders>
          </w:tcPr>
          <w:p w:rsidR="00E35632" w:rsidRDefault="00E35632">
            <w:pPr>
              <w:pStyle w:val="ConsPlusNormal"/>
              <w:jc w:val="center"/>
            </w:pPr>
            <w:r>
              <w:t>3,3</w:t>
            </w:r>
          </w:p>
        </w:tc>
      </w:tr>
      <w:tr w:rsidR="00E35632">
        <w:tc>
          <w:tcPr>
            <w:tcW w:w="3000" w:type="dxa"/>
            <w:vMerge w:val="restart"/>
          </w:tcPr>
          <w:p w:rsidR="00E35632" w:rsidRDefault="00E35632">
            <w:pPr>
              <w:pStyle w:val="ConsPlusNormal"/>
            </w:pPr>
            <w:r>
              <w:t>Суглинистый</w:t>
            </w:r>
          </w:p>
        </w:tc>
        <w:tc>
          <w:tcPr>
            <w:tcW w:w="3060" w:type="dxa"/>
            <w:tcBorders>
              <w:bottom w:val="nil"/>
            </w:tcBorders>
          </w:tcPr>
          <w:p w:rsidR="00E35632" w:rsidRDefault="00E35632">
            <w:pPr>
              <w:pStyle w:val="ConsPlusNormal"/>
              <w:jc w:val="center"/>
            </w:pPr>
            <w:r>
              <w:t>0,9</w:t>
            </w:r>
          </w:p>
        </w:tc>
        <w:tc>
          <w:tcPr>
            <w:tcW w:w="3000" w:type="dxa"/>
            <w:tcBorders>
              <w:bottom w:val="nil"/>
            </w:tcBorders>
          </w:tcPr>
          <w:p w:rsidR="00E35632" w:rsidRDefault="00E35632">
            <w:pPr>
              <w:pStyle w:val="ConsPlusNormal"/>
              <w:jc w:val="center"/>
            </w:pPr>
            <w:r>
              <w:t>2,0</w:t>
            </w:r>
          </w:p>
        </w:tc>
      </w:tr>
      <w:tr w:rsidR="00E35632">
        <w:tc>
          <w:tcPr>
            <w:tcW w:w="0" w:type="auto"/>
            <w:vMerge/>
          </w:tcPr>
          <w:p w:rsidR="00E35632" w:rsidRDefault="00E35632">
            <w:pPr>
              <w:pStyle w:val="ConsPlusNormal"/>
            </w:pPr>
          </w:p>
        </w:tc>
        <w:tc>
          <w:tcPr>
            <w:tcW w:w="3060" w:type="dxa"/>
            <w:tcBorders>
              <w:top w:val="nil"/>
            </w:tcBorders>
          </w:tcPr>
          <w:p w:rsidR="00E35632" w:rsidRDefault="00E35632">
            <w:pPr>
              <w:pStyle w:val="ConsPlusNormal"/>
              <w:jc w:val="center"/>
            </w:pPr>
            <w:r>
              <w:t>1,6</w:t>
            </w:r>
          </w:p>
        </w:tc>
        <w:tc>
          <w:tcPr>
            <w:tcW w:w="3000" w:type="dxa"/>
            <w:tcBorders>
              <w:top w:val="nil"/>
            </w:tcBorders>
          </w:tcPr>
          <w:p w:rsidR="00E35632" w:rsidRDefault="00E35632">
            <w:pPr>
              <w:pStyle w:val="ConsPlusNormal"/>
              <w:jc w:val="center"/>
            </w:pPr>
            <w:r>
              <w:t>1,2</w:t>
            </w:r>
          </w:p>
        </w:tc>
      </w:tr>
      <w:tr w:rsidR="00E35632">
        <w:tc>
          <w:tcPr>
            <w:tcW w:w="3000" w:type="dxa"/>
            <w:vMerge w:val="restart"/>
          </w:tcPr>
          <w:p w:rsidR="00E35632" w:rsidRDefault="00E35632">
            <w:pPr>
              <w:pStyle w:val="ConsPlusNormal"/>
            </w:pPr>
            <w:r>
              <w:t>Глинистый</w:t>
            </w:r>
          </w:p>
        </w:tc>
        <w:tc>
          <w:tcPr>
            <w:tcW w:w="3060" w:type="dxa"/>
            <w:tcBorders>
              <w:bottom w:val="nil"/>
            </w:tcBorders>
          </w:tcPr>
          <w:p w:rsidR="00E35632" w:rsidRDefault="00E35632">
            <w:pPr>
              <w:pStyle w:val="ConsPlusNormal"/>
              <w:jc w:val="center"/>
            </w:pPr>
            <w:r>
              <w:t>1,2</w:t>
            </w:r>
          </w:p>
        </w:tc>
        <w:tc>
          <w:tcPr>
            <w:tcW w:w="3000" w:type="dxa"/>
            <w:tcBorders>
              <w:bottom w:val="nil"/>
            </w:tcBorders>
          </w:tcPr>
          <w:p w:rsidR="00E35632" w:rsidRDefault="00E35632">
            <w:pPr>
              <w:pStyle w:val="ConsPlusNormal"/>
              <w:jc w:val="center"/>
            </w:pPr>
            <w:r>
              <w:t>1,6</w:t>
            </w:r>
          </w:p>
        </w:tc>
      </w:tr>
      <w:tr w:rsidR="00E35632">
        <w:tblPrEx>
          <w:tblBorders>
            <w:insideH w:val="nil"/>
          </w:tblBorders>
        </w:tblPrEx>
        <w:tc>
          <w:tcPr>
            <w:tcW w:w="0" w:type="auto"/>
            <w:vMerge/>
          </w:tcPr>
          <w:p w:rsidR="00E35632" w:rsidRDefault="00E35632">
            <w:pPr>
              <w:pStyle w:val="ConsPlusNormal"/>
            </w:pPr>
          </w:p>
        </w:tc>
        <w:tc>
          <w:tcPr>
            <w:tcW w:w="3060" w:type="dxa"/>
            <w:tcBorders>
              <w:top w:val="nil"/>
            </w:tcBorders>
          </w:tcPr>
          <w:p w:rsidR="00E35632" w:rsidRDefault="00E35632">
            <w:pPr>
              <w:pStyle w:val="ConsPlusNormal"/>
              <w:jc w:val="center"/>
            </w:pPr>
            <w:r>
              <w:t>2,0</w:t>
            </w:r>
          </w:p>
        </w:tc>
        <w:tc>
          <w:tcPr>
            <w:tcW w:w="3000" w:type="dxa"/>
            <w:tcBorders>
              <w:top w:val="nil"/>
            </w:tcBorders>
          </w:tcPr>
          <w:p w:rsidR="00E35632" w:rsidRDefault="00E35632">
            <w:pPr>
              <w:pStyle w:val="ConsPlusNormal"/>
              <w:jc w:val="center"/>
            </w:pPr>
            <w:r>
              <w:t>0,8</w:t>
            </w:r>
          </w:p>
        </w:tc>
      </w:tr>
    </w:tbl>
    <w:p w:rsidR="00E35632" w:rsidRDefault="00E35632">
      <w:pPr>
        <w:pStyle w:val="ConsPlusNormal"/>
        <w:jc w:val="both"/>
      </w:pPr>
    </w:p>
    <w:p w:rsidR="00E35632" w:rsidRDefault="00E35632">
      <w:pPr>
        <w:pStyle w:val="ConsPlusNormal"/>
        <w:jc w:val="right"/>
      </w:pPr>
      <w:r>
        <w:t>Таблица Ж.4</w:t>
      </w:r>
    </w:p>
    <w:p w:rsidR="00E35632" w:rsidRDefault="00E35632">
      <w:pPr>
        <w:pStyle w:val="ConsPlusNormal"/>
        <w:jc w:val="both"/>
      </w:pPr>
    </w:p>
    <w:p w:rsidR="00E35632" w:rsidRDefault="00E35632">
      <w:pPr>
        <w:pStyle w:val="ConsPlusNormal"/>
        <w:jc w:val="center"/>
      </w:pPr>
      <w:bookmarkStart w:id="309" w:name="P7247"/>
      <w:bookmarkEnd w:id="309"/>
      <w:r>
        <w:rPr>
          <w:b/>
        </w:rPr>
        <w:t>Значения физико-механических характеристик сапропелей</w:t>
      </w:r>
    </w:p>
    <w:p w:rsidR="00E35632" w:rsidRDefault="00E35632">
      <w:pPr>
        <w:pStyle w:val="ConsPlusNormal"/>
        <w:jc w:val="both"/>
      </w:pPr>
    </w:p>
    <w:p w:rsidR="00E35632" w:rsidRDefault="00E35632">
      <w:pPr>
        <w:pStyle w:val="ConsPlusNormal"/>
        <w:sectPr w:rsidR="00E35632">
          <w:pgSz w:w="11905" w:h="16838"/>
          <w:pgMar w:top="1134" w:right="850" w:bottom="1134" w:left="1701" w:header="0" w:footer="0" w:gutter="0"/>
          <w:cols w:space="720"/>
          <w:titlePg/>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260"/>
        <w:gridCol w:w="1013"/>
        <w:gridCol w:w="1267"/>
        <w:gridCol w:w="999"/>
        <w:gridCol w:w="926"/>
        <w:gridCol w:w="955"/>
        <w:gridCol w:w="960"/>
        <w:gridCol w:w="960"/>
        <w:gridCol w:w="1262"/>
        <w:gridCol w:w="1138"/>
      </w:tblGrid>
      <w:tr w:rsidR="00E35632">
        <w:tc>
          <w:tcPr>
            <w:tcW w:w="2273" w:type="dxa"/>
            <w:gridSpan w:val="2"/>
            <w:vMerge w:val="restart"/>
            <w:vAlign w:val="center"/>
          </w:tcPr>
          <w:p w:rsidR="00E35632" w:rsidRDefault="00E35632">
            <w:pPr>
              <w:pStyle w:val="ConsPlusNormal"/>
              <w:jc w:val="center"/>
            </w:pPr>
            <w:r>
              <w:t>Тип залегания</w:t>
            </w:r>
          </w:p>
        </w:tc>
        <w:tc>
          <w:tcPr>
            <w:tcW w:w="1267" w:type="dxa"/>
            <w:vMerge w:val="restart"/>
            <w:vAlign w:val="center"/>
          </w:tcPr>
          <w:p w:rsidR="00E35632" w:rsidRDefault="00E35632">
            <w:pPr>
              <w:pStyle w:val="ConsPlusNormal"/>
              <w:jc w:val="center"/>
            </w:pPr>
            <w:r>
              <w:t>Разновидность сапропелей</w:t>
            </w:r>
          </w:p>
        </w:tc>
        <w:tc>
          <w:tcPr>
            <w:tcW w:w="1925" w:type="dxa"/>
            <w:gridSpan w:val="2"/>
            <w:vAlign w:val="center"/>
          </w:tcPr>
          <w:p w:rsidR="00E35632" w:rsidRDefault="00E35632">
            <w:pPr>
              <w:pStyle w:val="ConsPlusNormal"/>
              <w:jc w:val="center"/>
            </w:pPr>
            <w:r>
              <w:t>Содержание веществ</w:t>
            </w:r>
          </w:p>
        </w:tc>
        <w:tc>
          <w:tcPr>
            <w:tcW w:w="955" w:type="dxa"/>
            <w:vMerge w:val="restart"/>
            <w:vAlign w:val="center"/>
          </w:tcPr>
          <w:p w:rsidR="00E35632" w:rsidRDefault="00E35632">
            <w:pPr>
              <w:pStyle w:val="ConsPlusNormal"/>
              <w:jc w:val="center"/>
            </w:pPr>
            <w:r>
              <w:t xml:space="preserve">Влажность </w:t>
            </w:r>
            <w:r>
              <w:rPr>
                <w:i/>
              </w:rPr>
              <w:t>w</w:t>
            </w:r>
            <w:r>
              <w:t>, доли единицы</w:t>
            </w:r>
          </w:p>
        </w:tc>
        <w:tc>
          <w:tcPr>
            <w:tcW w:w="960" w:type="dxa"/>
            <w:vMerge w:val="restart"/>
            <w:vAlign w:val="center"/>
          </w:tcPr>
          <w:p w:rsidR="00E35632" w:rsidRDefault="00E35632">
            <w:pPr>
              <w:pStyle w:val="ConsPlusNormal"/>
              <w:jc w:val="center"/>
            </w:pPr>
            <w:r>
              <w:t xml:space="preserve">Плотность частиц грунта </w:t>
            </w:r>
            <w:r>
              <w:rPr>
                <w:noProof/>
                <w:position w:val="-8"/>
              </w:rPr>
              <w:drawing>
                <wp:inline distT="0" distB="0" distL="0" distR="0">
                  <wp:extent cx="200660" cy="250825"/>
                  <wp:effectExtent l="0" t="0" r="0" b="0"/>
                  <wp:docPr id="71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г/см</w:t>
            </w:r>
            <w:r>
              <w:rPr>
                <w:vertAlign w:val="superscript"/>
              </w:rPr>
              <w:t>3</w:t>
            </w:r>
          </w:p>
        </w:tc>
        <w:tc>
          <w:tcPr>
            <w:tcW w:w="960" w:type="dxa"/>
            <w:vMerge w:val="restart"/>
            <w:vAlign w:val="center"/>
          </w:tcPr>
          <w:p w:rsidR="00E35632" w:rsidRDefault="00E35632">
            <w:pPr>
              <w:pStyle w:val="ConsPlusNormal"/>
              <w:jc w:val="center"/>
            </w:pPr>
            <w:r>
              <w:t xml:space="preserve">Коэффициент пористости </w:t>
            </w:r>
            <w:r>
              <w:rPr>
                <w:i/>
              </w:rPr>
              <w:t>e</w:t>
            </w:r>
          </w:p>
        </w:tc>
        <w:tc>
          <w:tcPr>
            <w:tcW w:w="1262" w:type="dxa"/>
            <w:vMerge w:val="restart"/>
            <w:vAlign w:val="center"/>
          </w:tcPr>
          <w:p w:rsidR="00E35632" w:rsidRDefault="00E35632">
            <w:pPr>
              <w:pStyle w:val="ConsPlusNormal"/>
              <w:jc w:val="center"/>
            </w:pPr>
            <w:r>
              <w:t xml:space="preserve">Модуль деформации </w:t>
            </w:r>
            <w:r>
              <w:rPr>
                <w:i/>
              </w:rPr>
              <w:t>E</w:t>
            </w:r>
            <w:r>
              <w:t xml:space="preserve">, МПа (при </w:t>
            </w:r>
            <w:r>
              <w:rPr>
                <w:i/>
              </w:rPr>
              <w:t>p</w:t>
            </w:r>
            <w:r>
              <w:t xml:space="preserve"> = 0,05 МПа)</w:t>
            </w:r>
          </w:p>
        </w:tc>
        <w:tc>
          <w:tcPr>
            <w:tcW w:w="1138" w:type="dxa"/>
            <w:vMerge w:val="restart"/>
            <w:vAlign w:val="center"/>
          </w:tcPr>
          <w:p w:rsidR="00E35632" w:rsidRDefault="00E35632">
            <w:pPr>
              <w:pStyle w:val="ConsPlusNormal"/>
              <w:jc w:val="center"/>
            </w:pPr>
            <w:r>
              <w:t xml:space="preserve">Сопротивление вращательному срезу </w:t>
            </w:r>
            <w:r>
              <w:rPr>
                <w:noProof/>
                <w:position w:val="-1"/>
              </w:rPr>
              <w:drawing>
                <wp:inline distT="0" distB="0" distL="0" distR="0">
                  <wp:extent cx="142240" cy="160020"/>
                  <wp:effectExtent l="0" t="0" r="0" b="0"/>
                  <wp:docPr id="72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r>
              <w:t>, кПа</w:t>
            </w:r>
          </w:p>
        </w:tc>
      </w:tr>
      <w:tr w:rsidR="00E35632">
        <w:tc>
          <w:tcPr>
            <w:tcW w:w="0" w:type="auto"/>
            <w:gridSpan w:val="2"/>
            <w:vMerge/>
          </w:tcPr>
          <w:p w:rsidR="00E35632" w:rsidRDefault="00E35632">
            <w:pPr>
              <w:pStyle w:val="ConsPlusNormal"/>
            </w:pPr>
          </w:p>
        </w:tc>
        <w:tc>
          <w:tcPr>
            <w:tcW w:w="0" w:type="auto"/>
            <w:vMerge/>
          </w:tcPr>
          <w:p w:rsidR="00E35632" w:rsidRDefault="00E35632">
            <w:pPr>
              <w:pStyle w:val="ConsPlusNormal"/>
            </w:pPr>
          </w:p>
        </w:tc>
        <w:tc>
          <w:tcPr>
            <w:tcW w:w="999" w:type="dxa"/>
            <w:vAlign w:val="center"/>
          </w:tcPr>
          <w:p w:rsidR="00E35632" w:rsidRDefault="00E35632">
            <w:pPr>
              <w:pStyle w:val="ConsPlusNormal"/>
              <w:jc w:val="center"/>
            </w:pPr>
            <w:r>
              <w:t xml:space="preserve">Органических </w:t>
            </w:r>
            <w:r>
              <w:rPr>
                <w:i/>
              </w:rPr>
              <w:t>I</w:t>
            </w:r>
            <w:r>
              <w:rPr>
                <w:i/>
                <w:vertAlign w:val="subscript"/>
              </w:rPr>
              <w:t>r</w:t>
            </w:r>
            <w:r>
              <w:t>, %</w:t>
            </w:r>
          </w:p>
        </w:tc>
        <w:tc>
          <w:tcPr>
            <w:tcW w:w="926" w:type="dxa"/>
            <w:vAlign w:val="center"/>
          </w:tcPr>
          <w:p w:rsidR="00E35632" w:rsidRDefault="00E35632">
            <w:pPr>
              <w:pStyle w:val="ConsPlusNormal"/>
              <w:jc w:val="center"/>
            </w:pPr>
            <w:r>
              <w:t>карбонатных CaCO</w:t>
            </w:r>
            <w:r>
              <w:rPr>
                <w:vertAlign w:val="subscript"/>
              </w:rPr>
              <w:t>3</w:t>
            </w:r>
            <w:r>
              <w:t>, %</w:t>
            </w:r>
          </w:p>
        </w:tc>
        <w:tc>
          <w:tcPr>
            <w:tcW w:w="0" w:type="auto"/>
            <w:vMerge/>
          </w:tcPr>
          <w:p w:rsidR="00E35632" w:rsidRDefault="00E35632">
            <w:pPr>
              <w:pStyle w:val="ConsPlusNormal"/>
            </w:pPr>
          </w:p>
        </w:tc>
        <w:tc>
          <w:tcPr>
            <w:tcW w:w="0" w:type="auto"/>
            <w:vMerge/>
          </w:tcPr>
          <w:p w:rsidR="00E35632" w:rsidRDefault="00E35632">
            <w:pPr>
              <w:pStyle w:val="ConsPlusNormal"/>
            </w:pPr>
          </w:p>
        </w:tc>
        <w:tc>
          <w:tcPr>
            <w:tcW w:w="0" w:type="auto"/>
            <w:vMerge/>
          </w:tcPr>
          <w:p w:rsidR="00E35632" w:rsidRDefault="00E35632">
            <w:pPr>
              <w:pStyle w:val="ConsPlusNormal"/>
            </w:pPr>
          </w:p>
        </w:tc>
        <w:tc>
          <w:tcPr>
            <w:tcW w:w="0" w:type="auto"/>
            <w:vMerge/>
          </w:tcPr>
          <w:p w:rsidR="00E35632" w:rsidRDefault="00E35632">
            <w:pPr>
              <w:pStyle w:val="ConsPlusNormal"/>
            </w:pPr>
          </w:p>
        </w:tc>
        <w:tc>
          <w:tcPr>
            <w:tcW w:w="0" w:type="auto"/>
            <w:vMerge/>
          </w:tcPr>
          <w:p w:rsidR="00E35632" w:rsidRDefault="00E35632">
            <w:pPr>
              <w:pStyle w:val="ConsPlusNormal"/>
            </w:pPr>
          </w:p>
        </w:tc>
      </w:tr>
      <w:tr w:rsidR="00E35632">
        <w:tc>
          <w:tcPr>
            <w:tcW w:w="1260" w:type="dxa"/>
            <w:vMerge w:val="restart"/>
          </w:tcPr>
          <w:p w:rsidR="00E35632" w:rsidRDefault="00E35632">
            <w:pPr>
              <w:pStyle w:val="ConsPlusNormal"/>
            </w:pPr>
            <w:r>
              <w:t>Неуплотненные в природном залегании</w:t>
            </w:r>
          </w:p>
        </w:tc>
        <w:tc>
          <w:tcPr>
            <w:tcW w:w="1013" w:type="dxa"/>
            <w:vMerge w:val="restart"/>
          </w:tcPr>
          <w:p w:rsidR="00E35632" w:rsidRDefault="00E35632">
            <w:pPr>
              <w:pStyle w:val="ConsPlusNormal"/>
            </w:pPr>
            <w:r>
              <w:t>Озерные под слоем воды</w:t>
            </w:r>
          </w:p>
        </w:tc>
        <w:tc>
          <w:tcPr>
            <w:tcW w:w="1267" w:type="dxa"/>
          </w:tcPr>
          <w:p w:rsidR="00E35632" w:rsidRDefault="00E35632">
            <w:pPr>
              <w:pStyle w:val="ConsPlusNormal"/>
            </w:pPr>
            <w:r>
              <w:t>Высокоминеральные</w:t>
            </w:r>
          </w:p>
        </w:tc>
        <w:tc>
          <w:tcPr>
            <w:tcW w:w="999" w:type="dxa"/>
          </w:tcPr>
          <w:p w:rsidR="00E35632" w:rsidRDefault="00E35632">
            <w:pPr>
              <w:pStyle w:val="ConsPlusNormal"/>
              <w:jc w:val="center"/>
            </w:pPr>
            <w:r>
              <w:t>10 - 30</w:t>
            </w:r>
          </w:p>
        </w:tc>
        <w:tc>
          <w:tcPr>
            <w:tcW w:w="926" w:type="dxa"/>
          </w:tcPr>
          <w:p w:rsidR="00E35632" w:rsidRDefault="00E35632">
            <w:pPr>
              <w:pStyle w:val="ConsPlusNormal"/>
              <w:jc w:val="center"/>
            </w:pPr>
            <w:r>
              <w:t>30</w:t>
            </w:r>
          </w:p>
        </w:tc>
        <w:tc>
          <w:tcPr>
            <w:tcW w:w="955" w:type="dxa"/>
          </w:tcPr>
          <w:p w:rsidR="00E35632" w:rsidRDefault="00E35632">
            <w:pPr>
              <w:pStyle w:val="ConsPlusNormal"/>
              <w:jc w:val="center"/>
            </w:pPr>
            <w:r>
              <w:t>1,5 - 4,5</w:t>
            </w:r>
          </w:p>
        </w:tc>
        <w:tc>
          <w:tcPr>
            <w:tcW w:w="960" w:type="dxa"/>
          </w:tcPr>
          <w:p w:rsidR="00E35632" w:rsidRDefault="00E35632">
            <w:pPr>
              <w:pStyle w:val="ConsPlusNormal"/>
              <w:jc w:val="center"/>
            </w:pPr>
            <w:r>
              <w:t>2,0 - 2,5</w:t>
            </w:r>
          </w:p>
        </w:tc>
        <w:tc>
          <w:tcPr>
            <w:tcW w:w="960" w:type="dxa"/>
          </w:tcPr>
          <w:p w:rsidR="00E35632" w:rsidRDefault="00E35632">
            <w:pPr>
              <w:pStyle w:val="ConsPlusNormal"/>
              <w:jc w:val="center"/>
            </w:pPr>
            <w:r>
              <w:t>5 - 12</w:t>
            </w:r>
          </w:p>
        </w:tc>
        <w:tc>
          <w:tcPr>
            <w:tcW w:w="1262" w:type="dxa"/>
          </w:tcPr>
          <w:p w:rsidR="00E35632" w:rsidRDefault="00E35632">
            <w:pPr>
              <w:pStyle w:val="ConsPlusNormal"/>
              <w:jc w:val="center"/>
            </w:pPr>
            <w:r>
              <w:t>0,25 - 0,6</w:t>
            </w:r>
          </w:p>
        </w:tc>
        <w:tc>
          <w:tcPr>
            <w:tcW w:w="1138" w:type="dxa"/>
          </w:tcPr>
          <w:p w:rsidR="00E35632" w:rsidRDefault="00E35632">
            <w:pPr>
              <w:pStyle w:val="ConsPlusNormal"/>
              <w:jc w:val="center"/>
            </w:pPr>
            <w:r>
              <w:t>4 - 6</w:t>
            </w:r>
          </w:p>
        </w:tc>
      </w:tr>
      <w:tr w:rsidR="00E35632">
        <w:tc>
          <w:tcPr>
            <w:tcW w:w="0" w:type="auto"/>
            <w:vMerge/>
          </w:tcPr>
          <w:p w:rsidR="00E35632" w:rsidRDefault="00E35632">
            <w:pPr>
              <w:pStyle w:val="ConsPlusNormal"/>
            </w:pPr>
          </w:p>
        </w:tc>
        <w:tc>
          <w:tcPr>
            <w:tcW w:w="0" w:type="auto"/>
            <w:vMerge/>
          </w:tcPr>
          <w:p w:rsidR="00E35632" w:rsidRDefault="00E35632">
            <w:pPr>
              <w:pStyle w:val="ConsPlusNormal"/>
            </w:pPr>
          </w:p>
        </w:tc>
        <w:tc>
          <w:tcPr>
            <w:tcW w:w="1267" w:type="dxa"/>
          </w:tcPr>
          <w:p w:rsidR="00E35632" w:rsidRDefault="00E35632">
            <w:pPr>
              <w:pStyle w:val="ConsPlusNormal"/>
            </w:pPr>
            <w:r>
              <w:t>Среднеминеральные</w:t>
            </w:r>
          </w:p>
        </w:tc>
        <w:tc>
          <w:tcPr>
            <w:tcW w:w="999" w:type="dxa"/>
          </w:tcPr>
          <w:p w:rsidR="00E35632" w:rsidRDefault="00E35632">
            <w:pPr>
              <w:pStyle w:val="ConsPlusNormal"/>
              <w:jc w:val="center"/>
            </w:pPr>
            <w:r>
              <w:t>30 - 50</w:t>
            </w:r>
          </w:p>
        </w:tc>
        <w:tc>
          <w:tcPr>
            <w:tcW w:w="926" w:type="dxa"/>
          </w:tcPr>
          <w:p w:rsidR="00E35632" w:rsidRDefault="00E35632">
            <w:pPr>
              <w:pStyle w:val="ConsPlusNormal"/>
              <w:jc w:val="center"/>
            </w:pPr>
            <w:r>
              <w:t>30</w:t>
            </w:r>
          </w:p>
        </w:tc>
        <w:tc>
          <w:tcPr>
            <w:tcW w:w="955" w:type="dxa"/>
          </w:tcPr>
          <w:p w:rsidR="00E35632" w:rsidRDefault="00E35632">
            <w:pPr>
              <w:pStyle w:val="ConsPlusNormal"/>
              <w:jc w:val="center"/>
            </w:pPr>
            <w:r>
              <w:t>3 - 6</w:t>
            </w:r>
          </w:p>
        </w:tc>
        <w:tc>
          <w:tcPr>
            <w:tcW w:w="960" w:type="dxa"/>
          </w:tcPr>
          <w:p w:rsidR="00E35632" w:rsidRDefault="00E35632">
            <w:pPr>
              <w:pStyle w:val="ConsPlusNormal"/>
              <w:jc w:val="center"/>
            </w:pPr>
            <w:r>
              <w:t>1,8 - 2,0</w:t>
            </w:r>
          </w:p>
        </w:tc>
        <w:tc>
          <w:tcPr>
            <w:tcW w:w="960" w:type="dxa"/>
          </w:tcPr>
          <w:p w:rsidR="00E35632" w:rsidRDefault="00E35632">
            <w:pPr>
              <w:pStyle w:val="ConsPlusNormal"/>
              <w:jc w:val="center"/>
            </w:pPr>
            <w:r>
              <w:t>9 - 12</w:t>
            </w:r>
          </w:p>
        </w:tc>
        <w:tc>
          <w:tcPr>
            <w:tcW w:w="1262" w:type="dxa"/>
          </w:tcPr>
          <w:p w:rsidR="00E35632" w:rsidRDefault="00E35632">
            <w:pPr>
              <w:pStyle w:val="ConsPlusNormal"/>
              <w:jc w:val="center"/>
            </w:pPr>
            <w:r>
              <w:t>0,1 - 0,3</w:t>
            </w:r>
          </w:p>
        </w:tc>
        <w:tc>
          <w:tcPr>
            <w:tcW w:w="1138" w:type="dxa"/>
          </w:tcPr>
          <w:p w:rsidR="00E35632" w:rsidRDefault="00E35632">
            <w:pPr>
              <w:pStyle w:val="ConsPlusNormal"/>
              <w:jc w:val="center"/>
            </w:pPr>
            <w:r>
              <w:t>2 - 4</w:t>
            </w:r>
          </w:p>
        </w:tc>
      </w:tr>
      <w:tr w:rsidR="00E35632">
        <w:tc>
          <w:tcPr>
            <w:tcW w:w="0" w:type="auto"/>
            <w:vMerge/>
          </w:tcPr>
          <w:p w:rsidR="00E35632" w:rsidRDefault="00E35632">
            <w:pPr>
              <w:pStyle w:val="ConsPlusNormal"/>
            </w:pPr>
          </w:p>
        </w:tc>
        <w:tc>
          <w:tcPr>
            <w:tcW w:w="0" w:type="auto"/>
            <w:vMerge/>
          </w:tcPr>
          <w:p w:rsidR="00E35632" w:rsidRDefault="00E35632">
            <w:pPr>
              <w:pStyle w:val="ConsPlusNormal"/>
            </w:pPr>
          </w:p>
        </w:tc>
        <w:tc>
          <w:tcPr>
            <w:tcW w:w="1267" w:type="dxa"/>
          </w:tcPr>
          <w:p w:rsidR="00E35632" w:rsidRDefault="00E35632">
            <w:pPr>
              <w:pStyle w:val="ConsPlusNormal"/>
            </w:pPr>
            <w:r>
              <w:t>Низкоминеральные</w:t>
            </w:r>
          </w:p>
        </w:tc>
        <w:tc>
          <w:tcPr>
            <w:tcW w:w="999" w:type="dxa"/>
          </w:tcPr>
          <w:p w:rsidR="00E35632" w:rsidRDefault="00E35632">
            <w:pPr>
              <w:pStyle w:val="ConsPlusNormal"/>
              <w:jc w:val="center"/>
            </w:pPr>
            <w:r>
              <w:t>&gt; 50</w:t>
            </w:r>
          </w:p>
        </w:tc>
        <w:tc>
          <w:tcPr>
            <w:tcW w:w="926" w:type="dxa"/>
          </w:tcPr>
          <w:p w:rsidR="00E35632" w:rsidRDefault="00E35632">
            <w:pPr>
              <w:pStyle w:val="ConsPlusNormal"/>
              <w:jc w:val="center"/>
            </w:pPr>
            <w:r>
              <w:t>30</w:t>
            </w:r>
          </w:p>
        </w:tc>
        <w:tc>
          <w:tcPr>
            <w:tcW w:w="955" w:type="dxa"/>
          </w:tcPr>
          <w:p w:rsidR="00E35632" w:rsidRDefault="00E35632">
            <w:pPr>
              <w:pStyle w:val="ConsPlusNormal"/>
              <w:jc w:val="center"/>
            </w:pPr>
            <w:r>
              <w:t>6 - 20</w:t>
            </w:r>
          </w:p>
        </w:tc>
        <w:tc>
          <w:tcPr>
            <w:tcW w:w="960" w:type="dxa"/>
          </w:tcPr>
          <w:p w:rsidR="00E35632" w:rsidRDefault="00E35632">
            <w:pPr>
              <w:pStyle w:val="ConsPlusNormal"/>
              <w:jc w:val="center"/>
            </w:pPr>
            <w:r>
              <w:t>1,4 - 1,8</w:t>
            </w:r>
          </w:p>
        </w:tc>
        <w:tc>
          <w:tcPr>
            <w:tcW w:w="960" w:type="dxa"/>
          </w:tcPr>
          <w:p w:rsidR="00E35632" w:rsidRDefault="00E35632">
            <w:pPr>
              <w:pStyle w:val="ConsPlusNormal"/>
              <w:jc w:val="center"/>
            </w:pPr>
            <w:r>
              <w:t>12 - 25</w:t>
            </w:r>
          </w:p>
        </w:tc>
        <w:tc>
          <w:tcPr>
            <w:tcW w:w="1262" w:type="dxa"/>
          </w:tcPr>
          <w:p w:rsidR="00E35632" w:rsidRDefault="00E35632">
            <w:pPr>
              <w:pStyle w:val="ConsPlusNormal"/>
              <w:jc w:val="center"/>
            </w:pPr>
            <w:r>
              <w:t>0,03 - 0,1</w:t>
            </w:r>
          </w:p>
        </w:tc>
        <w:tc>
          <w:tcPr>
            <w:tcW w:w="1138" w:type="dxa"/>
          </w:tcPr>
          <w:p w:rsidR="00E35632" w:rsidRDefault="00E35632">
            <w:pPr>
              <w:pStyle w:val="ConsPlusNormal"/>
              <w:jc w:val="center"/>
            </w:pPr>
            <w:r>
              <w:t>&lt; 2</w:t>
            </w:r>
          </w:p>
        </w:tc>
      </w:tr>
      <w:tr w:rsidR="00E35632">
        <w:tc>
          <w:tcPr>
            <w:tcW w:w="0" w:type="auto"/>
            <w:vMerge/>
          </w:tcPr>
          <w:p w:rsidR="00E35632" w:rsidRDefault="00E35632">
            <w:pPr>
              <w:pStyle w:val="ConsPlusNormal"/>
            </w:pPr>
          </w:p>
        </w:tc>
        <w:tc>
          <w:tcPr>
            <w:tcW w:w="1013" w:type="dxa"/>
            <w:vMerge w:val="restart"/>
          </w:tcPr>
          <w:p w:rsidR="00E35632" w:rsidRDefault="00E35632">
            <w:pPr>
              <w:pStyle w:val="ConsPlusNormal"/>
            </w:pPr>
            <w:r>
              <w:t>Болотные под слоем торфа</w:t>
            </w:r>
          </w:p>
        </w:tc>
        <w:tc>
          <w:tcPr>
            <w:tcW w:w="1267" w:type="dxa"/>
          </w:tcPr>
          <w:p w:rsidR="00E35632" w:rsidRDefault="00E35632">
            <w:pPr>
              <w:pStyle w:val="ConsPlusNormal"/>
            </w:pPr>
            <w:r>
              <w:t>Высокоминеральные</w:t>
            </w:r>
          </w:p>
        </w:tc>
        <w:tc>
          <w:tcPr>
            <w:tcW w:w="999" w:type="dxa"/>
          </w:tcPr>
          <w:p w:rsidR="00E35632" w:rsidRDefault="00E35632">
            <w:pPr>
              <w:pStyle w:val="ConsPlusNormal"/>
              <w:jc w:val="center"/>
            </w:pPr>
            <w:r>
              <w:t>10 - 30</w:t>
            </w:r>
          </w:p>
        </w:tc>
        <w:tc>
          <w:tcPr>
            <w:tcW w:w="926" w:type="dxa"/>
          </w:tcPr>
          <w:p w:rsidR="00E35632" w:rsidRDefault="00E35632">
            <w:pPr>
              <w:pStyle w:val="ConsPlusNormal"/>
              <w:jc w:val="center"/>
            </w:pPr>
            <w:r>
              <w:t>30</w:t>
            </w:r>
          </w:p>
        </w:tc>
        <w:tc>
          <w:tcPr>
            <w:tcW w:w="955" w:type="dxa"/>
          </w:tcPr>
          <w:p w:rsidR="00E35632" w:rsidRDefault="00E35632">
            <w:pPr>
              <w:pStyle w:val="ConsPlusNormal"/>
              <w:jc w:val="center"/>
            </w:pPr>
            <w:r>
              <w:t>1,2 - 3,7</w:t>
            </w:r>
          </w:p>
        </w:tc>
        <w:tc>
          <w:tcPr>
            <w:tcW w:w="960" w:type="dxa"/>
          </w:tcPr>
          <w:p w:rsidR="00E35632" w:rsidRDefault="00E35632">
            <w:pPr>
              <w:pStyle w:val="ConsPlusNormal"/>
              <w:jc w:val="center"/>
            </w:pPr>
            <w:r>
              <w:t>2,0 - 2,5</w:t>
            </w:r>
          </w:p>
        </w:tc>
        <w:tc>
          <w:tcPr>
            <w:tcW w:w="960" w:type="dxa"/>
          </w:tcPr>
          <w:p w:rsidR="00E35632" w:rsidRDefault="00E35632">
            <w:pPr>
              <w:pStyle w:val="ConsPlusNormal"/>
              <w:jc w:val="center"/>
            </w:pPr>
            <w:r>
              <w:t>4 - 12</w:t>
            </w:r>
          </w:p>
        </w:tc>
        <w:tc>
          <w:tcPr>
            <w:tcW w:w="1262" w:type="dxa"/>
          </w:tcPr>
          <w:p w:rsidR="00E35632" w:rsidRDefault="00E35632">
            <w:pPr>
              <w:pStyle w:val="ConsPlusNormal"/>
              <w:jc w:val="center"/>
            </w:pPr>
            <w:r>
              <w:t>0,4 - 0,8</w:t>
            </w:r>
          </w:p>
        </w:tc>
        <w:tc>
          <w:tcPr>
            <w:tcW w:w="1138" w:type="dxa"/>
          </w:tcPr>
          <w:p w:rsidR="00E35632" w:rsidRDefault="00E35632">
            <w:pPr>
              <w:pStyle w:val="ConsPlusNormal"/>
              <w:jc w:val="center"/>
            </w:pPr>
            <w:r>
              <w:t>12 - 13</w:t>
            </w:r>
          </w:p>
        </w:tc>
      </w:tr>
      <w:tr w:rsidR="00E35632">
        <w:tc>
          <w:tcPr>
            <w:tcW w:w="0" w:type="auto"/>
            <w:vMerge/>
          </w:tcPr>
          <w:p w:rsidR="00E35632" w:rsidRDefault="00E35632">
            <w:pPr>
              <w:pStyle w:val="ConsPlusNormal"/>
            </w:pPr>
          </w:p>
        </w:tc>
        <w:tc>
          <w:tcPr>
            <w:tcW w:w="0" w:type="auto"/>
            <w:vMerge/>
          </w:tcPr>
          <w:p w:rsidR="00E35632" w:rsidRDefault="00E35632">
            <w:pPr>
              <w:pStyle w:val="ConsPlusNormal"/>
            </w:pPr>
          </w:p>
        </w:tc>
        <w:tc>
          <w:tcPr>
            <w:tcW w:w="1267" w:type="dxa"/>
          </w:tcPr>
          <w:p w:rsidR="00E35632" w:rsidRDefault="00E35632">
            <w:pPr>
              <w:pStyle w:val="ConsPlusNormal"/>
            </w:pPr>
            <w:r>
              <w:t>Среднеминеральные</w:t>
            </w:r>
          </w:p>
        </w:tc>
        <w:tc>
          <w:tcPr>
            <w:tcW w:w="999" w:type="dxa"/>
          </w:tcPr>
          <w:p w:rsidR="00E35632" w:rsidRDefault="00E35632">
            <w:pPr>
              <w:pStyle w:val="ConsPlusNormal"/>
              <w:jc w:val="center"/>
            </w:pPr>
            <w:r>
              <w:t>30 - 50</w:t>
            </w:r>
          </w:p>
        </w:tc>
        <w:tc>
          <w:tcPr>
            <w:tcW w:w="926" w:type="dxa"/>
          </w:tcPr>
          <w:p w:rsidR="00E35632" w:rsidRDefault="00E35632">
            <w:pPr>
              <w:pStyle w:val="ConsPlusNormal"/>
              <w:jc w:val="center"/>
            </w:pPr>
            <w:r>
              <w:t>30</w:t>
            </w:r>
          </w:p>
        </w:tc>
        <w:tc>
          <w:tcPr>
            <w:tcW w:w="955" w:type="dxa"/>
          </w:tcPr>
          <w:p w:rsidR="00E35632" w:rsidRDefault="00E35632">
            <w:pPr>
              <w:pStyle w:val="ConsPlusNormal"/>
              <w:jc w:val="center"/>
            </w:pPr>
            <w:r>
              <w:t>3 - 6</w:t>
            </w:r>
          </w:p>
        </w:tc>
        <w:tc>
          <w:tcPr>
            <w:tcW w:w="960" w:type="dxa"/>
          </w:tcPr>
          <w:p w:rsidR="00E35632" w:rsidRDefault="00E35632">
            <w:pPr>
              <w:pStyle w:val="ConsPlusNormal"/>
              <w:jc w:val="center"/>
            </w:pPr>
            <w:r>
              <w:t>1,8 - 2,0</w:t>
            </w:r>
          </w:p>
        </w:tc>
        <w:tc>
          <w:tcPr>
            <w:tcW w:w="960" w:type="dxa"/>
          </w:tcPr>
          <w:p w:rsidR="00E35632" w:rsidRDefault="00E35632">
            <w:pPr>
              <w:pStyle w:val="ConsPlusNormal"/>
              <w:jc w:val="center"/>
            </w:pPr>
            <w:r>
              <w:t>8 - 12</w:t>
            </w:r>
          </w:p>
        </w:tc>
        <w:tc>
          <w:tcPr>
            <w:tcW w:w="1262" w:type="dxa"/>
          </w:tcPr>
          <w:p w:rsidR="00E35632" w:rsidRDefault="00E35632">
            <w:pPr>
              <w:pStyle w:val="ConsPlusNormal"/>
              <w:jc w:val="center"/>
            </w:pPr>
            <w:r>
              <w:t>0,25 - 0,5</w:t>
            </w:r>
          </w:p>
        </w:tc>
        <w:tc>
          <w:tcPr>
            <w:tcW w:w="1138" w:type="dxa"/>
          </w:tcPr>
          <w:p w:rsidR="00E35632" w:rsidRDefault="00E35632">
            <w:pPr>
              <w:pStyle w:val="ConsPlusNormal"/>
              <w:jc w:val="center"/>
            </w:pPr>
            <w:r>
              <w:t>7 - 12</w:t>
            </w:r>
          </w:p>
        </w:tc>
      </w:tr>
      <w:tr w:rsidR="00E35632">
        <w:tc>
          <w:tcPr>
            <w:tcW w:w="0" w:type="auto"/>
            <w:vMerge/>
          </w:tcPr>
          <w:p w:rsidR="00E35632" w:rsidRDefault="00E35632">
            <w:pPr>
              <w:pStyle w:val="ConsPlusNormal"/>
            </w:pPr>
          </w:p>
        </w:tc>
        <w:tc>
          <w:tcPr>
            <w:tcW w:w="0" w:type="auto"/>
            <w:vMerge/>
          </w:tcPr>
          <w:p w:rsidR="00E35632" w:rsidRDefault="00E35632">
            <w:pPr>
              <w:pStyle w:val="ConsPlusNormal"/>
            </w:pPr>
          </w:p>
        </w:tc>
        <w:tc>
          <w:tcPr>
            <w:tcW w:w="1267" w:type="dxa"/>
          </w:tcPr>
          <w:p w:rsidR="00E35632" w:rsidRDefault="00E35632">
            <w:pPr>
              <w:pStyle w:val="ConsPlusNormal"/>
            </w:pPr>
            <w:r>
              <w:t>Низкоминеральные</w:t>
            </w:r>
          </w:p>
        </w:tc>
        <w:tc>
          <w:tcPr>
            <w:tcW w:w="999" w:type="dxa"/>
          </w:tcPr>
          <w:p w:rsidR="00E35632" w:rsidRDefault="00E35632">
            <w:pPr>
              <w:pStyle w:val="ConsPlusNormal"/>
              <w:jc w:val="center"/>
            </w:pPr>
            <w:r>
              <w:t>50 - 80</w:t>
            </w:r>
          </w:p>
        </w:tc>
        <w:tc>
          <w:tcPr>
            <w:tcW w:w="926" w:type="dxa"/>
          </w:tcPr>
          <w:p w:rsidR="00E35632" w:rsidRDefault="00E35632">
            <w:pPr>
              <w:pStyle w:val="ConsPlusNormal"/>
              <w:jc w:val="center"/>
            </w:pPr>
            <w:r>
              <w:t>10 - 30</w:t>
            </w:r>
          </w:p>
        </w:tc>
        <w:tc>
          <w:tcPr>
            <w:tcW w:w="955" w:type="dxa"/>
          </w:tcPr>
          <w:p w:rsidR="00E35632" w:rsidRDefault="00E35632">
            <w:pPr>
              <w:pStyle w:val="ConsPlusNormal"/>
              <w:jc w:val="center"/>
            </w:pPr>
            <w:r>
              <w:t>6 - 12</w:t>
            </w:r>
          </w:p>
        </w:tc>
        <w:tc>
          <w:tcPr>
            <w:tcW w:w="960" w:type="dxa"/>
          </w:tcPr>
          <w:p w:rsidR="00E35632" w:rsidRDefault="00E35632">
            <w:pPr>
              <w:pStyle w:val="ConsPlusNormal"/>
              <w:jc w:val="center"/>
            </w:pPr>
            <w:r>
              <w:t>1,4 - 1,8</w:t>
            </w:r>
          </w:p>
        </w:tc>
        <w:tc>
          <w:tcPr>
            <w:tcW w:w="960" w:type="dxa"/>
          </w:tcPr>
          <w:p w:rsidR="00E35632" w:rsidRDefault="00E35632">
            <w:pPr>
              <w:pStyle w:val="ConsPlusNormal"/>
              <w:jc w:val="center"/>
            </w:pPr>
            <w:r>
              <w:t>12 - 20</w:t>
            </w:r>
          </w:p>
        </w:tc>
        <w:tc>
          <w:tcPr>
            <w:tcW w:w="1262" w:type="dxa"/>
          </w:tcPr>
          <w:p w:rsidR="00E35632" w:rsidRDefault="00E35632">
            <w:pPr>
              <w:pStyle w:val="ConsPlusNormal"/>
              <w:jc w:val="center"/>
            </w:pPr>
            <w:r>
              <w:t>0,1 - 0,25</w:t>
            </w:r>
          </w:p>
        </w:tc>
        <w:tc>
          <w:tcPr>
            <w:tcW w:w="1138" w:type="dxa"/>
          </w:tcPr>
          <w:p w:rsidR="00E35632" w:rsidRDefault="00E35632">
            <w:pPr>
              <w:pStyle w:val="ConsPlusNormal"/>
              <w:jc w:val="center"/>
            </w:pPr>
            <w:r>
              <w:t>12 - 13</w:t>
            </w:r>
          </w:p>
        </w:tc>
      </w:tr>
      <w:tr w:rsidR="00E35632">
        <w:tc>
          <w:tcPr>
            <w:tcW w:w="2273" w:type="dxa"/>
            <w:gridSpan w:val="2"/>
            <w:vMerge w:val="restart"/>
          </w:tcPr>
          <w:p w:rsidR="00E35632" w:rsidRDefault="00E35632">
            <w:pPr>
              <w:pStyle w:val="ConsPlusNormal"/>
            </w:pPr>
            <w:r>
              <w:t>Уплотненные в природном залегании (озерно-болотные под слоем минеральных наносов)</w:t>
            </w:r>
          </w:p>
        </w:tc>
        <w:tc>
          <w:tcPr>
            <w:tcW w:w="1267" w:type="dxa"/>
          </w:tcPr>
          <w:p w:rsidR="00E35632" w:rsidRDefault="00E35632">
            <w:pPr>
              <w:pStyle w:val="ConsPlusNormal"/>
            </w:pPr>
            <w:r>
              <w:t>Высокоминеральные</w:t>
            </w:r>
          </w:p>
        </w:tc>
        <w:tc>
          <w:tcPr>
            <w:tcW w:w="999" w:type="dxa"/>
          </w:tcPr>
          <w:p w:rsidR="00E35632" w:rsidRDefault="00E35632">
            <w:pPr>
              <w:pStyle w:val="ConsPlusNormal"/>
              <w:jc w:val="center"/>
            </w:pPr>
            <w:r>
              <w:t>10 - 30</w:t>
            </w:r>
          </w:p>
        </w:tc>
        <w:tc>
          <w:tcPr>
            <w:tcW w:w="926" w:type="dxa"/>
          </w:tcPr>
          <w:p w:rsidR="00E35632" w:rsidRDefault="00E35632">
            <w:pPr>
              <w:pStyle w:val="ConsPlusNormal"/>
              <w:jc w:val="center"/>
            </w:pPr>
            <w:r>
              <w:t>30</w:t>
            </w:r>
          </w:p>
        </w:tc>
        <w:tc>
          <w:tcPr>
            <w:tcW w:w="955" w:type="dxa"/>
          </w:tcPr>
          <w:p w:rsidR="00E35632" w:rsidRDefault="00E35632">
            <w:pPr>
              <w:pStyle w:val="ConsPlusNormal"/>
              <w:jc w:val="center"/>
            </w:pPr>
            <w:r>
              <w:t>0,5 - 1,8</w:t>
            </w:r>
          </w:p>
        </w:tc>
        <w:tc>
          <w:tcPr>
            <w:tcW w:w="960" w:type="dxa"/>
          </w:tcPr>
          <w:p w:rsidR="00E35632" w:rsidRDefault="00E35632">
            <w:pPr>
              <w:pStyle w:val="ConsPlusNormal"/>
              <w:jc w:val="center"/>
            </w:pPr>
            <w:r>
              <w:t>2,0 - 2,5</w:t>
            </w:r>
          </w:p>
        </w:tc>
        <w:tc>
          <w:tcPr>
            <w:tcW w:w="960" w:type="dxa"/>
          </w:tcPr>
          <w:p w:rsidR="00E35632" w:rsidRDefault="00E35632">
            <w:pPr>
              <w:pStyle w:val="ConsPlusNormal"/>
              <w:jc w:val="center"/>
            </w:pPr>
            <w:r>
              <w:t>1,4 - 3</w:t>
            </w:r>
          </w:p>
        </w:tc>
        <w:tc>
          <w:tcPr>
            <w:tcW w:w="1262" w:type="dxa"/>
          </w:tcPr>
          <w:p w:rsidR="00E35632" w:rsidRDefault="00E35632">
            <w:pPr>
              <w:pStyle w:val="ConsPlusNormal"/>
              <w:jc w:val="center"/>
            </w:pPr>
            <w:r>
              <w:t>0,7 - 2</w:t>
            </w:r>
          </w:p>
        </w:tc>
        <w:tc>
          <w:tcPr>
            <w:tcW w:w="1138" w:type="dxa"/>
          </w:tcPr>
          <w:p w:rsidR="00E35632" w:rsidRDefault="00E35632">
            <w:pPr>
              <w:pStyle w:val="ConsPlusNormal"/>
              <w:jc w:val="center"/>
            </w:pPr>
            <w:r>
              <w:t>15 - 25</w:t>
            </w:r>
          </w:p>
        </w:tc>
      </w:tr>
      <w:tr w:rsidR="00E35632">
        <w:tc>
          <w:tcPr>
            <w:tcW w:w="0" w:type="auto"/>
            <w:gridSpan w:val="2"/>
            <w:vMerge/>
          </w:tcPr>
          <w:p w:rsidR="00E35632" w:rsidRDefault="00E35632">
            <w:pPr>
              <w:pStyle w:val="ConsPlusNormal"/>
            </w:pPr>
          </w:p>
        </w:tc>
        <w:tc>
          <w:tcPr>
            <w:tcW w:w="1267" w:type="dxa"/>
          </w:tcPr>
          <w:p w:rsidR="00E35632" w:rsidRDefault="00E35632">
            <w:pPr>
              <w:pStyle w:val="ConsPlusNormal"/>
            </w:pPr>
            <w:r>
              <w:t>Среднеминеральные</w:t>
            </w:r>
          </w:p>
        </w:tc>
        <w:tc>
          <w:tcPr>
            <w:tcW w:w="999" w:type="dxa"/>
          </w:tcPr>
          <w:p w:rsidR="00E35632" w:rsidRDefault="00E35632">
            <w:pPr>
              <w:pStyle w:val="ConsPlusNormal"/>
              <w:jc w:val="center"/>
            </w:pPr>
            <w:r>
              <w:t>30 - 50</w:t>
            </w:r>
          </w:p>
        </w:tc>
        <w:tc>
          <w:tcPr>
            <w:tcW w:w="926" w:type="dxa"/>
          </w:tcPr>
          <w:p w:rsidR="00E35632" w:rsidRDefault="00E35632">
            <w:pPr>
              <w:pStyle w:val="ConsPlusNormal"/>
              <w:jc w:val="center"/>
            </w:pPr>
            <w:r>
              <w:t>30</w:t>
            </w:r>
          </w:p>
        </w:tc>
        <w:tc>
          <w:tcPr>
            <w:tcW w:w="955" w:type="dxa"/>
          </w:tcPr>
          <w:p w:rsidR="00E35632" w:rsidRDefault="00E35632">
            <w:pPr>
              <w:pStyle w:val="ConsPlusNormal"/>
              <w:jc w:val="center"/>
            </w:pPr>
            <w:r>
              <w:t>1,5 - 2,5</w:t>
            </w:r>
          </w:p>
        </w:tc>
        <w:tc>
          <w:tcPr>
            <w:tcW w:w="960" w:type="dxa"/>
          </w:tcPr>
          <w:p w:rsidR="00E35632" w:rsidRDefault="00E35632">
            <w:pPr>
              <w:pStyle w:val="ConsPlusNormal"/>
              <w:jc w:val="center"/>
            </w:pPr>
            <w:r>
              <w:t>1,8 - 2,0</w:t>
            </w:r>
          </w:p>
        </w:tc>
        <w:tc>
          <w:tcPr>
            <w:tcW w:w="960" w:type="dxa"/>
          </w:tcPr>
          <w:p w:rsidR="00E35632" w:rsidRDefault="00E35632">
            <w:pPr>
              <w:pStyle w:val="ConsPlusNormal"/>
              <w:jc w:val="center"/>
            </w:pPr>
            <w:r>
              <w:t>3 - 5</w:t>
            </w:r>
          </w:p>
        </w:tc>
        <w:tc>
          <w:tcPr>
            <w:tcW w:w="1262" w:type="dxa"/>
          </w:tcPr>
          <w:p w:rsidR="00E35632" w:rsidRDefault="00E35632">
            <w:pPr>
              <w:pStyle w:val="ConsPlusNormal"/>
              <w:jc w:val="center"/>
            </w:pPr>
            <w:r>
              <w:t>0,4 - 1</w:t>
            </w:r>
          </w:p>
        </w:tc>
        <w:tc>
          <w:tcPr>
            <w:tcW w:w="1138" w:type="dxa"/>
          </w:tcPr>
          <w:p w:rsidR="00E35632" w:rsidRDefault="00E35632">
            <w:pPr>
              <w:pStyle w:val="ConsPlusNormal"/>
              <w:jc w:val="center"/>
            </w:pPr>
            <w:r>
              <w:t>10 - 20</w:t>
            </w:r>
          </w:p>
        </w:tc>
      </w:tr>
      <w:tr w:rsidR="00E35632">
        <w:tc>
          <w:tcPr>
            <w:tcW w:w="0" w:type="auto"/>
            <w:gridSpan w:val="2"/>
            <w:vMerge/>
          </w:tcPr>
          <w:p w:rsidR="00E35632" w:rsidRDefault="00E35632">
            <w:pPr>
              <w:pStyle w:val="ConsPlusNormal"/>
            </w:pPr>
          </w:p>
        </w:tc>
        <w:tc>
          <w:tcPr>
            <w:tcW w:w="1267" w:type="dxa"/>
          </w:tcPr>
          <w:p w:rsidR="00E35632" w:rsidRDefault="00E35632">
            <w:pPr>
              <w:pStyle w:val="ConsPlusNormal"/>
            </w:pPr>
            <w:r>
              <w:t>Низкоминеральные</w:t>
            </w:r>
          </w:p>
        </w:tc>
        <w:tc>
          <w:tcPr>
            <w:tcW w:w="999" w:type="dxa"/>
          </w:tcPr>
          <w:p w:rsidR="00E35632" w:rsidRDefault="00E35632">
            <w:pPr>
              <w:pStyle w:val="ConsPlusNormal"/>
              <w:jc w:val="center"/>
            </w:pPr>
            <w:r>
              <w:t>&gt; 50</w:t>
            </w:r>
          </w:p>
        </w:tc>
        <w:tc>
          <w:tcPr>
            <w:tcW w:w="926" w:type="dxa"/>
          </w:tcPr>
          <w:p w:rsidR="00E35632" w:rsidRDefault="00E35632">
            <w:pPr>
              <w:pStyle w:val="ConsPlusNormal"/>
              <w:jc w:val="center"/>
            </w:pPr>
            <w:r>
              <w:t>30</w:t>
            </w:r>
          </w:p>
        </w:tc>
        <w:tc>
          <w:tcPr>
            <w:tcW w:w="955" w:type="dxa"/>
          </w:tcPr>
          <w:p w:rsidR="00E35632" w:rsidRDefault="00E35632">
            <w:pPr>
              <w:pStyle w:val="ConsPlusNormal"/>
              <w:jc w:val="center"/>
            </w:pPr>
            <w:r>
              <w:t>1,5 - 3,0</w:t>
            </w:r>
          </w:p>
        </w:tc>
        <w:tc>
          <w:tcPr>
            <w:tcW w:w="960" w:type="dxa"/>
          </w:tcPr>
          <w:p w:rsidR="00E35632" w:rsidRDefault="00E35632">
            <w:pPr>
              <w:pStyle w:val="ConsPlusNormal"/>
              <w:jc w:val="center"/>
            </w:pPr>
            <w:r>
              <w:t>1,4 - 1,8</w:t>
            </w:r>
          </w:p>
        </w:tc>
        <w:tc>
          <w:tcPr>
            <w:tcW w:w="960" w:type="dxa"/>
          </w:tcPr>
          <w:p w:rsidR="00E35632" w:rsidRDefault="00E35632">
            <w:pPr>
              <w:pStyle w:val="ConsPlusNormal"/>
              <w:jc w:val="center"/>
            </w:pPr>
            <w:r>
              <w:t>4 - 6</w:t>
            </w:r>
          </w:p>
        </w:tc>
        <w:tc>
          <w:tcPr>
            <w:tcW w:w="1262" w:type="dxa"/>
          </w:tcPr>
          <w:p w:rsidR="00E35632" w:rsidRDefault="00E35632">
            <w:pPr>
              <w:pStyle w:val="ConsPlusNormal"/>
              <w:jc w:val="center"/>
            </w:pPr>
            <w:r>
              <w:t>0,3 - 0,5</w:t>
            </w:r>
          </w:p>
        </w:tc>
        <w:tc>
          <w:tcPr>
            <w:tcW w:w="1138" w:type="dxa"/>
          </w:tcPr>
          <w:p w:rsidR="00E35632" w:rsidRDefault="00E35632">
            <w:pPr>
              <w:pStyle w:val="ConsPlusNormal"/>
              <w:jc w:val="center"/>
            </w:pPr>
            <w:r>
              <w:t>2 - 15</w:t>
            </w:r>
          </w:p>
        </w:tc>
      </w:tr>
    </w:tbl>
    <w:p w:rsidR="00E35632" w:rsidRDefault="00E35632">
      <w:pPr>
        <w:pStyle w:val="ConsPlusNormal"/>
        <w:sectPr w:rsidR="00E35632">
          <w:pgSz w:w="16838" w:h="11905" w:orient="landscape"/>
          <w:pgMar w:top="1701" w:right="1134" w:bottom="850" w:left="1134" w:header="0" w:footer="0" w:gutter="0"/>
          <w:cols w:space="720"/>
          <w:titlePg/>
        </w:sectPr>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right"/>
        <w:outlineLvl w:val="0"/>
      </w:pPr>
      <w:r>
        <w:rPr>
          <w:b/>
        </w:rPr>
        <w:t>Приложение И</w:t>
      </w:r>
    </w:p>
    <w:p w:rsidR="00E35632" w:rsidRDefault="00E35632">
      <w:pPr>
        <w:pStyle w:val="ConsPlusNormal"/>
        <w:jc w:val="right"/>
      </w:pPr>
      <w:r>
        <w:t xml:space="preserve">(в ред. </w:t>
      </w:r>
      <w:hyperlink r:id="rId1007">
        <w:r>
          <w:rPr>
            <w:color w:val="0000FF"/>
          </w:rPr>
          <w:t>Изменения N 3</w:t>
        </w:r>
      </w:hyperlink>
      <w:r>
        <w:t>, утв. Приказом Минстроя России от 22.11.2019 N 722/пр)</w:t>
      </w:r>
    </w:p>
    <w:p w:rsidR="00E35632" w:rsidRDefault="00E35632">
      <w:pPr>
        <w:pStyle w:val="ConsPlusNormal"/>
        <w:jc w:val="both"/>
      </w:pPr>
    </w:p>
    <w:p w:rsidR="00E35632" w:rsidRDefault="00E35632">
      <w:pPr>
        <w:pStyle w:val="ConsPlusTitle"/>
        <w:jc w:val="center"/>
      </w:pPr>
      <w:bookmarkStart w:id="310" w:name="P7343"/>
      <w:bookmarkEnd w:id="310"/>
      <w:r>
        <w:t>ФИЗИКО-МЕХАНИЧЕСКИЕ ХАРАКТЕРИСТИКИ ЭЛЮВИАЛЬНЫХ ГРУНТОВ</w:t>
      </w:r>
    </w:p>
    <w:p w:rsidR="00E35632" w:rsidRDefault="00E35632">
      <w:pPr>
        <w:pStyle w:val="ConsPlusNormal"/>
        <w:jc w:val="both"/>
      </w:pPr>
    </w:p>
    <w:p w:rsidR="00E35632" w:rsidRDefault="00E35632">
      <w:pPr>
        <w:pStyle w:val="ConsPlusNormal"/>
        <w:ind w:firstLine="540"/>
        <w:jc w:val="both"/>
      </w:pPr>
      <w:r>
        <w:t xml:space="preserve">И.1 Значения характеристик грунтов, приведенные в таблицах И.1 - </w:t>
      </w:r>
      <w:hyperlink w:anchor="P7410">
        <w:r>
          <w:rPr>
            <w:color w:val="0000FF"/>
          </w:rPr>
          <w:t>И.3</w:t>
        </w:r>
      </w:hyperlink>
      <w:r>
        <w:t xml:space="preserve">, допускается использовать для предварительной оценки оснований, сложенных из этих грунтов (см. </w:t>
      </w:r>
      <w:hyperlink w:anchor="P3028">
        <w:r>
          <w:rPr>
            <w:color w:val="0000FF"/>
          </w:rPr>
          <w:t>6.5.9</w:t>
        </w:r>
      </w:hyperlink>
      <w:r>
        <w:t xml:space="preserve"> и </w:t>
      </w:r>
      <w:hyperlink w:anchor="P3101">
        <w:r>
          <w:rPr>
            <w:color w:val="0000FF"/>
          </w:rPr>
          <w:t>6.5.12</w:t>
        </w:r>
      </w:hyperlink>
      <w:r>
        <w:t>).</w:t>
      </w:r>
    </w:p>
    <w:p w:rsidR="00E35632" w:rsidRDefault="00E35632">
      <w:pPr>
        <w:pStyle w:val="ConsPlusNormal"/>
        <w:jc w:val="both"/>
      </w:pPr>
    </w:p>
    <w:p w:rsidR="00E35632" w:rsidRDefault="00E35632">
      <w:pPr>
        <w:pStyle w:val="ConsPlusNormal"/>
        <w:jc w:val="right"/>
      </w:pPr>
      <w:r>
        <w:t>Таблица И.1</w:t>
      </w:r>
    </w:p>
    <w:p w:rsidR="00E35632" w:rsidRDefault="00E35632">
      <w:pPr>
        <w:pStyle w:val="ConsPlusNormal"/>
        <w:jc w:val="both"/>
      </w:pPr>
    </w:p>
    <w:p w:rsidR="00E35632" w:rsidRDefault="00E35632">
      <w:pPr>
        <w:pStyle w:val="ConsPlusNormal"/>
        <w:jc w:val="center"/>
      </w:pPr>
      <w:r>
        <w:rPr>
          <w:b/>
        </w:rPr>
        <w:t>Средние значения физических характеристик и предела</w:t>
      </w:r>
    </w:p>
    <w:p w:rsidR="00E35632" w:rsidRDefault="00E35632">
      <w:pPr>
        <w:pStyle w:val="ConsPlusNormal"/>
        <w:jc w:val="center"/>
      </w:pPr>
      <w:r>
        <w:rPr>
          <w:b/>
        </w:rPr>
        <w:t>прочности на одноосное сжатие в водонасыщенном состоянии</w:t>
      </w:r>
    </w:p>
    <w:p w:rsidR="00E35632" w:rsidRDefault="00E35632">
      <w:pPr>
        <w:pStyle w:val="ConsPlusNormal"/>
        <w:jc w:val="center"/>
      </w:pPr>
      <w:r>
        <w:rPr>
          <w:b/>
          <w:i/>
        </w:rPr>
        <w:t>R</w:t>
      </w:r>
      <w:r>
        <w:rPr>
          <w:b/>
          <w:i/>
          <w:vertAlign w:val="subscript"/>
        </w:rPr>
        <w:t>c</w:t>
      </w:r>
      <w:r>
        <w:t xml:space="preserve"> </w:t>
      </w:r>
      <w:r>
        <w:rPr>
          <w:b/>
        </w:rPr>
        <w:t>элювия скальных грунтов магматических пород</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256"/>
        <w:gridCol w:w="1627"/>
        <w:gridCol w:w="1718"/>
        <w:gridCol w:w="1539"/>
        <w:gridCol w:w="1913"/>
      </w:tblGrid>
      <w:tr w:rsidR="00E35632">
        <w:tc>
          <w:tcPr>
            <w:tcW w:w="2256" w:type="dxa"/>
            <w:vMerge w:val="restart"/>
            <w:tcBorders>
              <w:top w:val="single" w:sz="4" w:space="0" w:color="auto"/>
              <w:bottom w:val="single" w:sz="4" w:space="0" w:color="auto"/>
            </w:tcBorders>
            <w:vAlign w:val="center"/>
          </w:tcPr>
          <w:p w:rsidR="00E35632" w:rsidRDefault="00E35632">
            <w:pPr>
              <w:pStyle w:val="ConsPlusNormal"/>
              <w:jc w:val="center"/>
            </w:pPr>
            <w:r>
              <w:t>Разновидность элювия скальных грунтов по степени выветрелости</w:t>
            </w:r>
          </w:p>
        </w:tc>
        <w:tc>
          <w:tcPr>
            <w:tcW w:w="6797" w:type="dxa"/>
            <w:gridSpan w:val="4"/>
            <w:tcBorders>
              <w:top w:val="single" w:sz="4" w:space="0" w:color="auto"/>
              <w:bottom w:val="single" w:sz="4" w:space="0" w:color="auto"/>
            </w:tcBorders>
            <w:vAlign w:val="center"/>
          </w:tcPr>
          <w:p w:rsidR="00E35632" w:rsidRDefault="00E35632">
            <w:pPr>
              <w:pStyle w:val="ConsPlusNormal"/>
              <w:jc w:val="center"/>
            </w:pPr>
            <w:r>
              <w:t>Характеристики элювия скальных грунтов магматических пород</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627" w:type="dxa"/>
            <w:tcBorders>
              <w:top w:val="single" w:sz="4" w:space="0" w:color="auto"/>
              <w:bottom w:val="single" w:sz="4" w:space="0" w:color="auto"/>
            </w:tcBorders>
            <w:vAlign w:val="center"/>
          </w:tcPr>
          <w:p w:rsidR="00E35632" w:rsidRDefault="00E35632">
            <w:pPr>
              <w:pStyle w:val="ConsPlusNormal"/>
              <w:jc w:val="center"/>
            </w:pPr>
            <w:r>
              <w:t xml:space="preserve">Плотность </w:t>
            </w:r>
            <w:r>
              <w:rPr>
                <w:noProof/>
                <w:position w:val="-2"/>
              </w:rPr>
              <w:drawing>
                <wp:inline distT="0" distB="0" distL="0" distR="0">
                  <wp:extent cx="167640" cy="175895"/>
                  <wp:effectExtent l="0" t="0" r="0" b="0"/>
                  <wp:docPr id="72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167640" cy="175895"/>
                          </a:xfrm>
                          <a:prstGeom prst="rect">
                            <a:avLst/>
                          </a:prstGeom>
                          <a:noFill/>
                          <a:ln>
                            <a:noFill/>
                          </a:ln>
                        </pic:spPr>
                      </pic:pic>
                    </a:graphicData>
                  </a:graphic>
                </wp:inline>
              </w:drawing>
            </w:r>
            <w:r>
              <w:t>, г/см</w:t>
            </w:r>
            <w:r>
              <w:rPr>
                <w:vertAlign w:val="superscript"/>
              </w:rPr>
              <w:t>3</w:t>
            </w:r>
          </w:p>
        </w:tc>
        <w:tc>
          <w:tcPr>
            <w:tcW w:w="1718" w:type="dxa"/>
            <w:tcBorders>
              <w:top w:val="single" w:sz="4" w:space="0" w:color="auto"/>
              <w:bottom w:val="single" w:sz="4" w:space="0" w:color="auto"/>
            </w:tcBorders>
            <w:vAlign w:val="center"/>
          </w:tcPr>
          <w:p w:rsidR="00E35632" w:rsidRDefault="00E35632">
            <w:pPr>
              <w:pStyle w:val="ConsPlusNormal"/>
              <w:jc w:val="center"/>
            </w:pPr>
            <w:r>
              <w:t xml:space="preserve">Коэффициент пористости </w:t>
            </w:r>
            <w:r>
              <w:rPr>
                <w:i/>
              </w:rPr>
              <w:t>e</w:t>
            </w:r>
          </w:p>
        </w:tc>
        <w:tc>
          <w:tcPr>
            <w:tcW w:w="1539" w:type="dxa"/>
            <w:tcBorders>
              <w:top w:val="single" w:sz="4" w:space="0" w:color="auto"/>
              <w:bottom w:val="single" w:sz="4" w:space="0" w:color="auto"/>
            </w:tcBorders>
            <w:vAlign w:val="center"/>
          </w:tcPr>
          <w:p w:rsidR="00E35632" w:rsidRDefault="00E35632">
            <w:pPr>
              <w:pStyle w:val="ConsPlusNormal"/>
              <w:jc w:val="center"/>
            </w:pPr>
            <w:r>
              <w:rPr>
                <w:i/>
              </w:rPr>
              <w:t>R</w:t>
            </w:r>
            <w:r>
              <w:rPr>
                <w:i/>
                <w:vertAlign w:val="subscript"/>
              </w:rPr>
              <w:t>c</w:t>
            </w:r>
            <w:r>
              <w:t>, МПа</w:t>
            </w:r>
          </w:p>
        </w:tc>
        <w:tc>
          <w:tcPr>
            <w:tcW w:w="1913" w:type="dxa"/>
            <w:tcBorders>
              <w:top w:val="single" w:sz="4" w:space="0" w:color="auto"/>
              <w:bottom w:val="single" w:sz="4" w:space="0" w:color="auto"/>
            </w:tcBorders>
            <w:vAlign w:val="center"/>
          </w:tcPr>
          <w:p w:rsidR="00E35632" w:rsidRDefault="00E35632">
            <w:pPr>
              <w:pStyle w:val="ConsPlusNormal"/>
              <w:jc w:val="center"/>
            </w:pPr>
            <w:r>
              <w:t>Степень размягчаемости в воде</w:t>
            </w:r>
          </w:p>
        </w:tc>
      </w:tr>
      <w:tr w:rsidR="00E35632">
        <w:tblPrEx>
          <w:tblBorders>
            <w:insideH w:val="none" w:sz="0" w:space="0" w:color="auto"/>
          </w:tblBorders>
        </w:tblPrEx>
        <w:tc>
          <w:tcPr>
            <w:tcW w:w="2256" w:type="dxa"/>
            <w:tcBorders>
              <w:top w:val="single" w:sz="4" w:space="0" w:color="auto"/>
              <w:bottom w:val="nil"/>
            </w:tcBorders>
          </w:tcPr>
          <w:p w:rsidR="00E35632" w:rsidRDefault="00E35632">
            <w:pPr>
              <w:pStyle w:val="ConsPlusNormal"/>
            </w:pPr>
            <w:r>
              <w:t>Слабовыветрелые</w:t>
            </w:r>
          </w:p>
        </w:tc>
        <w:tc>
          <w:tcPr>
            <w:tcW w:w="1627" w:type="dxa"/>
            <w:tcBorders>
              <w:top w:val="single" w:sz="4" w:space="0" w:color="auto"/>
              <w:bottom w:val="nil"/>
            </w:tcBorders>
          </w:tcPr>
          <w:p w:rsidR="00E35632" w:rsidRDefault="00E35632">
            <w:pPr>
              <w:pStyle w:val="ConsPlusNormal"/>
              <w:jc w:val="center"/>
            </w:pPr>
            <w:r>
              <w:t>Более 2,7</w:t>
            </w:r>
          </w:p>
        </w:tc>
        <w:tc>
          <w:tcPr>
            <w:tcW w:w="1718" w:type="dxa"/>
            <w:tcBorders>
              <w:top w:val="single" w:sz="4" w:space="0" w:color="auto"/>
              <w:bottom w:val="nil"/>
            </w:tcBorders>
          </w:tcPr>
          <w:p w:rsidR="00E35632" w:rsidRDefault="00E35632">
            <w:pPr>
              <w:pStyle w:val="ConsPlusNormal"/>
              <w:jc w:val="center"/>
            </w:pPr>
            <w:r>
              <w:t>Менее 0,1</w:t>
            </w:r>
          </w:p>
        </w:tc>
        <w:tc>
          <w:tcPr>
            <w:tcW w:w="1539" w:type="dxa"/>
            <w:tcBorders>
              <w:top w:val="single" w:sz="4" w:space="0" w:color="auto"/>
              <w:bottom w:val="nil"/>
            </w:tcBorders>
          </w:tcPr>
          <w:p w:rsidR="00E35632" w:rsidRDefault="00E35632">
            <w:pPr>
              <w:pStyle w:val="ConsPlusNormal"/>
              <w:jc w:val="center"/>
            </w:pPr>
            <w:r>
              <w:t>Более 15</w:t>
            </w:r>
          </w:p>
        </w:tc>
        <w:tc>
          <w:tcPr>
            <w:tcW w:w="1913" w:type="dxa"/>
            <w:tcBorders>
              <w:top w:val="single" w:sz="4" w:space="0" w:color="auto"/>
              <w:bottom w:val="nil"/>
            </w:tcBorders>
          </w:tcPr>
          <w:p w:rsidR="00E35632" w:rsidRDefault="00E35632">
            <w:pPr>
              <w:pStyle w:val="ConsPlusNormal"/>
              <w:jc w:val="center"/>
            </w:pPr>
            <w:r>
              <w:t>Неразмягчаемые</w:t>
            </w:r>
          </w:p>
        </w:tc>
      </w:tr>
      <w:tr w:rsidR="00E35632">
        <w:tblPrEx>
          <w:tblBorders>
            <w:insideH w:val="none" w:sz="0" w:space="0" w:color="auto"/>
          </w:tblBorders>
        </w:tblPrEx>
        <w:tc>
          <w:tcPr>
            <w:tcW w:w="2256" w:type="dxa"/>
            <w:tcBorders>
              <w:top w:val="nil"/>
              <w:bottom w:val="nil"/>
            </w:tcBorders>
          </w:tcPr>
          <w:p w:rsidR="00E35632" w:rsidRDefault="00E35632">
            <w:pPr>
              <w:pStyle w:val="ConsPlusNormal"/>
            </w:pPr>
            <w:r>
              <w:t>Выветрелые</w:t>
            </w:r>
          </w:p>
        </w:tc>
        <w:tc>
          <w:tcPr>
            <w:tcW w:w="1627" w:type="dxa"/>
            <w:tcBorders>
              <w:top w:val="nil"/>
              <w:bottom w:val="nil"/>
            </w:tcBorders>
          </w:tcPr>
          <w:p w:rsidR="00E35632" w:rsidRDefault="00E35632">
            <w:pPr>
              <w:pStyle w:val="ConsPlusNormal"/>
              <w:jc w:val="center"/>
            </w:pPr>
            <w:r>
              <w:rPr>
                <w:noProof/>
                <w:position w:val="-6"/>
              </w:rPr>
              <w:drawing>
                <wp:inline distT="0" distB="0" distL="0" distR="0">
                  <wp:extent cx="935990" cy="219075"/>
                  <wp:effectExtent l="0" t="0" r="0" b="0"/>
                  <wp:docPr id="72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935990" cy="219075"/>
                          </a:xfrm>
                          <a:prstGeom prst="rect">
                            <a:avLst/>
                          </a:prstGeom>
                          <a:noFill/>
                          <a:ln>
                            <a:noFill/>
                          </a:ln>
                        </pic:spPr>
                      </pic:pic>
                    </a:graphicData>
                  </a:graphic>
                </wp:inline>
              </w:drawing>
            </w:r>
          </w:p>
        </w:tc>
        <w:tc>
          <w:tcPr>
            <w:tcW w:w="1718" w:type="dxa"/>
            <w:tcBorders>
              <w:top w:val="nil"/>
              <w:bottom w:val="nil"/>
            </w:tcBorders>
          </w:tcPr>
          <w:p w:rsidR="00E35632" w:rsidRDefault="00E35632">
            <w:pPr>
              <w:pStyle w:val="ConsPlusNormal"/>
              <w:jc w:val="center"/>
            </w:pPr>
            <w:r>
              <w:t xml:space="preserve">0,1 &lt;= </w:t>
            </w:r>
            <w:r>
              <w:rPr>
                <w:i/>
              </w:rPr>
              <w:t>e</w:t>
            </w:r>
            <w:r>
              <w:t xml:space="preserve"> &lt;= 0,2</w:t>
            </w:r>
          </w:p>
        </w:tc>
        <w:tc>
          <w:tcPr>
            <w:tcW w:w="1539" w:type="dxa"/>
            <w:tcBorders>
              <w:top w:val="nil"/>
              <w:bottom w:val="nil"/>
            </w:tcBorders>
          </w:tcPr>
          <w:p w:rsidR="00E35632" w:rsidRDefault="00E35632">
            <w:pPr>
              <w:pStyle w:val="ConsPlusNormal"/>
              <w:jc w:val="center"/>
            </w:pPr>
            <w:r>
              <w:t xml:space="preserve">5 &lt;= </w:t>
            </w:r>
            <w:r>
              <w:rPr>
                <w:i/>
              </w:rPr>
              <w:t>R</w:t>
            </w:r>
            <w:r>
              <w:rPr>
                <w:i/>
                <w:vertAlign w:val="subscript"/>
              </w:rPr>
              <w:t>c</w:t>
            </w:r>
            <w:r>
              <w:t xml:space="preserve"> &lt;= 15</w:t>
            </w:r>
          </w:p>
        </w:tc>
        <w:tc>
          <w:tcPr>
            <w:tcW w:w="1913" w:type="dxa"/>
            <w:tcBorders>
              <w:top w:val="nil"/>
              <w:bottom w:val="nil"/>
            </w:tcBorders>
          </w:tcPr>
          <w:p w:rsidR="00E35632" w:rsidRDefault="00E35632">
            <w:pPr>
              <w:pStyle w:val="ConsPlusNormal"/>
              <w:jc w:val="center"/>
            </w:pPr>
            <w:r>
              <w:t>Практически неразмягчаемые</w:t>
            </w:r>
          </w:p>
        </w:tc>
      </w:tr>
      <w:tr w:rsidR="00E35632">
        <w:tblPrEx>
          <w:tblBorders>
            <w:insideH w:val="none" w:sz="0" w:space="0" w:color="auto"/>
          </w:tblBorders>
        </w:tblPrEx>
        <w:tc>
          <w:tcPr>
            <w:tcW w:w="2256" w:type="dxa"/>
            <w:tcBorders>
              <w:top w:val="nil"/>
              <w:bottom w:val="single" w:sz="4" w:space="0" w:color="auto"/>
            </w:tcBorders>
          </w:tcPr>
          <w:p w:rsidR="00E35632" w:rsidRDefault="00E35632">
            <w:pPr>
              <w:pStyle w:val="ConsPlusNormal"/>
            </w:pPr>
            <w:r>
              <w:t>Сильновыветрелые</w:t>
            </w:r>
          </w:p>
        </w:tc>
        <w:tc>
          <w:tcPr>
            <w:tcW w:w="1627" w:type="dxa"/>
            <w:tcBorders>
              <w:top w:val="nil"/>
              <w:bottom w:val="single" w:sz="4" w:space="0" w:color="auto"/>
            </w:tcBorders>
          </w:tcPr>
          <w:p w:rsidR="00E35632" w:rsidRDefault="00E35632">
            <w:pPr>
              <w:pStyle w:val="ConsPlusNormal"/>
              <w:jc w:val="center"/>
            </w:pPr>
            <w:r>
              <w:rPr>
                <w:noProof/>
                <w:position w:val="-6"/>
              </w:rPr>
              <w:drawing>
                <wp:inline distT="0" distB="0" distL="0" distR="0">
                  <wp:extent cx="935990" cy="219075"/>
                  <wp:effectExtent l="0" t="0" r="0" b="0"/>
                  <wp:docPr id="72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935990" cy="219075"/>
                          </a:xfrm>
                          <a:prstGeom prst="rect">
                            <a:avLst/>
                          </a:prstGeom>
                          <a:noFill/>
                          <a:ln>
                            <a:noFill/>
                          </a:ln>
                        </pic:spPr>
                      </pic:pic>
                    </a:graphicData>
                  </a:graphic>
                </wp:inline>
              </w:drawing>
            </w:r>
          </w:p>
        </w:tc>
        <w:tc>
          <w:tcPr>
            <w:tcW w:w="1718" w:type="dxa"/>
            <w:tcBorders>
              <w:top w:val="nil"/>
              <w:bottom w:val="single" w:sz="4" w:space="0" w:color="auto"/>
            </w:tcBorders>
          </w:tcPr>
          <w:p w:rsidR="00E35632" w:rsidRDefault="00E35632">
            <w:pPr>
              <w:pStyle w:val="ConsPlusNormal"/>
              <w:jc w:val="center"/>
            </w:pPr>
            <w:r>
              <w:t>Более 0,2</w:t>
            </w:r>
          </w:p>
        </w:tc>
        <w:tc>
          <w:tcPr>
            <w:tcW w:w="1539" w:type="dxa"/>
            <w:tcBorders>
              <w:top w:val="nil"/>
              <w:bottom w:val="single" w:sz="4" w:space="0" w:color="auto"/>
            </w:tcBorders>
          </w:tcPr>
          <w:p w:rsidR="00E35632" w:rsidRDefault="00E35632">
            <w:pPr>
              <w:pStyle w:val="ConsPlusNormal"/>
              <w:jc w:val="center"/>
            </w:pPr>
            <w:r>
              <w:t>Менее 5</w:t>
            </w:r>
          </w:p>
        </w:tc>
        <w:tc>
          <w:tcPr>
            <w:tcW w:w="1913" w:type="dxa"/>
            <w:tcBorders>
              <w:top w:val="nil"/>
              <w:bottom w:val="single" w:sz="4" w:space="0" w:color="auto"/>
            </w:tcBorders>
          </w:tcPr>
          <w:p w:rsidR="00E35632" w:rsidRDefault="00E35632">
            <w:pPr>
              <w:pStyle w:val="ConsPlusNormal"/>
              <w:jc w:val="center"/>
            </w:pPr>
            <w:r>
              <w:t>Размягчаемые</w:t>
            </w:r>
          </w:p>
        </w:tc>
      </w:tr>
    </w:tbl>
    <w:p w:rsidR="00E35632" w:rsidRDefault="00E35632">
      <w:pPr>
        <w:pStyle w:val="ConsPlusNormal"/>
        <w:jc w:val="both"/>
      </w:pPr>
    </w:p>
    <w:p w:rsidR="00E35632" w:rsidRDefault="00E35632">
      <w:pPr>
        <w:pStyle w:val="ConsPlusNormal"/>
        <w:jc w:val="right"/>
      </w:pPr>
      <w:r>
        <w:t>Таблица И.2</w:t>
      </w:r>
    </w:p>
    <w:p w:rsidR="00E35632" w:rsidRDefault="00E35632">
      <w:pPr>
        <w:pStyle w:val="ConsPlusNormal"/>
        <w:jc w:val="both"/>
      </w:pPr>
    </w:p>
    <w:p w:rsidR="00E35632" w:rsidRDefault="00E35632">
      <w:pPr>
        <w:pStyle w:val="ConsPlusNormal"/>
        <w:jc w:val="center"/>
      </w:pPr>
      <w:r>
        <w:rPr>
          <w:b/>
        </w:rPr>
        <w:t>Значения предела прочности на одноосное сжатие</w:t>
      </w:r>
    </w:p>
    <w:p w:rsidR="00E35632" w:rsidRDefault="00E35632">
      <w:pPr>
        <w:pStyle w:val="ConsPlusNormal"/>
        <w:jc w:val="center"/>
      </w:pPr>
      <w:r>
        <w:rPr>
          <w:b/>
        </w:rPr>
        <w:t>в водонасыщенном состоянии</w:t>
      </w:r>
      <w:r>
        <w:t xml:space="preserve"> </w:t>
      </w:r>
      <w:r>
        <w:rPr>
          <w:b/>
          <w:i/>
        </w:rPr>
        <w:t>R</w:t>
      </w:r>
      <w:r>
        <w:rPr>
          <w:b/>
          <w:i/>
          <w:vertAlign w:val="subscript"/>
        </w:rPr>
        <w:t>c</w:t>
      </w:r>
      <w:r>
        <w:t xml:space="preserve"> </w:t>
      </w:r>
      <w:r>
        <w:rPr>
          <w:b/>
        </w:rPr>
        <w:t>элювия скальных</w:t>
      </w:r>
    </w:p>
    <w:p w:rsidR="00E35632" w:rsidRDefault="00E35632">
      <w:pPr>
        <w:pStyle w:val="ConsPlusNormal"/>
        <w:jc w:val="center"/>
      </w:pPr>
      <w:r>
        <w:rPr>
          <w:b/>
        </w:rPr>
        <w:t>грунтов осадочных сцементированных пород</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381"/>
        <w:gridCol w:w="2251"/>
        <w:gridCol w:w="2213"/>
        <w:gridCol w:w="2203"/>
      </w:tblGrid>
      <w:tr w:rsidR="00E35632">
        <w:tc>
          <w:tcPr>
            <w:tcW w:w="2381" w:type="dxa"/>
            <w:vMerge w:val="restart"/>
            <w:tcBorders>
              <w:top w:val="single" w:sz="4" w:space="0" w:color="auto"/>
              <w:bottom w:val="single" w:sz="4" w:space="0" w:color="auto"/>
            </w:tcBorders>
            <w:vAlign w:val="center"/>
          </w:tcPr>
          <w:p w:rsidR="00E35632" w:rsidRDefault="00E35632">
            <w:pPr>
              <w:pStyle w:val="ConsPlusNormal"/>
              <w:jc w:val="center"/>
            </w:pPr>
            <w:r>
              <w:t xml:space="preserve">Степень выветрелости </w:t>
            </w:r>
            <w:r>
              <w:rPr>
                <w:i/>
              </w:rPr>
              <w:t>K</w:t>
            </w:r>
            <w:r>
              <w:rPr>
                <w:i/>
                <w:vertAlign w:val="subscript"/>
              </w:rPr>
              <w:t>wr</w:t>
            </w:r>
          </w:p>
        </w:tc>
        <w:tc>
          <w:tcPr>
            <w:tcW w:w="6667" w:type="dxa"/>
            <w:gridSpan w:val="3"/>
            <w:tcBorders>
              <w:top w:val="single" w:sz="4" w:space="0" w:color="auto"/>
              <w:bottom w:val="single" w:sz="4" w:space="0" w:color="auto"/>
            </w:tcBorders>
            <w:vAlign w:val="center"/>
          </w:tcPr>
          <w:p w:rsidR="00E35632" w:rsidRDefault="00E35632">
            <w:pPr>
              <w:pStyle w:val="ConsPlusNormal"/>
              <w:jc w:val="center"/>
            </w:pPr>
            <w:r>
              <w:t xml:space="preserve">Значения </w:t>
            </w:r>
            <w:r>
              <w:rPr>
                <w:i/>
              </w:rPr>
              <w:t>R</w:t>
            </w:r>
            <w:r>
              <w:rPr>
                <w:i/>
                <w:vertAlign w:val="subscript"/>
              </w:rPr>
              <w:t>c</w:t>
            </w:r>
            <w:r>
              <w:t>, МПа, для элювия осадочных скальных грунтов</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2251" w:type="dxa"/>
            <w:vMerge w:val="restart"/>
            <w:tcBorders>
              <w:top w:val="single" w:sz="4" w:space="0" w:color="auto"/>
              <w:bottom w:val="single" w:sz="4" w:space="0" w:color="auto"/>
            </w:tcBorders>
            <w:vAlign w:val="center"/>
          </w:tcPr>
          <w:p w:rsidR="00E35632" w:rsidRDefault="00E35632">
            <w:pPr>
              <w:pStyle w:val="ConsPlusNormal"/>
              <w:jc w:val="center"/>
            </w:pPr>
            <w:r>
              <w:t>Аргиллиты и алевролиты</w:t>
            </w:r>
          </w:p>
        </w:tc>
        <w:tc>
          <w:tcPr>
            <w:tcW w:w="4416" w:type="dxa"/>
            <w:gridSpan w:val="2"/>
            <w:tcBorders>
              <w:top w:val="single" w:sz="4" w:space="0" w:color="auto"/>
              <w:bottom w:val="single" w:sz="4" w:space="0" w:color="auto"/>
            </w:tcBorders>
            <w:vAlign w:val="center"/>
          </w:tcPr>
          <w:p w:rsidR="00E35632" w:rsidRDefault="00E35632">
            <w:pPr>
              <w:pStyle w:val="ConsPlusNormal"/>
              <w:jc w:val="center"/>
            </w:pPr>
            <w:r>
              <w:t>Песчаники с преобладанием цемента</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2213" w:type="dxa"/>
            <w:tcBorders>
              <w:top w:val="single" w:sz="4" w:space="0" w:color="auto"/>
              <w:bottom w:val="single" w:sz="4" w:space="0" w:color="auto"/>
            </w:tcBorders>
            <w:vAlign w:val="center"/>
          </w:tcPr>
          <w:p w:rsidR="00E35632" w:rsidRDefault="00E35632">
            <w:pPr>
              <w:pStyle w:val="ConsPlusNormal"/>
              <w:jc w:val="center"/>
            </w:pPr>
            <w:r>
              <w:t>глинистого</w:t>
            </w:r>
          </w:p>
        </w:tc>
        <w:tc>
          <w:tcPr>
            <w:tcW w:w="2203" w:type="dxa"/>
            <w:tcBorders>
              <w:top w:val="single" w:sz="4" w:space="0" w:color="auto"/>
              <w:bottom w:val="single" w:sz="4" w:space="0" w:color="auto"/>
            </w:tcBorders>
            <w:vAlign w:val="center"/>
          </w:tcPr>
          <w:p w:rsidR="00E35632" w:rsidRDefault="00E35632">
            <w:pPr>
              <w:pStyle w:val="ConsPlusNormal"/>
              <w:jc w:val="center"/>
            </w:pPr>
            <w:r>
              <w:t>карбонатного</w:t>
            </w:r>
          </w:p>
        </w:tc>
      </w:tr>
      <w:tr w:rsidR="00E35632">
        <w:tblPrEx>
          <w:tblBorders>
            <w:insideH w:val="none" w:sz="0" w:space="0" w:color="auto"/>
          </w:tblBorders>
        </w:tblPrEx>
        <w:tc>
          <w:tcPr>
            <w:tcW w:w="2381" w:type="dxa"/>
            <w:tcBorders>
              <w:top w:val="single" w:sz="4" w:space="0" w:color="auto"/>
              <w:bottom w:val="nil"/>
            </w:tcBorders>
          </w:tcPr>
          <w:p w:rsidR="00E35632" w:rsidRDefault="00E35632">
            <w:pPr>
              <w:pStyle w:val="ConsPlusNormal"/>
              <w:jc w:val="center"/>
            </w:pPr>
            <w:r>
              <w:t xml:space="preserve">1 &gt; </w:t>
            </w:r>
            <w:r>
              <w:rPr>
                <w:i/>
              </w:rPr>
              <w:t>K</w:t>
            </w:r>
            <w:r>
              <w:rPr>
                <w:i/>
                <w:vertAlign w:val="subscript"/>
              </w:rPr>
              <w:t>wr</w:t>
            </w:r>
            <w:r>
              <w:t xml:space="preserve"> &gt;= 0,95</w:t>
            </w:r>
          </w:p>
        </w:tc>
        <w:tc>
          <w:tcPr>
            <w:tcW w:w="2251" w:type="dxa"/>
            <w:tcBorders>
              <w:top w:val="single" w:sz="4" w:space="0" w:color="auto"/>
              <w:bottom w:val="nil"/>
            </w:tcBorders>
          </w:tcPr>
          <w:p w:rsidR="00E35632" w:rsidRDefault="00E35632">
            <w:pPr>
              <w:pStyle w:val="ConsPlusNormal"/>
              <w:jc w:val="center"/>
            </w:pPr>
            <w:r>
              <w:t>12 - 20</w:t>
            </w:r>
          </w:p>
        </w:tc>
        <w:tc>
          <w:tcPr>
            <w:tcW w:w="2213" w:type="dxa"/>
            <w:tcBorders>
              <w:top w:val="single" w:sz="4" w:space="0" w:color="auto"/>
              <w:bottom w:val="nil"/>
            </w:tcBorders>
          </w:tcPr>
          <w:p w:rsidR="00E35632" w:rsidRDefault="00E35632">
            <w:pPr>
              <w:pStyle w:val="ConsPlusNormal"/>
              <w:jc w:val="center"/>
            </w:pPr>
            <w:r>
              <w:t>30 - 50</w:t>
            </w:r>
          </w:p>
        </w:tc>
        <w:tc>
          <w:tcPr>
            <w:tcW w:w="2203" w:type="dxa"/>
            <w:tcBorders>
              <w:top w:val="single" w:sz="4" w:space="0" w:color="auto"/>
              <w:bottom w:val="nil"/>
            </w:tcBorders>
          </w:tcPr>
          <w:p w:rsidR="00E35632" w:rsidRDefault="00E35632">
            <w:pPr>
              <w:pStyle w:val="ConsPlusNormal"/>
              <w:jc w:val="center"/>
            </w:pPr>
            <w:r>
              <w:t>50 - 95</w:t>
            </w:r>
          </w:p>
        </w:tc>
      </w:tr>
      <w:tr w:rsidR="00E35632">
        <w:tblPrEx>
          <w:tblBorders>
            <w:insideH w:val="none" w:sz="0" w:space="0" w:color="auto"/>
          </w:tblBorders>
        </w:tblPrEx>
        <w:tc>
          <w:tcPr>
            <w:tcW w:w="2381" w:type="dxa"/>
            <w:tcBorders>
              <w:top w:val="nil"/>
              <w:bottom w:val="nil"/>
            </w:tcBorders>
          </w:tcPr>
          <w:p w:rsidR="00E35632" w:rsidRDefault="00E35632">
            <w:pPr>
              <w:pStyle w:val="ConsPlusNormal"/>
              <w:jc w:val="center"/>
            </w:pPr>
            <w:r>
              <w:t xml:space="preserve">0,95 &gt; </w:t>
            </w:r>
            <w:r>
              <w:rPr>
                <w:i/>
              </w:rPr>
              <w:t>K</w:t>
            </w:r>
            <w:r>
              <w:rPr>
                <w:i/>
                <w:vertAlign w:val="subscript"/>
              </w:rPr>
              <w:t>wr</w:t>
            </w:r>
            <w:r>
              <w:t xml:space="preserve"> &gt;= 0,9</w:t>
            </w:r>
          </w:p>
        </w:tc>
        <w:tc>
          <w:tcPr>
            <w:tcW w:w="2251" w:type="dxa"/>
            <w:tcBorders>
              <w:top w:val="nil"/>
              <w:bottom w:val="nil"/>
            </w:tcBorders>
          </w:tcPr>
          <w:p w:rsidR="00E35632" w:rsidRDefault="00E35632">
            <w:pPr>
              <w:pStyle w:val="ConsPlusNormal"/>
              <w:jc w:val="center"/>
            </w:pPr>
            <w:r>
              <w:t>8 - 12</w:t>
            </w:r>
          </w:p>
        </w:tc>
        <w:tc>
          <w:tcPr>
            <w:tcW w:w="2213" w:type="dxa"/>
            <w:tcBorders>
              <w:top w:val="nil"/>
              <w:bottom w:val="nil"/>
            </w:tcBorders>
          </w:tcPr>
          <w:p w:rsidR="00E35632" w:rsidRDefault="00E35632">
            <w:pPr>
              <w:pStyle w:val="ConsPlusNormal"/>
              <w:jc w:val="center"/>
            </w:pPr>
            <w:r>
              <w:t>15 - 30</w:t>
            </w:r>
          </w:p>
        </w:tc>
        <w:tc>
          <w:tcPr>
            <w:tcW w:w="2203" w:type="dxa"/>
            <w:tcBorders>
              <w:top w:val="nil"/>
              <w:bottom w:val="nil"/>
            </w:tcBorders>
          </w:tcPr>
          <w:p w:rsidR="00E35632" w:rsidRDefault="00E35632">
            <w:pPr>
              <w:pStyle w:val="ConsPlusNormal"/>
              <w:jc w:val="center"/>
            </w:pPr>
            <w:r>
              <w:t>30 - 50</w:t>
            </w:r>
          </w:p>
        </w:tc>
      </w:tr>
      <w:tr w:rsidR="00E35632">
        <w:tblPrEx>
          <w:tblBorders>
            <w:insideH w:val="none" w:sz="0" w:space="0" w:color="auto"/>
          </w:tblBorders>
        </w:tblPrEx>
        <w:tc>
          <w:tcPr>
            <w:tcW w:w="2381" w:type="dxa"/>
            <w:tcBorders>
              <w:top w:val="nil"/>
              <w:bottom w:val="nil"/>
            </w:tcBorders>
          </w:tcPr>
          <w:p w:rsidR="00E35632" w:rsidRDefault="00E35632">
            <w:pPr>
              <w:pStyle w:val="ConsPlusNormal"/>
              <w:jc w:val="center"/>
            </w:pPr>
            <w:r>
              <w:t xml:space="preserve">0,9 &gt; </w:t>
            </w:r>
            <w:r>
              <w:rPr>
                <w:i/>
              </w:rPr>
              <w:t>K</w:t>
            </w:r>
            <w:r>
              <w:rPr>
                <w:i/>
                <w:vertAlign w:val="subscript"/>
              </w:rPr>
              <w:t>wr</w:t>
            </w:r>
            <w:r>
              <w:t xml:space="preserve"> &gt;= 0,85</w:t>
            </w:r>
          </w:p>
        </w:tc>
        <w:tc>
          <w:tcPr>
            <w:tcW w:w="2251" w:type="dxa"/>
            <w:tcBorders>
              <w:top w:val="nil"/>
              <w:bottom w:val="nil"/>
            </w:tcBorders>
          </w:tcPr>
          <w:p w:rsidR="00E35632" w:rsidRDefault="00E35632">
            <w:pPr>
              <w:pStyle w:val="ConsPlusNormal"/>
              <w:jc w:val="center"/>
            </w:pPr>
            <w:r>
              <w:t>5 - 8</w:t>
            </w:r>
          </w:p>
        </w:tc>
        <w:tc>
          <w:tcPr>
            <w:tcW w:w="2213" w:type="dxa"/>
            <w:tcBorders>
              <w:top w:val="nil"/>
              <w:bottom w:val="nil"/>
            </w:tcBorders>
          </w:tcPr>
          <w:p w:rsidR="00E35632" w:rsidRDefault="00E35632">
            <w:pPr>
              <w:pStyle w:val="ConsPlusNormal"/>
              <w:jc w:val="center"/>
            </w:pPr>
            <w:r>
              <w:t>7,5 - 15</w:t>
            </w:r>
          </w:p>
        </w:tc>
        <w:tc>
          <w:tcPr>
            <w:tcW w:w="2203" w:type="dxa"/>
            <w:tcBorders>
              <w:top w:val="nil"/>
              <w:bottom w:val="nil"/>
            </w:tcBorders>
          </w:tcPr>
          <w:p w:rsidR="00E35632" w:rsidRDefault="00E35632">
            <w:pPr>
              <w:pStyle w:val="ConsPlusNormal"/>
              <w:jc w:val="center"/>
            </w:pPr>
            <w:r>
              <w:t>10 - 30</w:t>
            </w:r>
          </w:p>
        </w:tc>
      </w:tr>
      <w:tr w:rsidR="00E35632">
        <w:tblPrEx>
          <w:tblBorders>
            <w:insideH w:val="none" w:sz="0" w:space="0" w:color="auto"/>
          </w:tblBorders>
        </w:tblPrEx>
        <w:tc>
          <w:tcPr>
            <w:tcW w:w="2381" w:type="dxa"/>
            <w:tcBorders>
              <w:top w:val="nil"/>
              <w:bottom w:val="nil"/>
            </w:tcBorders>
          </w:tcPr>
          <w:p w:rsidR="00E35632" w:rsidRDefault="00E35632">
            <w:pPr>
              <w:pStyle w:val="ConsPlusNormal"/>
              <w:jc w:val="center"/>
            </w:pPr>
            <w:r>
              <w:t xml:space="preserve">0,85 &gt; </w:t>
            </w:r>
            <w:r>
              <w:rPr>
                <w:i/>
              </w:rPr>
              <w:t>K</w:t>
            </w:r>
            <w:r>
              <w:rPr>
                <w:i/>
                <w:vertAlign w:val="subscript"/>
              </w:rPr>
              <w:t>wr</w:t>
            </w:r>
            <w:r>
              <w:t xml:space="preserve"> &gt;= 0,8</w:t>
            </w:r>
          </w:p>
        </w:tc>
        <w:tc>
          <w:tcPr>
            <w:tcW w:w="2251" w:type="dxa"/>
            <w:tcBorders>
              <w:top w:val="nil"/>
              <w:bottom w:val="nil"/>
            </w:tcBorders>
          </w:tcPr>
          <w:p w:rsidR="00E35632" w:rsidRDefault="00E35632">
            <w:pPr>
              <w:pStyle w:val="ConsPlusNormal"/>
              <w:jc w:val="center"/>
            </w:pPr>
            <w:r>
              <w:t>2,5 - 5,0</w:t>
            </w:r>
          </w:p>
        </w:tc>
        <w:tc>
          <w:tcPr>
            <w:tcW w:w="2213" w:type="dxa"/>
            <w:tcBorders>
              <w:top w:val="nil"/>
              <w:bottom w:val="nil"/>
            </w:tcBorders>
          </w:tcPr>
          <w:p w:rsidR="00E35632" w:rsidRDefault="00E35632">
            <w:pPr>
              <w:pStyle w:val="ConsPlusNormal"/>
              <w:jc w:val="center"/>
            </w:pPr>
            <w:r>
              <w:t>5,0 - 7,5</w:t>
            </w:r>
          </w:p>
        </w:tc>
        <w:tc>
          <w:tcPr>
            <w:tcW w:w="2203" w:type="dxa"/>
            <w:tcBorders>
              <w:top w:val="nil"/>
              <w:bottom w:val="nil"/>
            </w:tcBorders>
          </w:tcPr>
          <w:p w:rsidR="00E35632" w:rsidRDefault="00E35632">
            <w:pPr>
              <w:pStyle w:val="ConsPlusNormal"/>
              <w:jc w:val="center"/>
            </w:pPr>
            <w:r>
              <w:t>5 - 10</w:t>
            </w:r>
          </w:p>
        </w:tc>
      </w:tr>
      <w:tr w:rsidR="00E35632">
        <w:tblPrEx>
          <w:tblBorders>
            <w:insideH w:val="none" w:sz="0" w:space="0" w:color="auto"/>
          </w:tblBorders>
        </w:tblPrEx>
        <w:tc>
          <w:tcPr>
            <w:tcW w:w="2381" w:type="dxa"/>
            <w:tcBorders>
              <w:top w:val="nil"/>
              <w:bottom w:val="single" w:sz="4" w:space="0" w:color="auto"/>
            </w:tcBorders>
          </w:tcPr>
          <w:p w:rsidR="00E35632" w:rsidRDefault="00E35632">
            <w:pPr>
              <w:pStyle w:val="ConsPlusNormal"/>
              <w:jc w:val="center"/>
            </w:pPr>
            <w:r>
              <w:rPr>
                <w:i/>
              </w:rPr>
              <w:t>K</w:t>
            </w:r>
            <w:r>
              <w:rPr>
                <w:i/>
                <w:vertAlign w:val="subscript"/>
              </w:rPr>
              <w:t>wr</w:t>
            </w:r>
            <w:r>
              <w:t xml:space="preserve"> &lt; 0,8</w:t>
            </w:r>
          </w:p>
        </w:tc>
        <w:tc>
          <w:tcPr>
            <w:tcW w:w="2251" w:type="dxa"/>
            <w:tcBorders>
              <w:top w:val="nil"/>
              <w:bottom w:val="single" w:sz="4" w:space="0" w:color="auto"/>
            </w:tcBorders>
          </w:tcPr>
          <w:p w:rsidR="00E35632" w:rsidRDefault="00E35632">
            <w:pPr>
              <w:pStyle w:val="ConsPlusNormal"/>
              <w:jc w:val="center"/>
            </w:pPr>
            <w:r>
              <w:t>Менее 2,5</w:t>
            </w:r>
          </w:p>
        </w:tc>
        <w:tc>
          <w:tcPr>
            <w:tcW w:w="2213" w:type="dxa"/>
            <w:tcBorders>
              <w:top w:val="nil"/>
              <w:bottom w:val="single" w:sz="4" w:space="0" w:color="auto"/>
            </w:tcBorders>
          </w:tcPr>
          <w:p w:rsidR="00E35632" w:rsidRDefault="00E35632">
            <w:pPr>
              <w:pStyle w:val="ConsPlusNormal"/>
              <w:jc w:val="center"/>
            </w:pPr>
            <w:r>
              <w:t>Менее 5</w:t>
            </w:r>
          </w:p>
        </w:tc>
        <w:tc>
          <w:tcPr>
            <w:tcW w:w="2203" w:type="dxa"/>
            <w:tcBorders>
              <w:top w:val="nil"/>
              <w:bottom w:val="single" w:sz="4" w:space="0" w:color="auto"/>
            </w:tcBorders>
          </w:tcPr>
          <w:p w:rsidR="00E35632" w:rsidRDefault="00E35632">
            <w:pPr>
              <w:pStyle w:val="ConsPlusNormal"/>
              <w:jc w:val="center"/>
            </w:pPr>
            <w:r>
              <w:t>Менее 5</w:t>
            </w:r>
          </w:p>
        </w:tc>
      </w:tr>
    </w:tbl>
    <w:p w:rsidR="00E35632" w:rsidRDefault="00E35632">
      <w:pPr>
        <w:pStyle w:val="ConsPlusNormal"/>
        <w:jc w:val="both"/>
      </w:pPr>
    </w:p>
    <w:p w:rsidR="00E35632" w:rsidRDefault="00E35632">
      <w:pPr>
        <w:pStyle w:val="ConsPlusNormal"/>
        <w:jc w:val="right"/>
      </w:pPr>
      <w:r>
        <w:t>Таблица И.3</w:t>
      </w:r>
    </w:p>
    <w:p w:rsidR="00E35632" w:rsidRDefault="00E35632">
      <w:pPr>
        <w:pStyle w:val="ConsPlusNormal"/>
        <w:jc w:val="both"/>
      </w:pPr>
    </w:p>
    <w:p w:rsidR="00E35632" w:rsidRDefault="00E35632">
      <w:pPr>
        <w:pStyle w:val="ConsPlusNormal"/>
        <w:jc w:val="center"/>
      </w:pPr>
      <w:bookmarkStart w:id="311" w:name="P7410"/>
      <w:bookmarkEnd w:id="311"/>
      <w:r>
        <w:rPr>
          <w:b/>
        </w:rPr>
        <w:t>Значения модуля деформации разновидностей</w:t>
      </w:r>
    </w:p>
    <w:p w:rsidR="00E35632" w:rsidRDefault="00E35632">
      <w:pPr>
        <w:pStyle w:val="ConsPlusNormal"/>
        <w:jc w:val="center"/>
      </w:pPr>
      <w:r>
        <w:rPr>
          <w:b/>
        </w:rPr>
        <w:t>элювиальных крупнообломочных грунтов</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18"/>
        <w:gridCol w:w="1514"/>
        <w:gridCol w:w="1560"/>
        <w:gridCol w:w="1440"/>
        <w:gridCol w:w="1440"/>
      </w:tblGrid>
      <w:tr w:rsidR="00E35632">
        <w:tc>
          <w:tcPr>
            <w:tcW w:w="3118" w:type="dxa"/>
            <w:vMerge w:val="restart"/>
            <w:vAlign w:val="center"/>
          </w:tcPr>
          <w:p w:rsidR="00E35632" w:rsidRDefault="00E35632">
            <w:pPr>
              <w:pStyle w:val="ConsPlusNormal"/>
              <w:jc w:val="center"/>
            </w:pPr>
            <w:r>
              <w:t>Разновидность крупнообломочных грунтов</w:t>
            </w:r>
          </w:p>
        </w:tc>
        <w:tc>
          <w:tcPr>
            <w:tcW w:w="5954" w:type="dxa"/>
            <w:gridSpan w:val="4"/>
            <w:vAlign w:val="center"/>
          </w:tcPr>
          <w:p w:rsidR="00E35632" w:rsidRDefault="00E35632">
            <w:pPr>
              <w:pStyle w:val="ConsPlusNormal"/>
              <w:jc w:val="center"/>
            </w:pPr>
            <w:r>
              <w:t xml:space="preserve">Значения модуля деформации </w:t>
            </w:r>
            <w:r>
              <w:rPr>
                <w:i/>
              </w:rPr>
              <w:t>E</w:t>
            </w:r>
            <w:r>
              <w:t>, МПа, при исходных образующих породах</w:t>
            </w:r>
          </w:p>
        </w:tc>
      </w:tr>
      <w:tr w:rsidR="00E35632">
        <w:tc>
          <w:tcPr>
            <w:tcW w:w="0" w:type="auto"/>
            <w:vMerge/>
          </w:tcPr>
          <w:p w:rsidR="00E35632" w:rsidRDefault="00E35632">
            <w:pPr>
              <w:pStyle w:val="ConsPlusNormal"/>
            </w:pPr>
          </w:p>
        </w:tc>
        <w:tc>
          <w:tcPr>
            <w:tcW w:w="3074" w:type="dxa"/>
            <w:gridSpan w:val="2"/>
            <w:vAlign w:val="center"/>
          </w:tcPr>
          <w:p w:rsidR="00E35632" w:rsidRDefault="00E35632">
            <w:pPr>
              <w:pStyle w:val="ConsPlusNormal"/>
              <w:jc w:val="center"/>
            </w:pPr>
            <w:r>
              <w:t>магматических и метаморфических</w:t>
            </w:r>
          </w:p>
        </w:tc>
        <w:tc>
          <w:tcPr>
            <w:tcW w:w="2880" w:type="dxa"/>
            <w:gridSpan w:val="2"/>
            <w:vAlign w:val="center"/>
          </w:tcPr>
          <w:p w:rsidR="00E35632" w:rsidRDefault="00E35632">
            <w:pPr>
              <w:pStyle w:val="ConsPlusNormal"/>
              <w:jc w:val="center"/>
            </w:pPr>
            <w:r>
              <w:t>осадочных сцементированных</w:t>
            </w:r>
          </w:p>
        </w:tc>
      </w:tr>
      <w:tr w:rsidR="00E35632">
        <w:tc>
          <w:tcPr>
            <w:tcW w:w="0" w:type="auto"/>
            <w:vMerge/>
          </w:tcPr>
          <w:p w:rsidR="00E35632" w:rsidRDefault="00E35632">
            <w:pPr>
              <w:pStyle w:val="ConsPlusNormal"/>
            </w:pPr>
          </w:p>
        </w:tc>
        <w:tc>
          <w:tcPr>
            <w:tcW w:w="1514" w:type="dxa"/>
            <w:vAlign w:val="center"/>
          </w:tcPr>
          <w:p w:rsidR="00E35632" w:rsidRDefault="00E35632">
            <w:pPr>
              <w:pStyle w:val="ConsPlusNormal"/>
              <w:jc w:val="center"/>
            </w:pPr>
            <w:r>
              <w:t>содержащих кварц</w:t>
            </w:r>
          </w:p>
        </w:tc>
        <w:tc>
          <w:tcPr>
            <w:tcW w:w="1560" w:type="dxa"/>
            <w:vAlign w:val="center"/>
          </w:tcPr>
          <w:p w:rsidR="00E35632" w:rsidRDefault="00E35632">
            <w:pPr>
              <w:pStyle w:val="ConsPlusNormal"/>
              <w:jc w:val="center"/>
            </w:pPr>
            <w:r>
              <w:t>бескварцевых</w:t>
            </w:r>
          </w:p>
        </w:tc>
        <w:tc>
          <w:tcPr>
            <w:tcW w:w="1440" w:type="dxa"/>
            <w:vAlign w:val="center"/>
          </w:tcPr>
          <w:p w:rsidR="00E35632" w:rsidRDefault="00E35632">
            <w:pPr>
              <w:pStyle w:val="ConsPlusNormal"/>
              <w:jc w:val="center"/>
            </w:pPr>
            <w:r>
              <w:t>песчаники</w:t>
            </w:r>
          </w:p>
        </w:tc>
        <w:tc>
          <w:tcPr>
            <w:tcW w:w="1440" w:type="dxa"/>
            <w:vAlign w:val="center"/>
          </w:tcPr>
          <w:p w:rsidR="00E35632" w:rsidRDefault="00E35632">
            <w:pPr>
              <w:pStyle w:val="ConsPlusNormal"/>
              <w:jc w:val="center"/>
            </w:pPr>
            <w:r>
              <w:t>аргиллиты и алевролиты</w:t>
            </w:r>
          </w:p>
        </w:tc>
      </w:tr>
      <w:tr w:rsidR="00E35632">
        <w:tc>
          <w:tcPr>
            <w:tcW w:w="3118" w:type="dxa"/>
          </w:tcPr>
          <w:p w:rsidR="00E35632" w:rsidRDefault="00E35632">
            <w:pPr>
              <w:pStyle w:val="ConsPlusNormal"/>
            </w:pPr>
            <w:r>
              <w:t>Глыбовые</w:t>
            </w:r>
          </w:p>
        </w:tc>
        <w:tc>
          <w:tcPr>
            <w:tcW w:w="1514" w:type="dxa"/>
          </w:tcPr>
          <w:p w:rsidR="00E35632" w:rsidRDefault="00E35632">
            <w:pPr>
              <w:pStyle w:val="ConsPlusNormal"/>
              <w:jc w:val="center"/>
            </w:pPr>
            <w:r>
              <w:t>Не менее 60</w:t>
            </w:r>
          </w:p>
        </w:tc>
        <w:tc>
          <w:tcPr>
            <w:tcW w:w="1560" w:type="dxa"/>
          </w:tcPr>
          <w:p w:rsidR="00E35632" w:rsidRDefault="00E35632">
            <w:pPr>
              <w:pStyle w:val="ConsPlusNormal"/>
              <w:jc w:val="center"/>
            </w:pPr>
            <w:r>
              <w:t>Не менее 50</w:t>
            </w:r>
          </w:p>
        </w:tc>
        <w:tc>
          <w:tcPr>
            <w:tcW w:w="1440" w:type="dxa"/>
          </w:tcPr>
          <w:p w:rsidR="00E35632" w:rsidRDefault="00E35632">
            <w:pPr>
              <w:pStyle w:val="ConsPlusNormal"/>
              <w:jc w:val="center"/>
            </w:pPr>
            <w:r>
              <w:t>Не менее 50</w:t>
            </w:r>
          </w:p>
        </w:tc>
        <w:tc>
          <w:tcPr>
            <w:tcW w:w="1440" w:type="dxa"/>
          </w:tcPr>
          <w:p w:rsidR="00E35632" w:rsidRDefault="00E35632">
            <w:pPr>
              <w:pStyle w:val="ConsPlusNormal"/>
              <w:jc w:val="center"/>
            </w:pPr>
            <w:r>
              <w:t>Не менее 40</w:t>
            </w:r>
          </w:p>
        </w:tc>
      </w:tr>
      <w:tr w:rsidR="00E35632">
        <w:tc>
          <w:tcPr>
            <w:tcW w:w="3118" w:type="dxa"/>
          </w:tcPr>
          <w:p w:rsidR="00E35632" w:rsidRDefault="00E35632">
            <w:pPr>
              <w:pStyle w:val="ConsPlusNormal"/>
            </w:pPr>
            <w:r>
              <w:t>Щебенистые выветрелые</w:t>
            </w:r>
          </w:p>
        </w:tc>
        <w:tc>
          <w:tcPr>
            <w:tcW w:w="1514" w:type="dxa"/>
          </w:tcPr>
          <w:p w:rsidR="00E35632" w:rsidRDefault="00E35632">
            <w:pPr>
              <w:pStyle w:val="ConsPlusNormal"/>
              <w:jc w:val="center"/>
            </w:pPr>
            <w:r>
              <w:t>40 - 60</w:t>
            </w:r>
          </w:p>
        </w:tc>
        <w:tc>
          <w:tcPr>
            <w:tcW w:w="1560" w:type="dxa"/>
          </w:tcPr>
          <w:p w:rsidR="00E35632" w:rsidRDefault="00E35632">
            <w:pPr>
              <w:pStyle w:val="ConsPlusNormal"/>
              <w:jc w:val="center"/>
            </w:pPr>
            <w:r>
              <w:t>35 - 50</w:t>
            </w:r>
          </w:p>
        </w:tc>
        <w:tc>
          <w:tcPr>
            <w:tcW w:w="1440" w:type="dxa"/>
          </w:tcPr>
          <w:p w:rsidR="00E35632" w:rsidRDefault="00E35632">
            <w:pPr>
              <w:pStyle w:val="ConsPlusNormal"/>
              <w:jc w:val="center"/>
            </w:pPr>
            <w:r>
              <w:t>40 - 50</w:t>
            </w:r>
          </w:p>
        </w:tc>
        <w:tc>
          <w:tcPr>
            <w:tcW w:w="1440" w:type="dxa"/>
          </w:tcPr>
          <w:p w:rsidR="00E35632" w:rsidRDefault="00E35632">
            <w:pPr>
              <w:pStyle w:val="ConsPlusNormal"/>
              <w:jc w:val="center"/>
            </w:pPr>
            <w:r>
              <w:t>35 - 40</w:t>
            </w:r>
          </w:p>
        </w:tc>
      </w:tr>
      <w:tr w:rsidR="00E35632">
        <w:tc>
          <w:tcPr>
            <w:tcW w:w="3118" w:type="dxa"/>
          </w:tcPr>
          <w:p w:rsidR="00E35632" w:rsidRDefault="00E35632">
            <w:pPr>
              <w:pStyle w:val="ConsPlusNormal"/>
            </w:pPr>
            <w:r>
              <w:t>Щебенисто-дресвяные слабовыветрелые</w:t>
            </w:r>
          </w:p>
        </w:tc>
        <w:tc>
          <w:tcPr>
            <w:tcW w:w="1514" w:type="dxa"/>
          </w:tcPr>
          <w:p w:rsidR="00E35632" w:rsidRDefault="00E35632">
            <w:pPr>
              <w:pStyle w:val="ConsPlusNormal"/>
              <w:jc w:val="center"/>
            </w:pPr>
            <w:r>
              <w:t>30 - 40</w:t>
            </w:r>
          </w:p>
        </w:tc>
        <w:tc>
          <w:tcPr>
            <w:tcW w:w="1560" w:type="dxa"/>
          </w:tcPr>
          <w:p w:rsidR="00E35632" w:rsidRDefault="00E35632">
            <w:pPr>
              <w:pStyle w:val="ConsPlusNormal"/>
              <w:jc w:val="center"/>
            </w:pPr>
            <w:r>
              <w:t>25 - 35</w:t>
            </w:r>
          </w:p>
        </w:tc>
        <w:tc>
          <w:tcPr>
            <w:tcW w:w="1440" w:type="dxa"/>
          </w:tcPr>
          <w:p w:rsidR="00E35632" w:rsidRDefault="00E35632">
            <w:pPr>
              <w:pStyle w:val="ConsPlusNormal"/>
              <w:jc w:val="center"/>
            </w:pPr>
            <w:r>
              <w:t>30 - 40</w:t>
            </w:r>
          </w:p>
        </w:tc>
        <w:tc>
          <w:tcPr>
            <w:tcW w:w="1440" w:type="dxa"/>
          </w:tcPr>
          <w:p w:rsidR="00E35632" w:rsidRDefault="00E35632">
            <w:pPr>
              <w:pStyle w:val="ConsPlusNormal"/>
              <w:jc w:val="center"/>
            </w:pPr>
            <w:r>
              <w:t>20 - 35</w:t>
            </w:r>
          </w:p>
        </w:tc>
      </w:tr>
      <w:tr w:rsidR="00E35632">
        <w:tc>
          <w:tcPr>
            <w:tcW w:w="3118" w:type="dxa"/>
          </w:tcPr>
          <w:p w:rsidR="00E35632" w:rsidRDefault="00E35632">
            <w:pPr>
              <w:pStyle w:val="ConsPlusNormal"/>
            </w:pPr>
            <w:r>
              <w:t>Дресвяные сильновыветрелые</w:t>
            </w:r>
          </w:p>
        </w:tc>
        <w:tc>
          <w:tcPr>
            <w:tcW w:w="1514" w:type="dxa"/>
          </w:tcPr>
          <w:p w:rsidR="00E35632" w:rsidRDefault="00E35632">
            <w:pPr>
              <w:pStyle w:val="ConsPlusNormal"/>
              <w:jc w:val="center"/>
            </w:pPr>
            <w:r>
              <w:t>Менее 30</w:t>
            </w:r>
          </w:p>
        </w:tc>
        <w:tc>
          <w:tcPr>
            <w:tcW w:w="1560" w:type="dxa"/>
          </w:tcPr>
          <w:p w:rsidR="00E35632" w:rsidRDefault="00E35632">
            <w:pPr>
              <w:pStyle w:val="ConsPlusNormal"/>
              <w:jc w:val="center"/>
            </w:pPr>
            <w:r>
              <w:t>Менее 25</w:t>
            </w:r>
          </w:p>
        </w:tc>
        <w:tc>
          <w:tcPr>
            <w:tcW w:w="1440" w:type="dxa"/>
          </w:tcPr>
          <w:p w:rsidR="00E35632" w:rsidRDefault="00E35632">
            <w:pPr>
              <w:pStyle w:val="ConsPlusNormal"/>
              <w:jc w:val="center"/>
            </w:pPr>
            <w:r>
              <w:t>Менее 30</w:t>
            </w:r>
          </w:p>
        </w:tc>
        <w:tc>
          <w:tcPr>
            <w:tcW w:w="1440" w:type="dxa"/>
          </w:tcPr>
          <w:p w:rsidR="00E35632" w:rsidRDefault="00E35632">
            <w:pPr>
              <w:pStyle w:val="ConsPlusNormal"/>
              <w:jc w:val="center"/>
            </w:pPr>
            <w:r>
              <w:t>Менее 20</w:t>
            </w:r>
          </w:p>
        </w:tc>
      </w:tr>
    </w:tbl>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right"/>
        <w:outlineLvl w:val="0"/>
      </w:pPr>
      <w:r>
        <w:rPr>
          <w:b/>
        </w:rPr>
        <w:t>Приложение К</w:t>
      </w:r>
    </w:p>
    <w:p w:rsidR="00E35632" w:rsidRDefault="00E35632">
      <w:pPr>
        <w:pStyle w:val="ConsPlusNormal"/>
        <w:jc w:val="right"/>
      </w:pPr>
      <w:r>
        <w:t xml:space="preserve">(в ред. </w:t>
      </w:r>
      <w:hyperlink r:id="rId1011">
        <w:r>
          <w:rPr>
            <w:color w:val="0000FF"/>
          </w:rPr>
          <w:t>Изменения N 3</w:t>
        </w:r>
      </w:hyperlink>
      <w:r>
        <w:t>, утв. Приказом Минстроя России от 22.11.2019 N 722/пр)</w:t>
      </w:r>
    </w:p>
    <w:p w:rsidR="00E35632" w:rsidRDefault="00E35632">
      <w:pPr>
        <w:pStyle w:val="ConsPlusNormal"/>
        <w:jc w:val="both"/>
      </w:pPr>
    </w:p>
    <w:p w:rsidR="00E35632" w:rsidRDefault="00E35632">
      <w:pPr>
        <w:pStyle w:val="ConsPlusTitle"/>
        <w:jc w:val="center"/>
      </w:pPr>
      <w:bookmarkStart w:id="312" w:name="P7449"/>
      <w:bookmarkEnd w:id="312"/>
      <w:r>
        <w:t>ПРЕДЕЛЬНЫЕ ДОПОЛНИТЕЛЬНЫЕ ДЕФОРМАЦИИ ОСНОВАНИЯ ФУНДАМЕНТОВ</w:t>
      </w:r>
    </w:p>
    <w:p w:rsidR="00E35632" w:rsidRDefault="00E35632">
      <w:pPr>
        <w:pStyle w:val="ConsPlusTitle"/>
        <w:jc w:val="center"/>
      </w:pPr>
      <w:r>
        <w:t>СООРУЖЕНИЙ ОКРУЖАЮЩЕЙ ЗАСТРОЙКИ, РАСПОЛОЖЕННЫХ В ЗОНЕ</w:t>
      </w:r>
    </w:p>
    <w:p w:rsidR="00E35632" w:rsidRDefault="00E35632">
      <w:pPr>
        <w:pStyle w:val="ConsPlusTitle"/>
        <w:jc w:val="center"/>
      </w:pPr>
      <w:r>
        <w:t>ВЛИЯНИЯ НОВОГО СТРОИТЕЛЬСТВА ИЛИ РЕКОНСТРУКЦИИ</w:t>
      </w:r>
    </w:p>
    <w:p w:rsidR="00E35632" w:rsidRDefault="00E35632">
      <w:pPr>
        <w:pStyle w:val="ConsPlusNormal"/>
        <w:jc w:val="both"/>
      </w:pPr>
    </w:p>
    <w:p w:rsidR="00E35632" w:rsidRDefault="00E35632">
      <w:pPr>
        <w:pStyle w:val="ConsPlusNormal"/>
        <w:jc w:val="right"/>
      </w:pPr>
      <w:bookmarkStart w:id="313" w:name="P7453"/>
      <w:bookmarkEnd w:id="313"/>
      <w:r>
        <w:t>Таблица К.1</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020"/>
        <w:gridCol w:w="1560"/>
        <w:gridCol w:w="1843"/>
        <w:gridCol w:w="1637"/>
      </w:tblGrid>
      <w:tr w:rsidR="00E35632">
        <w:tc>
          <w:tcPr>
            <w:tcW w:w="4020" w:type="dxa"/>
            <w:vMerge w:val="restart"/>
            <w:tcBorders>
              <w:top w:val="single" w:sz="4" w:space="0" w:color="auto"/>
              <w:bottom w:val="single" w:sz="4" w:space="0" w:color="auto"/>
            </w:tcBorders>
            <w:vAlign w:val="center"/>
          </w:tcPr>
          <w:p w:rsidR="00E35632" w:rsidRDefault="00E35632">
            <w:pPr>
              <w:pStyle w:val="ConsPlusNormal"/>
              <w:jc w:val="center"/>
            </w:pPr>
            <w:r>
              <w:t>Сооружения</w:t>
            </w:r>
          </w:p>
        </w:tc>
        <w:tc>
          <w:tcPr>
            <w:tcW w:w="1560" w:type="dxa"/>
            <w:vMerge w:val="restart"/>
            <w:tcBorders>
              <w:top w:val="single" w:sz="4" w:space="0" w:color="auto"/>
              <w:bottom w:val="single" w:sz="4" w:space="0" w:color="auto"/>
            </w:tcBorders>
            <w:vAlign w:val="center"/>
          </w:tcPr>
          <w:p w:rsidR="00E35632" w:rsidRDefault="00E35632">
            <w:pPr>
              <w:pStyle w:val="ConsPlusNormal"/>
              <w:jc w:val="center"/>
            </w:pPr>
            <w:r>
              <w:t>Категории технического состояния зданий</w:t>
            </w:r>
          </w:p>
        </w:tc>
        <w:tc>
          <w:tcPr>
            <w:tcW w:w="3480" w:type="dxa"/>
            <w:gridSpan w:val="2"/>
            <w:tcBorders>
              <w:top w:val="single" w:sz="4" w:space="0" w:color="auto"/>
              <w:bottom w:val="single" w:sz="4" w:space="0" w:color="auto"/>
            </w:tcBorders>
            <w:vAlign w:val="center"/>
          </w:tcPr>
          <w:p w:rsidR="00E35632" w:rsidRDefault="00E35632">
            <w:pPr>
              <w:pStyle w:val="ConsPlusNormal"/>
              <w:jc w:val="center"/>
            </w:pPr>
            <w:r>
              <w:t>Предельные дополнительные деформации основания фундаментов</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0" w:type="auto"/>
            <w:vMerge/>
            <w:tcBorders>
              <w:top w:val="single" w:sz="4" w:space="0" w:color="auto"/>
              <w:bottom w:val="single" w:sz="4" w:space="0" w:color="auto"/>
            </w:tcBorders>
          </w:tcPr>
          <w:p w:rsidR="00E35632" w:rsidRDefault="00E35632">
            <w:pPr>
              <w:pStyle w:val="ConsPlusNormal"/>
            </w:pPr>
          </w:p>
        </w:tc>
        <w:tc>
          <w:tcPr>
            <w:tcW w:w="1843" w:type="dxa"/>
            <w:tcBorders>
              <w:top w:val="single" w:sz="4" w:space="0" w:color="auto"/>
              <w:bottom w:val="single" w:sz="4" w:space="0" w:color="auto"/>
            </w:tcBorders>
            <w:vAlign w:val="center"/>
          </w:tcPr>
          <w:p w:rsidR="00E35632" w:rsidRDefault="00E35632">
            <w:pPr>
              <w:pStyle w:val="ConsPlusNormal"/>
              <w:jc w:val="center"/>
            </w:pPr>
            <w:r>
              <w:t>Относительная разность осадок </w:t>
            </w:r>
            <w:r>
              <w:rPr>
                <w:noProof/>
                <w:position w:val="-8"/>
              </w:rPr>
              <w:drawing>
                <wp:inline distT="0" distB="0" distL="0" distR="0">
                  <wp:extent cx="593725" cy="251460"/>
                  <wp:effectExtent l="0" t="0" r="0" b="0"/>
                  <wp:docPr id="72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593725" cy="251460"/>
                          </a:xfrm>
                          <a:prstGeom prst="rect">
                            <a:avLst/>
                          </a:prstGeom>
                          <a:noFill/>
                          <a:ln>
                            <a:noFill/>
                          </a:ln>
                        </pic:spPr>
                      </pic:pic>
                    </a:graphicData>
                  </a:graphic>
                </wp:inline>
              </w:drawing>
            </w:r>
          </w:p>
        </w:tc>
        <w:tc>
          <w:tcPr>
            <w:tcW w:w="1637" w:type="dxa"/>
            <w:tcBorders>
              <w:top w:val="single" w:sz="4" w:space="0" w:color="auto"/>
              <w:bottom w:val="single" w:sz="4" w:space="0" w:color="auto"/>
            </w:tcBorders>
            <w:vAlign w:val="center"/>
          </w:tcPr>
          <w:p w:rsidR="00E35632" w:rsidRDefault="00E35632">
            <w:pPr>
              <w:pStyle w:val="ConsPlusNormal"/>
              <w:jc w:val="center"/>
            </w:pPr>
            <w:r>
              <w:t xml:space="preserve">Максимальная осадка </w:t>
            </w:r>
            <w:r>
              <w:rPr>
                <w:noProof/>
                <w:position w:val="-10"/>
              </w:rPr>
              <w:drawing>
                <wp:inline distT="0" distB="0" distL="0" distR="0">
                  <wp:extent cx="310515" cy="276860"/>
                  <wp:effectExtent l="0" t="0" r="0" b="0"/>
                  <wp:docPr id="72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310515" cy="276860"/>
                          </a:xfrm>
                          <a:prstGeom prst="rect">
                            <a:avLst/>
                          </a:prstGeom>
                          <a:noFill/>
                          <a:ln>
                            <a:noFill/>
                          </a:ln>
                        </pic:spPr>
                      </pic:pic>
                    </a:graphicData>
                  </a:graphic>
                </wp:inline>
              </w:drawing>
            </w:r>
            <w:r>
              <w:t>, см</w:t>
            </w:r>
          </w:p>
        </w:tc>
      </w:tr>
      <w:tr w:rsidR="00E35632">
        <w:tc>
          <w:tcPr>
            <w:tcW w:w="4020" w:type="dxa"/>
            <w:vMerge w:val="restart"/>
            <w:tcBorders>
              <w:top w:val="single" w:sz="4" w:space="0" w:color="auto"/>
              <w:bottom w:val="single" w:sz="4" w:space="0" w:color="auto"/>
            </w:tcBorders>
          </w:tcPr>
          <w:p w:rsidR="00E35632" w:rsidRDefault="00E35632">
            <w:pPr>
              <w:pStyle w:val="ConsPlusNormal"/>
            </w:pPr>
            <w:r>
              <w:t>1 Гражданские и производственные одноэтажные и многоэтажные здания с полным железобетонным или стальным каркасом</w:t>
            </w:r>
          </w:p>
        </w:tc>
        <w:tc>
          <w:tcPr>
            <w:tcW w:w="1560" w:type="dxa"/>
            <w:tcBorders>
              <w:top w:val="single" w:sz="4" w:space="0" w:color="auto"/>
              <w:bottom w:val="nil"/>
            </w:tcBorders>
          </w:tcPr>
          <w:p w:rsidR="00E35632" w:rsidRDefault="00E35632">
            <w:pPr>
              <w:pStyle w:val="ConsPlusNormal"/>
              <w:jc w:val="center"/>
            </w:pPr>
            <w:r>
              <w:t>I</w:t>
            </w:r>
          </w:p>
        </w:tc>
        <w:tc>
          <w:tcPr>
            <w:tcW w:w="1843" w:type="dxa"/>
            <w:tcBorders>
              <w:top w:val="single" w:sz="4" w:space="0" w:color="auto"/>
              <w:bottom w:val="nil"/>
            </w:tcBorders>
          </w:tcPr>
          <w:p w:rsidR="00E35632" w:rsidRDefault="00E35632">
            <w:pPr>
              <w:pStyle w:val="ConsPlusNormal"/>
              <w:jc w:val="center"/>
            </w:pPr>
            <w:r>
              <w:t>0,0020</w:t>
            </w:r>
          </w:p>
        </w:tc>
        <w:tc>
          <w:tcPr>
            <w:tcW w:w="1637" w:type="dxa"/>
            <w:tcBorders>
              <w:top w:val="single" w:sz="4" w:space="0" w:color="auto"/>
              <w:bottom w:val="nil"/>
            </w:tcBorders>
          </w:tcPr>
          <w:p w:rsidR="00E35632" w:rsidRDefault="00E35632">
            <w:pPr>
              <w:pStyle w:val="ConsPlusNormal"/>
              <w:jc w:val="center"/>
            </w:pPr>
            <w:r>
              <w:t>5,0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560" w:type="dxa"/>
            <w:tcBorders>
              <w:top w:val="nil"/>
              <w:bottom w:val="nil"/>
            </w:tcBorders>
          </w:tcPr>
          <w:p w:rsidR="00E35632" w:rsidRDefault="00E35632">
            <w:pPr>
              <w:pStyle w:val="ConsPlusNormal"/>
              <w:jc w:val="center"/>
            </w:pPr>
            <w:r>
              <w:t>II</w:t>
            </w:r>
          </w:p>
        </w:tc>
        <w:tc>
          <w:tcPr>
            <w:tcW w:w="1843" w:type="dxa"/>
            <w:tcBorders>
              <w:top w:val="nil"/>
              <w:bottom w:val="nil"/>
            </w:tcBorders>
          </w:tcPr>
          <w:p w:rsidR="00E35632" w:rsidRDefault="00E35632">
            <w:pPr>
              <w:pStyle w:val="ConsPlusNormal"/>
              <w:jc w:val="center"/>
            </w:pPr>
            <w:r>
              <w:t>0,0010</w:t>
            </w:r>
          </w:p>
        </w:tc>
        <w:tc>
          <w:tcPr>
            <w:tcW w:w="1637" w:type="dxa"/>
            <w:tcBorders>
              <w:top w:val="nil"/>
              <w:bottom w:val="nil"/>
            </w:tcBorders>
          </w:tcPr>
          <w:p w:rsidR="00E35632" w:rsidRDefault="00E35632">
            <w:pPr>
              <w:pStyle w:val="ConsPlusNormal"/>
              <w:jc w:val="center"/>
            </w:pPr>
            <w:r>
              <w:t>3,0</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560" w:type="dxa"/>
            <w:tcBorders>
              <w:top w:val="nil"/>
              <w:bottom w:val="single" w:sz="4" w:space="0" w:color="auto"/>
            </w:tcBorders>
          </w:tcPr>
          <w:p w:rsidR="00E35632" w:rsidRDefault="00E35632">
            <w:pPr>
              <w:pStyle w:val="ConsPlusNormal"/>
              <w:jc w:val="center"/>
            </w:pPr>
            <w:r>
              <w:t>III</w:t>
            </w:r>
          </w:p>
        </w:tc>
        <w:tc>
          <w:tcPr>
            <w:tcW w:w="1843" w:type="dxa"/>
            <w:tcBorders>
              <w:top w:val="nil"/>
              <w:bottom w:val="single" w:sz="4" w:space="0" w:color="auto"/>
            </w:tcBorders>
          </w:tcPr>
          <w:p w:rsidR="00E35632" w:rsidRDefault="00E35632">
            <w:pPr>
              <w:pStyle w:val="ConsPlusNormal"/>
              <w:jc w:val="center"/>
            </w:pPr>
            <w:r>
              <w:t>0,0007</w:t>
            </w:r>
          </w:p>
        </w:tc>
        <w:tc>
          <w:tcPr>
            <w:tcW w:w="1637" w:type="dxa"/>
            <w:tcBorders>
              <w:top w:val="nil"/>
              <w:bottom w:val="single" w:sz="4" w:space="0" w:color="auto"/>
            </w:tcBorders>
          </w:tcPr>
          <w:p w:rsidR="00E35632" w:rsidRDefault="00E35632">
            <w:pPr>
              <w:pStyle w:val="ConsPlusNormal"/>
              <w:jc w:val="center"/>
            </w:pPr>
            <w:r>
              <w:t>2,0</w:t>
            </w:r>
          </w:p>
        </w:tc>
      </w:tr>
      <w:tr w:rsidR="00E35632">
        <w:tc>
          <w:tcPr>
            <w:tcW w:w="4020" w:type="dxa"/>
            <w:vMerge w:val="restart"/>
            <w:tcBorders>
              <w:top w:val="single" w:sz="4" w:space="0" w:color="auto"/>
              <w:bottom w:val="single" w:sz="4" w:space="0" w:color="auto"/>
            </w:tcBorders>
          </w:tcPr>
          <w:p w:rsidR="00E35632" w:rsidRDefault="00E35632">
            <w:pPr>
              <w:pStyle w:val="ConsPlusNormal"/>
            </w:pPr>
            <w:r>
              <w:t>2 Многоэтажные бескаркасные здания с несущими стенами из крупных панелей</w:t>
            </w:r>
          </w:p>
        </w:tc>
        <w:tc>
          <w:tcPr>
            <w:tcW w:w="1560" w:type="dxa"/>
            <w:tcBorders>
              <w:top w:val="single" w:sz="4" w:space="0" w:color="auto"/>
              <w:bottom w:val="nil"/>
            </w:tcBorders>
          </w:tcPr>
          <w:p w:rsidR="00E35632" w:rsidRDefault="00E35632">
            <w:pPr>
              <w:pStyle w:val="ConsPlusNormal"/>
              <w:jc w:val="center"/>
            </w:pPr>
            <w:r>
              <w:t>I</w:t>
            </w:r>
          </w:p>
        </w:tc>
        <w:tc>
          <w:tcPr>
            <w:tcW w:w="1843" w:type="dxa"/>
            <w:tcBorders>
              <w:top w:val="single" w:sz="4" w:space="0" w:color="auto"/>
              <w:bottom w:val="nil"/>
            </w:tcBorders>
          </w:tcPr>
          <w:p w:rsidR="00E35632" w:rsidRDefault="00E35632">
            <w:pPr>
              <w:pStyle w:val="ConsPlusNormal"/>
              <w:jc w:val="center"/>
            </w:pPr>
            <w:r>
              <w:t>0,0016</w:t>
            </w:r>
          </w:p>
        </w:tc>
        <w:tc>
          <w:tcPr>
            <w:tcW w:w="1637" w:type="dxa"/>
            <w:tcBorders>
              <w:top w:val="single" w:sz="4" w:space="0" w:color="auto"/>
              <w:bottom w:val="nil"/>
            </w:tcBorders>
          </w:tcPr>
          <w:p w:rsidR="00E35632" w:rsidRDefault="00E35632">
            <w:pPr>
              <w:pStyle w:val="ConsPlusNormal"/>
              <w:jc w:val="center"/>
            </w:pPr>
            <w:r>
              <w:t>4,0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560" w:type="dxa"/>
            <w:tcBorders>
              <w:top w:val="nil"/>
              <w:bottom w:val="nil"/>
            </w:tcBorders>
          </w:tcPr>
          <w:p w:rsidR="00E35632" w:rsidRDefault="00E35632">
            <w:pPr>
              <w:pStyle w:val="ConsPlusNormal"/>
              <w:jc w:val="center"/>
            </w:pPr>
            <w:r>
              <w:t>II</w:t>
            </w:r>
          </w:p>
        </w:tc>
        <w:tc>
          <w:tcPr>
            <w:tcW w:w="1843" w:type="dxa"/>
            <w:tcBorders>
              <w:top w:val="nil"/>
              <w:bottom w:val="nil"/>
            </w:tcBorders>
          </w:tcPr>
          <w:p w:rsidR="00E35632" w:rsidRDefault="00E35632">
            <w:pPr>
              <w:pStyle w:val="ConsPlusNormal"/>
              <w:jc w:val="center"/>
            </w:pPr>
            <w:r>
              <w:t>0,0008</w:t>
            </w:r>
          </w:p>
        </w:tc>
        <w:tc>
          <w:tcPr>
            <w:tcW w:w="1637" w:type="dxa"/>
            <w:tcBorders>
              <w:top w:val="nil"/>
              <w:bottom w:val="nil"/>
            </w:tcBorders>
          </w:tcPr>
          <w:p w:rsidR="00E35632" w:rsidRDefault="00E35632">
            <w:pPr>
              <w:pStyle w:val="ConsPlusNormal"/>
              <w:jc w:val="center"/>
            </w:pPr>
            <w:r>
              <w:t>3,0</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560" w:type="dxa"/>
            <w:tcBorders>
              <w:top w:val="nil"/>
              <w:bottom w:val="single" w:sz="4" w:space="0" w:color="auto"/>
            </w:tcBorders>
          </w:tcPr>
          <w:p w:rsidR="00E35632" w:rsidRDefault="00E35632">
            <w:pPr>
              <w:pStyle w:val="ConsPlusNormal"/>
              <w:jc w:val="center"/>
            </w:pPr>
            <w:r>
              <w:t>III</w:t>
            </w:r>
          </w:p>
        </w:tc>
        <w:tc>
          <w:tcPr>
            <w:tcW w:w="1843" w:type="dxa"/>
            <w:tcBorders>
              <w:top w:val="nil"/>
              <w:bottom w:val="single" w:sz="4" w:space="0" w:color="auto"/>
            </w:tcBorders>
          </w:tcPr>
          <w:p w:rsidR="00E35632" w:rsidRDefault="00E35632">
            <w:pPr>
              <w:pStyle w:val="ConsPlusNormal"/>
              <w:jc w:val="center"/>
            </w:pPr>
            <w:r>
              <w:t>0,0005</w:t>
            </w:r>
          </w:p>
        </w:tc>
        <w:tc>
          <w:tcPr>
            <w:tcW w:w="1637" w:type="dxa"/>
            <w:tcBorders>
              <w:top w:val="nil"/>
              <w:bottom w:val="single" w:sz="4" w:space="0" w:color="auto"/>
            </w:tcBorders>
          </w:tcPr>
          <w:p w:rsidR="00E35632" w:rsidRDefault="00E35632">
            <w:pPr>
              <w:pStyle w:val="ConsPlusNormal"/>
              <w:jc w:val="center"/>
            </w:pPr>
            <w:r>
              <w:t>2,0</w:t>
            </w:r>
          </w:p>
        </w:tc>
      </w:tr>
      <w:tr w:rsidR="00E35632">
        <w:tc>
          <w:tcPr>
            <w:tcW w:w="4020" w:type="dxa"/>
            <w:vMerge w:val="restart"/>
            <w:tcBorders>
              <w:top w:val="single" w:sz="4" w:space="0" w:color="auto"/>
              <w:bottom w:val="single" w:sz="4" w:space="0" w:color="auto"/>
            </w:tcBorders>
          </w:tcPr>
          <w:p w:rsidR="00E35632" w:rsidRDefault="00E35632">
            <w:pPr>
              <w:pStyle w:val="ConsPlusNormal"/>
            </w:pPr>
            <w:r>
              <w:t>3 Многоэтажные бескаркасные здания с несущими стенами из крупных блоков или кирпичной кладки без армирования</w:t>
            </w:r>
          </w:p>
        </w:tc>
        <w:tc>
          <w:tcPr>
            <w:tcW w:w="1560" w:type="dxa"/>
            <w:tcBorders>
              <w:top w:val="single" w:sz="4" w:space="0" w:color="auto"/>
              <w:bottom w:val="nil"/>
            </w:tcBorders>
          </w:tcPr>
          <w:p w:rsidR="00E35632" w:rsidRDefault="00E35632">
            <w:pPr>
              <w:pStyle w:val="ConsPlusNormal"/>
              <w:jc w:val="center"/>
            </w:pPr>
            <w:r>
              <w:t>I</w:t>
            </w:r>
          </w:p>
        </w:tc>
        <w:tc>
          <w:tcPr>
            <w:tcW w:w="1843" w:type="dxa"/>
            <w:tcBorders>
              <w:top w:val="single" w:sz="4" w:space="0" w:color="auto"/>
              <w:bottom w:val="nil"/>
            </w:tcBorders>
          </w:tcPr>
          <w:p w:rsidR="00E35632" w:rsidRDefault="00E35632">
            <w:pPr>
              <w:pStyle w:val="ConsPlusNormal"/>
              <w:jc w:val="center"/>
            </w:pPr>
            <w:r>
              <w:t>0,0020</w:t>
            </w:r>
          </w:p>
        </w:tc>
        <w:tc>
          <w:tcPr>
            <w:tcW w:w="1637" w:type="dxa"/>
            <w:tcBorders>
              <w:top w:val="single" w:sz="4" w:space="0" w:color="auto"/>
              <w:bottom w:val="nil"/>
            </w:tcBorders>
          </w:tcPr>
          <w:p w:rsidR="00E35632" w:rsidRDefault="00E35632">
            <w:pPr>
              <w:pStyle w:val="ConsPlusNormal"/>
              <w:jc w:val="center"/>
            </w:pPr>
            <w:r>
              <w:t>4,0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560" w:type="dxa"/>
            <w:tcBorders>
              <w:top w:val="nil"/>
              <w:bottom w:val="nil"/>
            </w:tcBorders>
          </w:tcPr>
          <w:p w:rsidR="00E35632" w:rsidRDefault="00E35632">
            <w:pPr>
              <w:pStyle w:val="ConsPlusNormal"/>
              <w:jc w:val="center"/>
            </w:pPr>
            <w:r>
              <w:t>II</w:t>
            </w:r>
          </w:p>
        </w:tc>
        <w:tc>
          <w:tcPr>
            <w:tcW w:w="1843" w:type="dxa"/>
            <w:tcBorders>
              <w:top w:val="nil"/>
              <w:bottom w:val="nil"/>
            </w:tcBorders>
          </w:tcPr>
          <w:p w:rsidR="00E35632" w:rsidRDefault="00E35632">
            <w:pPr>
              <w:pStyle w:val="ConsPlusNormal"/>
              <w:jc w:val="center"/>
            </w:pPr>
            <w:r>
              <w:t>0,0010</w:t>
            </w:r>
          </w:p>
        </w:tc>
        <w:tc>
          <w:tcPr>
            <w:tcW w:w="1637" w:type="dxa"/>
            <w:tcBorders>
              <w:top w:val="nil"/>
              <w:bottom w:val="nil"/>
            </w:tcBorders>
          </w:tcPr>
          <w:p w:rsidR="00E35632" w:rsidRDefault="00E35632">
            <w:pPr>
              <w:pStyle w:val="ConsPlusNormal"/>
              <w:jc w:val="center"/>
            </w:pPr>
            <w:r>
              <w:t>3,0</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560" w:type="dxa"/>
            <w:tcBorders>
              <w:top w:val="nil"/>
              <w:bottom w:val="single" w:sz="4" w:space="0" w:color="auto"/>
            </w:tcBorders>
          </w:tcPr>
          <w:p w:rsidR="00E35632" w:rsidRDefault="00E35632">
            <w:pPr>
              <w:pStyle w:val="ConsPlusNormal"/>
              <w:jc w:val="center"/>
            </w:pPr>
            <w:r>
              <w:t>III</w:t>
            </w:r>
          </w:p>
        </w:tc>
        <w:tc>
          <w:tcPr>
            <w:tcW w:w="1843" w:type="dxa"/>
            <w:tcBorders>
              <w:top w:val="nil"/>
              <w:bottom w:val="single" w:sz="4" w:space="0" w:color="auto"/>
            </w:tcBorders>
          </w:tcPr>
          <w:p w:rsidR="00E35632" w:rsidRDefault="00E35632">
            <w:pPr>
              <w:pStyle w:val="ConsPlusNormal"/>
              <w:jc w:val="center"/>
            </w:pPr>
            <w:r>
              <w:t>0,0007</w:t>
            </w:r>
          </w:p>
        </w:tc>
        <w:tc>
          <w:tcPr>
            <w:tcW w:w="1637" w:type="dxa"/>
            <w:tcBorders>
              <w:top w:val="nil"/>
              <w:bottom w:val="single" w:sz="4" w:space="0" w:color="auto"/>
            </w:tcBorders>
          </w:tcPr>
          <w:p w:rsidR="00E35632" w:rsidRDefault="00E35632">
            <w:pPr>
              <w:pStyle w:val="ConsPlusNormal"/>
              <w:jc w:val="center"/>
            </w:pPr>
            <w:r>
              <w:t>1,0</w:t>
            </w:r>
          </w:p>
        </w:tc>
      </w:tr>
      <w:tr w:rsidR="00E35632">
        <w:tc>
          <w:tcPr>
            <w:tcW w:w="4020" w:type="dxa"/>
            <w:vMerge w:val="restart"/>
            <w:tcBorders>
              <w:top w:val="single" w:sz="4" w:space="0" w:color="auto"/>
              <w:bottom w:val="single" w:sz="4" w:space="0" w:color="auto"/>
            </w:tcBorders>
          </w:tcPr>
          <w:p w:rsidR="00E35632" w:rsidRDefault="00E35632">
            <w:pPr>
              <w:pStyle w:val="ConsPlusNormal"/>
            </w:pPr>
            <w:r>
              <w:t>4 Многоэтажные бескаркасные здания с несущими стенами из кирпича или бетонных блоков с арматурными или железобетонными поясами</w:t>
            </w:r>
          </w:p>
        </w:tc>
        <w:tc>
          <w:tcPr>
            <w:tcW w:w="1560" w:type="dxa"/>
            <w:tcBorders>
              <w:top w:val="single" w:sz="4" w:space="0" w:color="auto"/>
              <w:bottom w:val="nil"/>
            </w:tcBorders>
          </w:tcPr>
          <w:p w:rsidR="00E35632" w:rsidRDefault="00E35632">
            <w:pPr>
              <w:pStyle w:val="ConsPlusNormal"/>
              <w:jc w:val="center"/>
            </w:pPr>
            <w:r>
              <w:t>I</w:t>
            </w:r>
          </w:p>
        </w:tc>
        <w:tc>
          <w:tcPr>
            <w:tcW w:w="1843" w:type="dxa"/>
            <w:tcBorders>
              <w:top w:val="single" w:sz="4" w:space="0" w:color="auto"/>
              <w:bottom w:val="nil"/>
            </w:tcBorders>
          </w:tcPr>
          <w:p w:rsidR="00E35632" w:rsidRDefault="00E35632">
            <w:pPr>
              <w:pStyle w:val="ConsPlusNormal"/>
              <w:jc w:val="center"/>
            </w:pPr>
            <w:r>
              <w:t>0,0024</w:t>
            </w:r>
          </w:p>
        </w:tc>
        <w:tc>
          <w:tcPr>
            <w:tcW w:w="1637" w:type="dxa"/>
            <w:tcBorders>
              <w:top w:val="single" w:sz="4" w:space="0" w:color="auto"/>
              <w:bottom w:val="nil"/>
            </w:tcBorders>
          </w:tcPr>
          <w:p w:rsidR="00E35632" w:rsidRDefault="00E35632">
            <w:pPr>
              <w:pStyle w:val="ConsPlusNormal"/>
              <w:jc w:val="center"/>
            </w:pPr>
            <w:r>
              <w:t>5,0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560" w:type="dxa"/>
            <w:tcBorders>
              <w:top w:val="nil"/>
              <w:bottom w:val="nil"/>
            </w:tcBorders>
          </w:tcPr>
          <w:p w:rsidR="00E35632" w:rsidRDefault="00E35632">
            <w:pPr>
              <w:pStyle w:val="ConsPlusNormal"/>
              <w:jc w:val="center"/>
            </w:pPr>
            <w:r>
              <w:t>II</w:t>
            </w:r>
          </w:p>
        </w:tc>
        <w:tc>
          <w:tcPr>
            <w:tcW w:w="1843" w:type="dxa"/>
            <w:tcBorders>
              <w:top w:val="nil"/>
              <w:bottom w:val="nil"/>
            </w:tcBorders>
          </w:tcPr>
          <w:p w:rsidR="00E35632" w:rsidRDefault="00E35632">
            <w:pPr>
              <w:pStyle w:val="ConsPlusNormal"/>
              <w:jc w:val="center"/>
            </w:pPr>
            <w:r>
              <w:t>0,0015</w:t>
            </w:r>
          </w:p>
        </w:tc>
        <w:tc>
          <w:tcPr>
            <w:tcW w:w="1637" w:type="dxa"/>
            <w:tcBorders>
              <w:top w:val="nil"/>
              <w:bottom w:val="nil"/>
            </w:tcBorders>
          </w:tcPr>
          <w:p w:rsidR="00E35632" w:rsidRDefault="00E35632">
            <w:pPr>
              <w:pStyle w:val="ConsPlusNormal"/>
              <w:jc w:val="center"/>
            </w:pPr>
            <w:r>
              <w:t>3,0</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560" w:type="dxa"/>
            <w:tcBorders>
              <w:top w:val="nil"/>
              <w:bottom w:val="single" w:sz="4" w:space="0" w:color="auto"/>
            </w:tcBorders>
          </w:tcPr>
          <w:p w:rsidR="00E35632" w:rsidRDefault="00E35632">
            <w:pPr>
              <w:pStyle w:val="ConsPlusNormal"/>
              <w:jc w:val="center"/>
            </w:pPr>
            <w:r>
              <w:t>III</w:t>
            </w:r>
          </w:p>
        </w:tc>
        <w:tc>
          <w:tcPr>
            <w:tcW w:w="1843" w:type="dxa"/>
            <w:tcBorders>
              <w:top w:val="nil"/>
              <w:bottom w:val="single" w:sz="4" w:space="0" w:color="auto"/>
            </w:tcBorders>
          </w:tcPr>
          <w:p w:rsidR="00E35632" w:rsidRDefault="00E35632">
            <w:pPr>
              <w:pStyle w:val="ConsPlusNormal"/>
              <w:jc w:val="center"/>
            </w:pPr>
            <w:r>
              <w:t>0,0010</w:t>
            </w:r>
          </w:p>
        </w:tc>
        <w:tc>
          <w:tcPr>
            <w:tcW w:w="1637" w:type="dxa"/>
            <w:tcBorders>
              <w:top w:val="nil"/>
              <w:bottom w:val="single" w:sz="4" w:space="0" w:color="auto"/>
            </w:tcBorders>
          </w:tcPr>
          <w:p w:rsidR="00E35632" w:rsidRDefault="00E35632">
            <w:pPr>
              <w:pStyle w:val="ConsPlusNormal"/>
              <w:jc w:val="center"/>
            </w:pPr>
            <w:r>
              <w:t>2,0</w:t>
            </w:r>
          </w:p>
        </w:tc>
      </w:tr>
      <w:tr w:rsidR="00E35632">
        <w:tc>
          <w:tcPr>
            <w:tcW w:w="4020" w:type="dxa"/>
            <w:vMerge w:val="restart"/>
            <w:tcBorders>
              <w:top w:val="single" w:sz="4" w:space="0" w:color="auto"/>
              <w:bottom w:val="single" w:sz="4" w:space="0" w:color="auto"/>
            </w:tcBorders>
          </w:tcPr>
          <w:p w:rsidR="00E35632" w:rsidRDefault="00E35632">
            <w:pPr>
              <w:pStyle w:val="ConsPlusNormal"/>
            </w:pPr>
            <w:r>
              <w:t>5 Многоэтажные и одноэтажные здания исторической застройки или памятники истории, архитектуры и культуры с несущими стенами из кирпичной кладки без армирования</w:t>
            </w:r>
          </w:p>
        </w:tc>
        <w:tc>
          <w:tcPr>
            <w:tcW w:w="1560" w:type="dxa"/>
            <w:tcBorders>
              <w:top w:val="single" w:sz="4" w:space="0" w:color="auto"/>
              <w:bottom w:val="nil"/>
            </w:tcBorders>
          </w:tcPr>
          <w:p w:rsidR="00E35632" w:rsidRDefault="00E35632">
            <w:pPr>
              <w:pStyle w:val="ConsPlusNormal"/>
              <w:jc w:val="center"/>
            </w:pPr>
            <w:r>
              <w:t>I</w:t>
            </w:r>
          </w:p>
        </w:tc>
        <w:tc>
          <w:tcPr>
            <w:tcW w:w="1843" w:type="dxa"/>
            <w:tcBorders>
              <w:top w:val="single" w:sz="4" w:space="0" w:color="auto"/>
              <w:bottom w:val="nil"/>
            </w:tcBorders>
          </w:tcPr>
          <w:p w:rsidR="00E35632" w:rsidRDefault="00E35632">
            <w:pPr>
              <w:pStyle w:val="ConsPlusNormal"/>
              <w:jc w:val="center"/>
            </w:pPr>
            <w:r>
              <w:t>-</w:t>
            </w:r>
          </w:p>
        </w:tc>
        <w:tc>
          <w:tcPr>
            <w:tcW w:w="1637" w:type="dxa"/>
            <w:tcBorders>
              <w:top w:val="single" w:sz="4" w:space="0" w:color="auto"/>
              <w:bottom w:val="nil"/>
            </w:tcBorders>
          </w:tcPr>
          <w:p w:rsidR="00E35632" w:rsidRDefault="00E35632">
            <w:pPr>
              <w:pStyle w:val="ConsPlusNormal"/>
              <w:jc w:val="center"/>
            </w:pPr>
            <w:r>
              <w:t>-</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560" w:type="dxa"/>
            <w:tcBorders>
              <w:top w:val="nil"/>
              <w:bottom w:val="nil"/>
            </w:tcBorders>
          </w:tcPr>
          <w:p w:rsidR="00E35632" w:rsidRDefault="00E35632">
            <w:pPr>
              <w:pStyle w:val="ConsPlusNormal"/>
              <w:jc w:val="center"/>
            </w:pPr>
            <w:r>
              <w:t>II</w:t>
            </w:r>
          </w:p>
        </w:tc>
        <w:tc>
          <w:tcPr>
            <w:tcW w:w="1843" w:type="dxa"/>
            <w:tcBorders>
              <w:top w:val="nil"/>
              <w:bottom w:val="nil"/>
            </w:tcBorders>
          </w:tcPr>
          <w:p w:rsidR="00E35632" w:rsidRDefault="00E35632">
            <w:pPr>
              <w:pStyle w:val="ConsPlusNormal"/>
              <w:jc w:val="center"/>
            </w:pPr>
            <w:r>
              <w:t>0,0006</w:t>
            </w:r>
          </w:p>
        </w:tc>
        <w:tc>
          <w:tcPr>
            <w:tcW w:w="1637" w:type="dxa"/>
            <w:tcBorders>
              <w:top w:val="nil"/>
              <w:bottom w:val="nil"/>
            </w:tcBorders>
          </w:tcPr>
          <w:p w:rsidR="00E35632" w:rsidRDefault="00E35632">
            <w:pPr>
              <w:pStyle w:val="ConsPlusNormal"/>
              <w:jc w:val="center"/>
            </w:pPr>
            <w:r>
              <w:t>1,0</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560" w:type="dxa"/>
            <w:tcBorders>
              <w:top w:val="nil"/>
              <w:bottom w:val="single" w:sz="4" w:space="0" w:color="auto"/>
            </w:tcBorders>
          </w:tcPr>
          <w:p w:rsidR="00E35632" w:rsidRDefault="00E35632">
            <w:pPr>
              <w:pStyle w:val="ConsPlusNormal"/>
              <w:jc w:val="center"/>
            </w:pPr>
            <w:r>
              <w:t>III</w:t>
            </w:r>
          </w:p>
        </w:tc>
        <w:tc>
          <w:tcPr>
            <w:tcW w:w="1843" w:type="dxa"/>
            <w:tcBorders>
              <w:top w:val="nil"/>
              <w:bottom w:val="single" w:sz="4" w:space="0" w:color="auto"/>
            </w:tcBorders>
          </w:tcPr>
          <w:p w:rsidR="00E35632" w:rsidRDefault="00E35632">
            <w:pPr>
              <w:pStyle w:val="ConsPlusNormal"/>
              <w:jc w:val="center"/>
            </w:pPr>
            <w:r>
              <w:t>0,0004</w:t>
            </w:r>
          </w:p>
        </w:tc>
        <w:tc>
          <w:tcPr>
            <w:tcW w:w="1637" w:type="dxa"/>
            <w:tcBorders>
              <w:top w:val="nil"/>
              <w:bottom w:val="single" w:sz="4" w:space="0" w:color="auto"/>
            </w:tcBorders>
          </w:tcPr>
          <w:p w:rsidR="00E35632" w:rsidRDefault="00E35632">
            <w:pPr>
              <w:pStyle w:val="ConsPlusNormal"/>
              <w:jc w:val="center"/>
            </w:pPr>
            <w:r>
              <w:t>0,5</w:t>
            </w:r>
          </w:p>
        </w:tc>
      </w:tr>
      <w:tr w:rsidR="00E35632">
        <w:tc>
          <w:tcPr>
            <w:tcW w:w="4020" w:type="dxa"/>
            <w:vMerge w:val="restart"/>
            <w:tcBorders>
              <w:top w:val="single" w:sz="4" w:space="0" w:color="auto"/>
              <w:bottom w:val="single" w:sz="4" w:space="0" w:color="auto"/>
            </w:tcBorders>
          </w:tcPr>
          <w:p w:rsidR="00E35632" w:rsidRDefault="00E35632">
            <w:pPr>
              <w:pStyle w:val="ConsPlusNormal"/>
            </w:pPr>
            <w:r>
              <w:t>6 Высокие жесткие сооружения и трубы</w:t>
            </w:r>
          </w:p>
        </w:tc>
        <w:tc>
          <w:tcPr>
            <w:tcW w:w="1560" w:type="dxa"/>
            <w:tcBorders>
              <w:top w:val="single" w:sz="4" w:space="0" w:color="auto"/>
              <w:bottom w:val="nil"/>
            </w:tcBorders>
          </w:tcPr>
          <w:p w:rsidR="00E35632" w:rsidRDefault="00E35632">
            <w:pPr>
              <w:pStyle w:val="ConsPlusNormal"/>
              <w:jc w:val="center"/>
            </w:pPr>
            <w:r>
              <w:t>I</w:t>
            </w:r>
          </w:p>
        </w:tc>
        <w:tc>
          <w:tcPr>
            <w:tcW w:w="1843" w:type="dxa"/>
            <w:tcBorders>
              <w:top w:val="single" w:sz="4" w:space="0" w:color="auto"/>
              <w:bottom w:val="nil"/>
            </w:tcBorders>
          </w:tcPr>
          <w:p w:rsidR="00E35632" w:rsidRDefault="00E35632">
            <w:pPr>
              <w:pStyle w:val="ConsPlusNormal"/>
              <w:jc w:val="center"/>
            </w:pPr>
            <w:r>
              <w:t>0,004</w:t>
            </w:r>
          </w:p>
        </w:tc>
        <w:tc>
          <w:tcPr>
            <w:tcW w:w="1637" w:type="dxa"/>
            <w:tcBorders>
              <w:top w:val="single" w:sz="4" w:space="0" w:color="auto"/>
              <w:bottom w:val="nil"/>
            </w:tcBorders>
          </w:tcPr>
          <w:p w:rsidR="00E35632" w:rsidRDefault="00E35632">
            <w:pPr>
              <w:pStyle w:val="ConsPlusNormal"/>
              <w:jc w:val="center"/>
            </w:pPr>
            <w:r>
              <w:t>5,0</w:t>
            </w:r>
          </w:p>
        </w:tc>
      </w:tr>
      <w:tr w:rsidR="00E35632">
        <w:tblPrEx>
          <w:tblBorders>
            <w:insideH w:val="none" w:sz="0" w:space="0" w:color="auto"/>
          </w:tblBorders>
        </w:tblPrEx>
        <w:tc>
          <w:tcPr>
            <w:tcW w:w="0" w:type="auto"/>
            <w:vMerge/>
            <w:tcBorders>
              <w:top w:val="single" w:sz="4" w:space="0" w:color="auto"/>
              <w:bottom w:val="single" w:sz="4" w:space="0" w:color="auto"/>
            </w:tcBorders>
          </w:tcPr>
          <w:p w:rsidR="00E35632" w:rsidRDefault="00E35632">
            <w:pPr>
              <w:pStyle w:val="ConsPlusNormal"/>
            </w:pPr>
          </w:p>
        </w:tc>
        <w:tc>
          <w:tcPr>
            <w:tcW w:w="1560" w:type="dxa"/>
            <w:tcBorders>
              <w:top w:val="nil"/>
              <w:bottom w:val="nil"/>
            </w:tcBorders>
          </w:tcPr>
          <w:p w:rsidR="00E35632" w:rsidRDefault="00E35632">
            <w:pPr>
              <w:pStyle w:val="ConsPlusNormal"/>
              <w:jc w:val="center"/>
            </w:pPr>
            <w:r>
              <w:t>II</w:t>
            </w:r>
          </w:p>
        </w:tc>
        <w:tc>
          <w:tcPr>
            <w:tcW w:w="1843" w:type="dxa"/>
            <w:tcBorders>
              <w:top w:val="nil"/>
              <w:bottom w:val="nil"/>
            </w:tcBorders>
          </w:tcPr>
          <w:p w:rsidR="00E35632" w:rsidRDefault="00E35632">
            <w:pPr>
              <w:pStyle w:val="ConsPlusNormal"/>
              <w:jc w:val="center"/>
            </w:pPr>
            <w:r>
              <w:t>0,002</w:t>
            </w:r>
          </w:p>
        </w:tc>
        <w:tc>
          <w:tcPr>
            <w:tcW w:w="1637" w:type="dxa"/>
            <w:tcBorders>
              <w:top w:val="nil"/>
              <w:bottom w:val="nil"/>
            </w:tcBorders>
          </w:tcPr>
          <w:p w:rsidR="00E35632" w:rsidRDefault="00E35632">
            <w:pPr>
              <w:pStyle w:val="ConsPlusNormal"/>
              <w:jc w:val="center"/>
            </w:pPr>
            <w:r>
              <w:t>3,0</w:t>
            </w:r>
          </w:p>
        </w:tc>
      </w:tr>
      <w:tr w:rsidR="00E35632">
        <w:tc>
          <w:tcPr>
            <w:tcW w:w="0" w:type="auto"/>
            <w:vMerge/>
            <w:tcBorders>
              <w:top w:val="single" w:sz="4" w:space="0" w:color="auto"/>
              <w:bottom w:val="single" w:sz="4" w:space="0" w:color="auto"/>
            </w:tcBorders>
          </w:tcPr>
          <w:p w:rsidR="00E35632" w:rsidRDefault="00E35632">
            <w:pPr>
              <w:pStyle w:val="ConsPlusNormal"/>
            </w:pPr>
          </w:p>
        </w:tc>
        <w:tc>
          <w:tcPr>
            <w:tcW w:w="1560" w:type="dxa"/>
            <w:tcBorders>
              <w:top w:val="nil"/>
              <w:bottom w:val="single" w:sz="4" w:space="0" w:color="auto"/>
            </w:tcBorders>
          </w:tcPr>
          <w:p w:rsidR="00E35632" w:rsidRDefault="00E35632">
            <w:pPr>
              <w:pStyle w:val="ConsPlusNormal"/>
              <w:jc w:val="center"/>
            </w:pPr>
            <w:r>
              <w:t>III</w:t>
            </w:r>
          </w:p>
        </w:tc>
        <w:tc>
          <w:tcPr>
            <w:tcW w:w="1843" w:type="dxa"/>
            <w:tcBorders>
              <w:top w:val="nil"/>
              <w:bottom w:val="single" w:sz="4" w:space="0" w:color="auto"/>
            </w:tcBorders>
          </w:tcPr>
          <w:p w:rsidR="00E35632" w:rsidRDefault="00E35632">
            <w:pPr>
              <w:pStyle w:val="ConsPlusNormal"/>
              <w:jc w:val="center"/>
            </w:pPr>
            <w:r>
              <w:t>0,001</w:t>
            </w:r>
          </w:p>
        </w:tc>
        <w:tc>
          <w:tcPr>
            <w:tcW w:w="1637" w:type="dxa"/>
            <w:tcBorders>
              <w:top w:val="nil"/>
              <w:bottom w:val="single" w:sz="4" w:space="0" w:color="auto"/>
            </w:tcBorders>
          </w:tcPr>
          <w:p w:rsidR="00E35632" w:rsidRDefault="00E35632">
            <w:pPr>
              <w:pStyle w:val="ConsPlusNormal"/>
              <w:jc w:val="center"/>
            </w:pPr>
            <w:r>
              <w:t>2,0</w:t>
            </w:r>
          </w:p>
        </w:tc>
      </w:tr>
      <w:tr w:rsidR="00E35632">
        <w:tblPrEx>
          <w:tblBorders>
            <w:insideH w:val="none" w:sz="0" w:space="0" w:color="auto"/>
          </w:tblBorders>
        </w:tblPrEx>
        <w:tc>
          <w:tcPr>
            <w:tcW w:w="9060" w:type="dxa"/>
            <w:gridSpan w:val="4"/>
            <w:tcBorders>
              <w:top w:val="single" w:sz="4" w:space="0" w:color="auto"/>
              <w:bottom w:val="nil"/>
            </w:tcBorders>
          </w:tcPr>
          <w:p w:rsidR="00E35632" w:rsidRDefault="00E35632">
            <w:pPr>
              <w:pStyle w:val="ConsPlusNormal"/>
              <w:ind w:firstLine="283"/>
              <w:jc w:val="both"/>
            </w:pPr>
            <w:r>
              <w:t>Примечания</w:t>
            </w:r>
          </w:p>
          <w:p w:rsidR="00E35632" w:rsidRDefault="00E35632">
            <w:pPr>
              <w:pStyle w:val="ConsPlusNormal"/>
              <w:ind w:firstLine="283"/>
              <w:jc w:val="both"/>
            </w:pPr>
            <w:r>
              <w:t xml:space="preserve">1 </w:t>
            </w:r>
            <w:r>
              <w:rPr>
                <w:noProof/>
                <w:position w:val="-10"/>
              </w:rPr>
              <w:drawing>
                <wp:inline distT="0" distB="0" distL="0" distR="0">
                  <wp:extent cx="310515" cy="276860"/>
                  <wp:effectExtent l="0" t="0" r="0" b="0"/>
                  <wp:docPr id="72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310515" cy="276860"/>
                          </a:xfrm>
                          <a:prstGeom prst="rect">
                            <a:avLst/>
                          </a:prstGeom>
                          <a:noFill/>
                          <a:ln>
                            <a:noFill/>
                          </a:ln>
                        </pic:spPr>
                      </pic:pic>
                    </a:graphicData>
                  </a:graphic>
                </wp:inline>
              </w:drawing>
            </w:r>
            <w:r>
              <w:t xml:space="preserve"> - значение предельной дополнительной максимальной осадки основания отдельно стоящих фундаментов на естественном основании или свайных ростверков, в т.ч. при усилении оснований и фундаментов сооружения окружающей застройки.</w:t>
            </w:r>
          </w:p>
          <w:p w:rsidR="00E35632" w:rsidRDefault="00E35632">
            <w:pPr>
              <w:pStyle w:val="ConsPlusNormal"/>
              <w:ind w:firstLine="283"/>
              <w:jc w:val="both"/>
            </w:pPr>
            <w:r>
              <w:t>2 Для сооружений с категорией технического состояния IV - аварийное дополнительные деформации основания фундаментов не допускаются.</w:t>
            </w:r>
          </w:p>
          <w:p w:rsidR="00E35632" w:rsidRDefault="00E35632">
            <w:pPr>
              <w:pStyle w:val="ConsPlusNormal"/>
              <w:ind w:firstLine="283"/>
              <w:jc w:val="both"/>
            </w:pPr>
            <w:r>
              <w:t xml:space="preserve">3 Значения </w:t>
            </w:r>
            <w:hyperlink w:anchor="P7453">
              <w:r>
                <w:rPr>
                  <w:color w:val="0000FF"/>
                </w:rPr>
                <w:t>таблицы К.1</w:t>
              </w:r>
            </w:hyperlink>
            <w:r>
              <w:t xml:space="preserve"> допускается не применять, если в основании фундаментов сооружения окружающей застройки в пределах сжимаемой толщи </w:t>
            </w:r>
            <w:r>
              <w:rPr>
                <w:i/>
              </w:rPr>
              <w:t>H</w:t>
            </w:r>
            <w:r>
              <w:rPr>
                <w:i/>
                <w:vertAlign w:val="subscript"/>
              </w:rPr>
              <w:t>c</w:t>
            </w:r>
            <w:r>
              <w:t xml:space="preserve">, определенной с учетом требований </w:t>
            </w:r>
            <w:hyperlink w:anchor="P1695">
              <w:r>
                <w:rPr>
                  <w:color w:val="0000FF"/>
                </w:rPr>
                <w:t>5.6.41</w:t>
              </w:r>
            </w:hyperlink>
            <w:r>
              <w:t xml:space="preserve">, залегают грунты с модулем деформации </w:t>
            </w:r>
            <w:r>
              <w:rPr>
                <w:i/>
              </w:rPr>
              <w:t>E</w:t>
            </w:r>
            <w:r>
              <w:t xml:space="preserve"> &lt;= 7 МПа или в основании залегают специфические грунты, указанные в </w:t>
            </w:r>
            <w:hyperlink w:anchor="P2321">
              <w:r>
                <w:rPr>
                  <w:color w:val="0000FF"/>
                </w:rPr>
                <w:t>разделе 6</w:t>
              </w:r>
            </w:hyperlink>
            <w:r>
              <w:t xml:space="preserve">. Вместо указанных величин следует пользоваться значениями региональных таблиц, характерными для этих районов и приведенными в территориальных строительных нормах. В случае отсутствия соответствующих нормативных значений в территориальных строительных нормах необходимо руководствоваться данными </w:t>
            </w:r>
            <w:hyperlink w:anchor="P7453">
              <w:r>
                <w:rPr>
                  <w:color w:val="0000FF"/>
                </w:rPr>
                <w:t>таблицы К.1</w:t>
              </w:r>
            </w:hyperlink>
            <w:r>
              <w:t>.</w:t>
            </w:r>
          </w:p>
          <w:p w:rsidR="00E35632" w:rsidRDefault="00E35632">
            <w:pPr>
              <w:pStyle w:val="ConsPlusNormal"/>
              <w:ind w:firstLine="283"/>
              <w:jc w:val="both"/>
            </w:pPr>
            <w:r>
              <w:t xml:space="preserve">4 Если конструктивная схема здания окружающей застройки отличается от указанных в </w:t>
            </w:r>
            <w:hyperlink w:anchor="P7453">
              <w:r>
                <w:rPr>
                  <w:color w:val="0000FF"/>
                </w:rPr>
                <w:t>таблице К.1</w:t>
              </w:r>
            </w:hyperlink>
            <w:r>
              <w:t>, то для такого здания (в т.ч. исторической застройки или памятников истории, архитектуры и культуры) необходимо устанавливать предельные величины дополнительных деформаций основания путем проведения пространственных прочностных расчетов с учетом их технического состояния, конструктивной схемы, прогнозируемых деформаций основания и других требований.</w:t>
            </w:r>
          </w:p>
          <w:p w:rsidR="00E35632" w:rsidRDefault="00E35632">
            <w:pPr>
              <w:pStyle w:val="ConsPlusNormal"/>
              <w:ind w:firstLine="283"/>
              <w:jc w:val="both"/>
            </w:pPr>
            <w:r>
              <w:t>5 Для оценки допустимости дополнительных деформаций водонесущих напорных подземных коммуникаций допускается использовать требования СП Проектирование и строительство подземных коммуникаций закрытым и открытым способом.</w:t>
            </w:r>
          </w:p>
          <w:p w:rsidR="00E35632" w:rsidRDefault="00E35632">
            <w:pPr>
              <w:pStyle w:val="ConsPlusNormal"/>
              <w:ind w:firstLine="283"/>
              <w:jc w:val="both"/>
            </w:pPr>
            <w:r>
              <w:t>6 Допустимые величины подъема зданий и сооружений определяются как половина указанных в таблице значений максимальных осадок, но не более 5 мм.</w:t>
            </w:r>
          </w:p>
        </w:tc>
      </w:tr>
      <w:tr w:rsidR="00E35632">
        <w:tblPrEx>
          <w:tblBorders>
            <w:insideH w:val="none" w:sz="0" w:space="0" w:color="auto"/>
          </w:tblBorders>
        </w:tblPrEx>
        <w:tc>
          <w:tcPr>
            <w:tcW w:w="9060" w:type="dxa"/>
            <w:gridSpan w:val="4"/>
            <w:tcBorders>
              <w:top w:val="nil"/>
              <w:bottom w:val="single" w:sz="4" w:space="0" w:color="auto"/>
            </w:tcBorders>
          </w:tcPr>
          <w:p w:rsidR="00E35632" w:rsidRDefault="00E35632">
            <w:pPr>
              <w:pStyle w:val="ConsPlusNormal"/>
              <w:jc w:val="both"/>
            </w:pPr>
            <w:r>
              <w:t xml:space="preserve">(примечание 6 введено </w:t>
            </w:r>
            <w:hyperlink r:id="rId1014">
              <w:r>
                <w:rPr>
                  <w:color w:val="0000FF"/>
                </w:rPr>
                <w:t>Изменением N 4</w:t>
              </w:r>
            </w:hyperlink>
            <w:r>
              <w:t>, утв. Приказом Минстроя России от 27.12.2021 N 1022/пр)</w:t>
            </w:r>
          </w:p>
        </w:tc>
      </w:tr>
    </w:tbl>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right"/>
        <w:outlineLvl w:val="0"/>
      </w:pPr>
      <w:r>
        <w:rPr>
          <w:b/>
        </w:rPr>
        <w:t>Приложение Л</w:t>
      </w:r>
    </w:p>
    <w:p w:rsidR="00E35632" w:rsidRDefault="00E35632">
      <w:pPr>
        <w:pStyle w:val="ConsPlusNormal"/>
        <w:jc w:val="right"/>
      </w:pPr>
      <w:r>
        <w:t xml:space="preserve">(в ред. </w:t>
      </w:r>
      <w:hyperlink r:id="rId1015">
        <w:r>
          <w:rPr>
            <w:color w:val="0000FF"/>
          </w:rPr>
          <w:t>Изменения N 3</w:t>
        </w:r>
      </w:hyperlink>
      <w:r>
        <w:t>, утв. Приказом Минстроя России от 22.11.2019 N 722/пр)</w:t>
      </w:r>
    </w:p>
    <w:p w:rsidR="00E35632" w:rsidRDefault="00E35632">
      <w:pPr>
        <w:pStyle w:val="ConsPlusNormal"/>
        <w:jc w:val="both"/>
      </w:pPr>
    </w:p>
    <w:p w:rsidR="00E35632" w:rsidRDefault="00E35632">
      <w:pPr>
        <w:pStyle w:val="ConsPlusTitle"/>
        <w:jc w:val="center"/>
      </w:pPr>
      <w:bookmarkStart w:id="314" w:name="P7536"/>
      <w:bookmarkEnd w:id="314"/>
      <w:r>
        <w:t>КОНТРОЛИРУЕМЫЕ ПАРАМЕТРЫ ПРИ ГЕОТЕХНИЧЕСКОМ МОНИТОРИНГЕ</w:t>
      </w:r>
    </w:p>
    <w:p w:rsidR="00E35632" w:rsidRDefault="00E35632">
      <w:pPr>
        <w:pStyle w:val="ConsPlusNormal"/>
        <w:jc w:val="both"/>
      </w:pPr>
    </w:p>
    <w:p w:rsidR="00E35632" w:rsidRDefault="00E35632">
      <w:pPr>
        <w:pStyle w:val="ConsPlusNormal"/>
        <w:ind w:firstLine="540"/>
        <w:jc w:val="both"/>
      </w:pPr>
      <w:r>
        <w:t xml:space="preserve">Л.1 В </w:t>
      </w:r>
      <w:hyperlink w:anchor="P7546">
        <w:r>
          <w:rPr>
            <w:color w:val="0000FF"/>
          </w:rPr>
          <w:t>таблицах Л.1</w:t>
        </w:r>
      </w:hyperlink>
      <w:r>
        <w:t xml:space="preserve"> - </w:t>
      </w:r>
      <w:hyperlink w:anchor="P7798">
        <w:r>
          <w:rPr>
            <w:color w:val="0000FF"/>
          </w:rPr>
          <w:t>Л.6</w:t>
        </w:r>
      </w:hyperlink>
      <w:r>
        <w:t xml:space="preserve"> знак "+" обозначает контролируемые параметры, которые необходимо фиксировать в процессе геотехнического мониторинга, знак "-" обозначает контролируемые параметры, которые не требуется фиксировать при выполнении геотехнического мониторинга.</w:t>
      </w:r>
    </w:p>
    <w:p w:rsidR="00E35632" w:rsidRDefault="00E35632">
      <w:pPr>
        <w:pStyle w:val="ConsPlusNormal"/>
        <w:spacing w:before="220"/>
        <w:ind w:firstLine="540"/>
        <w:jc w:val="both"/>
      </w:pPr>
      <w:r>
        <w:t xml:space="preserve">Л.2 При геотехническом мониторинге уникальных вновь возводимых и реконструируемых сооружений по специальному заданию, в т.ч. научно-технического сопровождения (см. </w:t>
      </w:r>
      <w:hyperlink w:anchor="P334">
        <w:r>
          <w:rPr>
            <w:color w:val="0000FF"/>
          </w:rPr>
          <w:t>4.17</w:t>
        </w:r>
      </w:hyperlink>
      <w:r>
        <w:t xml:space="preserve">), допускается дополнительно проводить фиксацию контролируемых параметров, не указанных в таблицах </w:t>
      </w:r>
      <w:hyperlink w:anchor="P7536">
        <w:r>
          <w:rPr>
            <w:color w:val="0000FF"/>
          </w:rPr>
          <w:t>приложения Л</w:t>
        </w:r>
      </w:hyperlink>
      <w:r>
        <w:t>.</w:t>
      </w:r>
    </w:p>
    <w:p w:rsidR="00E35632" w:rsidRDefault="00E35632">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000" w:firstRow="0" w:lastRow="0" w:firstColumn="0" w:lastColumn="0" w:noHBand="0" w:noVBand="0"/>
      </w:tblPr>
      <w:tblGrid>
        <w:gridCol w:w="60"/>
        <w:gridCol w:w="113"/>
        <w:gridCol w:w="9068"/>
        <w:gridCol w:w="113"/>
      </w:tblGrid>
      <w:tr w:rsidR="00E35632">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E35632" w:rsidRDefault="00E35632">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E35632" w:rsidRDefault="00E35632">
            <w:pPr>
              <w:pStyle w:val="ConsPlusNormal"/>
              <w:jc w:val="both"/>
            </w:pPr>
            <w:r>
              <w:rPr>
                <w:color w:val="392C69"/>
              </w:rPr>
              <w:t>КонсультантПлюс: примечание.</w:t>
            </w:r>
          </w:p>
          <w:p w:rsidR="00E35632" w:rsidRDefault="00E35632">
            <w:pPr>
              <w:pStyle w:val="ConsPlusNormal"/>
              <w:jc w:val="both"/>
            </w:pPr>
            <w:r>
              <w:rPr>
                <w:color w:val="392C69"/>
              </w:rPr>
              <w:t>В официальном тексте документа, видимо, допущена опечатка: таблица К.5 отсутствует. Возможно, имеется в виду таблица Л.5.</w:t>
            </w: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r>
    </w:tbl>
    <w:p w:rsidR="00E35632" w:rsidRDefault="00E35632">
      <w:pPr>
        <w:pStyle w:val="ConsPlusNormal"/>
        <w:spacing w:before="280"/>
        <w:ind w:firstLine="540"/>
        <w:jc w:val="both"/>
      </w:pPr>
      <w:r>
        <w:t xml:space="preserve">Л.3 При геотехническом мониторинге сооружений окружающей застройки, в т.ч. уникальных сооружений и памятников истории, культуры и архитектуры по специальному заданию, в т.ч. научно-технического сопровождения (см. </w:t>
      </w:r>
      <w:hyperlink w:anchor="P334">
        <w:r>
          <w:rPr>
            <w:color w:val="0000FF"/>
          </w:rPr>
          <w:t>4.17</w:t>
        </w:r>
      </w:hyperlink>
      <w:r>
        <w:t xml:space="preserve">), допускается проводить фиксацию иных контролируемых параметров, помимо указанных в </w:t>
      </w:r>
      <w:hyperlink w:anchor="P7755">
        <w:r>
          <w:rPr>
            <w:color w:val="0000FF"/>
          </w:rPr>
          <w:t>таблице К.5</w:t>
        </w:r>
      </w:hyperlink>
      <w:r>
        <w:t>, в т.ч. дополнительную разность углов наклона подошвы фундамента и др.</w:t>
      </w:r>
    </w:p>
    <w:p w:rsidR="00E35632" w:rsidRDefault="00E35632">
      <w:pPr>
        <w:pStyle w:val="ConsPlusNormal"/>
        <w:jc w:val="both"/>
      </w:pPr>
    </w:p>
    <w:p w:rsidR="00E35632" w:rsidRDefault="00E35632">
      <w:pPr>
        <w:pStyle w:val="ConsPlusNormal"/>
        <w:jc w:val="right"/>
      </w:pPr>
      <w:r>
        <w:t>Таблица Л.1</w:t>
      </w:r>
    </w:p>
    <w:p w:rsidR="00E35632" w:rsidRDefault="00E35632">
      <w:pPr>
        <w:pStyle w:val="ConsPlusNormal"/>
        <w:jc w:val="both"/>
      </w:pPr>
    </w:p>
    <w:p w:rsidR="00E35632" w:rsidRDefault="00E35632">
      <w:pPr>
        <w:pStyle w:val="ConsPlusNormal"/>
        <w:jc w:val="center"/>
      </w:pPr>
      <w:bookmarkStart w:id="315" w:name="P7546"/>
      <w:bookmarkEnd w:id="315"/>
      <w:r>
        <w:rPr>
          <w:b/>
        </w:rPr>
        <w:t>Контролируемые параметры при геотехническом мониторинге</w:t>
      </w:r>
    </w:p>
    <w:p w:rsidR="00E35632" w:rsidRDefault="00E35632">
      <w:pPr>
        <w:pStyle w:val="ConsPlusNormal"/>
        <w:jc w:val="center"/>
      </w:pPr>
      <w:r>
        <w:rPr>
          <w:b/>
        </w:rPr>
        <w:t>оснований (без учета массива грунта, окружающего</w:t>
      </w:r>
    </w:p>
    <w:p w:rsidR="00E35632" w:rsidRDefault="00E35632">
      <w:pPr>
        <w:pStyle w:val="ConsPlusNormal"/>
        <w:jc w:val="center"/>
      </w:pPr>
      <w:r>
        <w:rPr>
          <w:b/>
        </w:rPr>
        <w:t>сооружение), фундаментов и конструкций</w:t>
      </w:r>
    </w:p>
    <w:p w:rsidR="00E35632" w:rsidRDefault="00E35632">
      <w:pPr>
        <w:pStyle w:val="ConsPlusNormal"/>
        <w:jc w:val="center"/>
      </w:pPr>
      <w:r>
        <w:rPr>
          <w:b/>
        </w:rPr>
        <w:t>вновь возводимых сооружений</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294"/>
        <w:gridCol w:w="1126"/>
        <w:gridCol w:w="1550"/>
        <w:gridCol w:w="1090"/>
      </w:tblGrid>
      <w:tr w:rsidR="00E35632">
        <w:tc>
          <w:tcPr>
            <w:tcW w:w="5294" w:type="dxa"/>
            <w:vMerge w:val="restart"/>
            <w:vAlign w:val="center"/>
          </w:tcPr>
          <w:p w:rsidR="00E35632" w:rsidRDefault="00E35632">
            <w:pPr>
              <w:pStyle w:val="ConsPlusNormal"/>
              <w:jc w:val="center"/>
            </w:pPr>
            <w:r>
              <w:t>Контролируемые параметры</w:t>
            </w:r>
          </w:p>
        </w:tc>
        <w:tc>
          <w:tcPr>
            <w:tcW w:w="3766" w:type="dxa"/>
            <w:gridSpan w:val="3"/>
            <w:vAlign w:val="center"/>
          </w:tcPr>
          <w:p w:rsidR="00E35632" w:rsidRDefault="00E35632">
            <w:pPr>
              <w:pStyle w:val="ConsPlusNormal"/>
              <w:jc w:val="center"/>
            </w:pPr>
            <w:r>
              <w:t xml:space="preserve">Вновь возводимые сооружения при высоте </w:t>
            </w:r>
            <w:r>
              <w:rPr>
                <w:i/>
              </w:rPr>
              <w:t>H</w:t>
            </w:r>
            <w:r>
              <w:t>, м</w:t>
            </w:r>
          </w:p>
        </w:tc>
      </w:tr>
      <w:tr w:rsidR="00E35632">
        <w:tc>
          <w:tcPr>
            <w:tcW w:w="0" w:type="auto"/>
            <w:vMerge/>
          </w:tcPr>
          <w:p w:rsidR="00E35632" w:rsidRDefault="00E35632">
            <w:pPr>
              <w:pStyle w:val="ConsPlusNormal"/>
            </w:pPr>
          </w:p>
        </w:tc>
        <w:tc>
          <w:tcPr>
            <w:tcW w:w="1126" w:type="dxa"/>
            <w:vAlign w:val="center"/>
          </w:tcPr>
          <w:p w:rsidR="00E35632" w:rsidRDefault="00E35632">
            <w:pPr>
              <w:pStyle w:val="ConsPlusNormal"/>
              <w:jc w:val="center"/>
            </w:pPr>
            <w:r>
              <w:rPr>
                <w:i/>
              </w:rPr>
              <w:t>H</w:t>
            </w:r>
            <w:r>
              <w:t xml:space="preserve"> &lt; 75</w:t>
            </w:r>
          </w:p>
        </w:tc>
        <w:tc>
          <w:tcPr>
            <w:tcW w:w="1550" w:type="dxa"/>
            <w:vAlign w:val="center"/>
          </w:tcPr>
          <w:p w:rsidR="00E35632" w:rsidRDefault="00E35632">
            <w:pPr>
              <w:pStyle w:val="ConsPlusNormal"/>
              <w:jc w:val="center"/>
            </w:pPr>
            <w:r>
              <w:t xml:space="preserve">75 &lt;= </w:t>
            </w:r>
            <w:r>
              <w:rPr>
                <w:i/>
              </w:rPr>
              <w:t>H</w:t>
            </w:r>
            <w:r>
              <w:t xml:space="preserve"> &lt; 150</w:t>
            </w:r>
          </w:p>
        </w:tc>
        <w:tc>
          <w:tcPr>
            <w:tcW w:w="1090" w:type="dxa"/>
            <w:vAlign w:val="center"/>
          </w:tcPr>
          <w:p w:rsidR="00E35632" w:rsidRDefault="00E35632">
            <w:pPr>
              <w:pStyle w:val="ConsPlusNormal"/>
              <w:jc w:val="center"/>
            </w:pPr>
            <w:r>
              <w:rPr>
                <w:i/>
              </w:rPr>
              <w:t>H</w:t>
            </w:r>
            <w:r>
              <w:t xml:space="preserve"> &gt; 150</w:t>
            </w:r>
          </w:p>
        </w:tc>
      </w:tr>
      <w:tr w:rsidR="00E35632">
        <w:tc>
          <w:tcPr>
            <w:tcW w:w="0" w:type="auto"/>
            <w:vMerge/>
          </w:tcPr>
          <w:p w:rsidR="00E35632" w:rsidRDefault="00E35632">
            <w:pPr>
              <w:pStyle w:val="ConsPlusNormal"/>
            </w:pPr>
          </w:p>
        </w:tc>
        <w:tc>
          <w:tcPr>
            <w:tcW w:w="3766" w:type="dxa"/>
            <w:gridSpan w:val="3"/>
            <w:vAlign w:val="center"/>
          </w:tcPr>
          <w:p w:rsidR="00E35632" w:rsidRDefault="00E35632">
            <w:pPr>
              <w:pStyle w:val="ConsPlusNormal"/>
              <w:jc w:val="center"/>
            </w:pPr>
            <w:r>
              <w:t>Геотехническая категория</w:t>
            </w:r>
          </w:p>
        </w:tc>
      </w:tr>
      <w:tr w:rsidR="00E35632">
        <w:tc>
          <w:tcPr>
            <w:tcW w:w="0" w:type="auto"/>
            <w:vMerge/>
          </w:tcPr>
          <w:p w:rsidR="00E35632" w:rsidRDefault="00E35632">
            <w:pPr>
              <w:pStyle w:val="ConsPlusNormal"/>
            </w:pPr>
          </w:p>
        </w:tc>
        <w:tc>
          <w:tcPr>
            <w:tcW w:w="1126" w:type="dxa"/>
            <w:vAlign w:val="center"/>
          </w:tcPr>
          <w:p w:rsidR="00E35632" w:rsidRDefault="00E35632">
            <w:pPr>
              <w:pStyle w:val="ConsPlusNormal"/>
              <w:jc w:val="center"/>
            </w:pPr>
            <w:r>
              <w:t>2 - 3</w:t>
            </w:r>
          </w:p>
        </w:tc>
        <w:tc>
          <w:tcPr>
            <w:tcW w:w="1550" w:type="dxa"/>
            <w:vAlign w:val="center"/>
          </w:tcPr>
          <w:p w:rsidR="00E35632" w:rsidRDefault="00E35632">
            <w:pPr>
              <w:pStyle w:val="ConsPlusNormal"/>
              <w:jc w:val="center"/>
            </w:pPr>
            <w:r>
              <w:t>3</w:t>
            </w:r>
          </w:p>
        </w:tc>
        <w:tc>
          <w:tcPr>
            <w:tcW w:w="1090" w:type="dxa"/>
            <w:vAlign w:val="center"/>
          </w:tcPr>
          <w:p w:rsidR="00E35632" w:rsidRDefault="00E35632">
            <w:pPr>
              <w:pStyle w:val="ConsPlusNormal"/>
              <w:jc w:val="center"/>
            </w:pPr>
            <w:r>
              <w:t>3</w:t>
            </w:r>
          </w:p>
        </w:tc>
      </w:tr>
      <w:tr w:rsidR="00E35632">
        <w:tc>
          <w:tcPr>
            <w:tcW w:w="5294" w:type="dxa"/>
          </w:tcPr>
          <w:p w:rsidR="00E35632" w:rsidRDefault="00E35632">
            <w:pPr>
              <w:pStyle w:val="ConsPlusNormal"/>
            </w:pPr>
            <w:bookmarkStart w:id="316" w:name="P7560"/>
            <w:bookmarkEnd w:id="316"/>
            <w:r>
              <w:t>1 Осадки фундаментов и относительная разность осадок</w:t>
            </w:r>
          </w:p>
        </w:tc>
        <w:tc>
          <w:tcPr>
            <w:tcW w:w="1126" w:type="dxa"/>
            <w:vAlign w:val="bottom"/>
          </w:tcPr>
          <w:p w:rsidR="00E35632" w:rsidRDefault="00E35632">
            <w:pPr>
              <w:pStyle w:val="ConsPlusNormal"/>
              <w:jc w:val="center"/>
            </w:pPr>
            <w:r>
              <w:t>+</w:t>
            </w:r>
          </w:p>
        </w:tc>
        <w:tc>
          <w:tcPr>
            <w:tcW w:w="1550" w:type="dxa"/>
            <w:vAlign w:val="bottom"/>
          </w:tcPr>
          <w:p w:rsidR="00E35632" w:rsidRDefault="00E35632">
            <w:pPr>
              <w:pStyle w:val="ConsPlusNormal"/>
              <w:jc w:val="center"/>
            </w:pPr>
            <w:r>
              <w:t>+</w:t>
            </w:r>
          </w:p>
        </w:tc>
        <w:tc>
          <w:tcPr>
            <w:tcW w:w="1090" w:type="dxa"/>
            <w:vAlign w:val="bottom"/>
          </w:tcPr>
          <w:p w:rsidR="00E35632" w:rsidRDefault="00E35632">
            <w:pPr>
              <w:pStyle w:val="ConsPlusNormal"/>
              <w:jc w:val="center"/>
            </w:pPr>
            <w:r>
              <w:t>+</w:t>
            </w:r>
          </w:p>
        </w:tc>
      </w:tr>
      <w:tr w:rsidR="00E35632">
        <w:tc>
          <w:tcPr>
            <w:tcW w:w="5294" w:type="dxa"/>
          </w:tcPr>
          <w:p w:rsidR="00E35632" w:rsidRDefault="00E35632">
            <w:pPr>
              <w:pStyle w:val="ConsPlusNormal"/>
            </w:pPr>
            <w:r>
              <w:t>2 Крен</w:t>
            </w:r>
          </w:p>
        </w:tc>
        <w:tc>
          <w:tcPr>
            <w:tcW w:w="1126" w:type="dxa"/>
            <w:vAlign w:val="bottom"/>
          </w:tcPr>
          <w:p w:rsidR="00E35632" w:rsidRDefault="00E35632">
            <w:pPr>
              <w:pStyle w:val="ConsPlusNormal"/>
              <w:jc w:val="center"/>
            </w:pPr>
            <w:r>
              <w:t xml:space="preserve">+ </w:t>
            </w:r>
            <w:hyperlink w:anchor="P7587">
              <w:r>
                <w:rPr>
                  <w:color w:val="0000FF"/>
                </w:rPr>
                <w:t>&lt;4&gt;</w:t>
              </w:r>
            </w:hyperlink>
          </w:p>
        </w:tc>
        <w:tc>
          <w:tcPr>
            <w:tcW w:w="1550" w:type="dxa"/>
            <w:vAlign w:val="bottom"/>
          </w:tcPr>
          <w:p w:rsidR="00E35632" w:rsidRDefault="00E35632">
            <w:pPr>
              <w:pStyle w:val="ConsPlusNormal"/>
              <w:jc w:val="center"/>
            </w:pPr>
            <w:r>
              <w:t>+</w:t>
            </w:r>
          </w:p>
        </w:tc>
        <w:tc>
          <w:tcPr>
            <w:tcW w:w="1090" w:type="dxa"/>
            <w:vAlign w:val="bottom"/>
          </w:tcPr>
          <w:p w:rsidR="00E35632" w:rsidRDefault="00E35632">
            <w:pPr>
              <w:pStyle w:val="ConsPlusNormal"/>
              <w:jc w:val="center"/>
            </w:pPr>
            <w:r>
              <w:t>+</w:t>
            </w:r>
          </w:p>
        </w:tc>
      </w:tr>
      <w:tr w:rsidR="00E35632">
        <w:tc>
          <w:tcPr>
            <w:tcW w:w="5294" w:type="dxa"/>
          </w:tcPr>
          <w:p w:rsidR="00E35632" w:rsidRDefault="00E35632">
            <w:pPr>
              <w:pStyle w:val="ConsPlusNormal"/>
            </w:pPr>
            <w:r>
              <w:t>3 Напряжения под подошвой фундаментов</w:t>
            </w:r>
          </w:p>
        </w:tc>
        <w:tc>
          <w:tcPr>
            <w:tcW w:w="1126" w:type="dxa"/>
            <w:vAlign w:val="bottom"/>
          </w:tcPr>
          <w:p w:rsidR="00E35632" w:rsidRDefault="00E35632">
            <w:pPr>
              <w:pStyle w:val="ConsPlusNormal"/>
              <w:jc w:val="center"/>
            </w:pPr>
            <w:r>
              <w:t>-</w:t>
            </w:r>
          </w:p>
        </w:tc>
        <w:tc>
          <w:tcPr>
            <w:tcW w:w="1550" w:type="dxa"/>
            <w:vAlign w:val="bottom"/>
          </w:tcPr>
          <w:p w:rsidR="00E35632" w:rsidRDefault="00E35632">
            <w:pPr>
              <w:pStyle w:val="ConsPlusNormal"/>
              <w:jc w:val="center"/>
            </w:pPr>
            <w:r>
              <w:t xml:space="preserve">+ </w:t>
            </w:r>
            <w:hyperlink w:anchor="P7584">
              <w:r>
                <w:rPr>
                  <w:color w:val="0000FF"/>
                </w:rPr>
                <w:t>&lt;1&gt;</w:t>
              </w:r>
            </w:hyperlink>
          </w:p>
        </w:tc>
        <w:tc>
          <w:tcPr>
            <w:tcW w:w="1090" w:type="dxa"/>
            <w:vAlign w:val="bottom"/>
          </w:tcPr>
          <w:p w:rsidR="00E35632" w:rsidRDefault="00E35632">
            <w:pPr>
              <w:pStyle w:val="ConsPlusNormal"/>
              <w:jc w:val="center"/>
            </w:pPr>
            <w:r>
              <w:t xml:space="preserve">+ </w:t>
            </w:r>
            <w:hyperlink w:anchor="P7585">
              <w:r>
                <w:rPr>
                  <w:color w:val="0000FF"/>
                </w:rPr>
                <w:t>&lt;2&gt;</w:t>
              </w:r>
            </w:hyperlink>
          </w:p>
        </w:tc>
      </w:tr>
      <w:tr w:rsidR="00E35632">
        <w:tc>
          <w:tcPr>
            <w:tcW w:w="5294" w:type="dxa"/>
          </w:tcPr>
          <w:p w:rsidR="00E35632" w:rsidRDefault="00E35632">
            <w:pPr>
              <w:pStyle w:val="ConsPlusNormal"/>
            </w:pPr>
            <w:r>
              <w:t>4 Послойные осадки грунтов основания</w:t>
            </w:r>
          </w:p>
        </w:tc>
        <w:tc>
          <w:tcPr>
            <w:tcW w:w="1126" w:type="dxa"/>
            <w:vAlign w:val="bottom"/>
          </w:tcPr>
          <w:p w:rsidR="00E35632" w:rsidRDefault="00E35632">
            <w:pPr>
              <w:pStyle w:val="ConsPlusNormal"/>
              <w:jc w:val="center"/>
            </w:pPr>
            <w:r>
              <w:t>-</w:t>
            </w:r>
          </w:p>
        </w:tc>
        <w:tc>
          <w:tcPr>
            <w:tcW w:w="1550" w:type="dxa"/>
            <w:vAlign w:val="bottom"/>
          </w:tcPr>
          <w:p w:rsidR="00E35632" w:rsidRDefault="00E35632">
            <w:pPr>
              <w:pStyle w:val="ConsPlusNormal"/>
              <w:jc w:val="center"/>
            </w:pPr>
            <w:r>
              <w:t xml:space="preserve">+ </w:t>
            </w:r>
            <w:hyperlink w:anchor="P7584">
              <w:r>
                <w:rPr>
                  <w:color w:val="0000FF"/>
                </w:rPr>
                <w:t>&lt;1&gt;</w:t>
              </w:r>
            </w:hyperlink>
          </w:p>
        </w:tc>
        <w:tc>
          <w:tcPr>
            <w:tcW w:w="1090" w:type="dxa"/>
            <w:vAlign w:val="bottom"/>
          </w:tcPr>
          <w:p w:rsidR="00E35632" w:rsidRDefault="00E35632">
            <w:pPr>
              <w:pStyle w:val="ConsPlusNormal"/>
              <w:jc w:val="center"/>
            </w:pPr>
            <w:r>
              <w:t>+</w:t>
            </w:r>
          </w:p>
        </w:tc>
      </w:tr>
      <w:tr w:rsidR="00E35632">
        <w:tc>
          <w:tcPr>
            <w:tcW w:w="5294" w:type="dxa"/>
          </w:tcPr>
          <w:p w:rsidR="00E35632" w:rsidRDefault="00E35632">
            <w:pPr>
              <w:pStyle w:val="ConsPlusNormal"/>
            </w:pPr>
            <w:r>
              <w:t>5 Напряжения в основании под пятой свай и в стволе свай</w:t>
            </w:r>
          </w:p>
        </w:tc>
        <w:tc>
          <w:tcPr>
            <w:tcW w:w="1126" w:type="dxa"/>
            <w:vAlign w:val="bottom"/>
          </w:tcPr>
          <w:p w:rsidR="00E35632" w:rsidRDefault="00E35632">
            <w:pPr>
              <w:pStyle w:val="ConsPlusNormal"/>
              <w:jc w:val="center"/>
            </w:pPr>
            <w:r>
              <w:t>-</w:t>
            </w:r>
          </w:p>
        </w:tc>
        <w:tc>
          <w:tcPr>
            <w:tcW w:w="1550" w:type="dxa"/>
            <w:vAlign w:val="bottom"/>
          </w:tcPr>
          <w:p w:rsidR="00E35632" w:rsidRDefault="00E35632">
            <w:pPr>
              <w:pStyle w:val="ConsPlusNormal"/>
              <w:jc w:val="center"/>
            </w:pPr>
            <w:r>
              <w:t xml:space="preserve">+ </w:t>
            </w:r>
            <w:hyperlink w:anchor="P7586">
              <w:r>
                <w:rPr>
                  <w:color w:val="0000FF"/>
                </w:rPr>
                <w:t>&lt;3&gt;</w:t>
              </w:r>
            </w:hyperlink>
          </w:p>
        </w:tc>
        <w:tc>
          <w:tcPr>
            <w:tcW w:w="1090" w:type="dxa"/>
            <w:vAlign w:val="bottom"/>
          </w:tcPr>
          <w:p w:rsidR="00E35632" w:rsidRDefault="00E35632">
            <w:pPr>
              <w:pStyle w:val="ConsPlusNormal"/>
              <w:jc w:val="center"/>
            </w:pPr>
            <w:r>
              <w:t>+</w:t>
            </w:r>
          </w:p>
        </w:tc>
      </w:tr>
      <w:tr w:rsidR="00E35632">
        <w:tc>
          <w:tcPr>
            <w:tcW w:w="5294" w:type="dxa"/>
          </w:tcPr>
          <w:p w:rsidR="00E35632" w:rsidRDefault="00E35632">
            <w:pPr>
              <w:pStyle w:val="ConsPlusNormal"/>
            </w:pPr>
            <w:r>
              <w:t>6 Напряжения в конструкциях подземной части (фундаменты, колонны, перекрытия)</w:t>
            </w:r>
          </w:p>
        </w:tc>
        <w:tc>
          <w:tcPr>
            <w:tcW w:w="1126" w:type="dxa"/>
            <w:vAlign w:val="bottom"/>
          </w:tcPr>
          <w:p w:rsidR="00E35632" w:rsidRDefault="00E35632">
            <w:pPr>
              <w:pStyle w:val="ConsPlusNormal"/>
              <w:jc w:val="center"/>
            </w:pPr>
            <w:r>
              <w:t>-</w:t>
            </w:r>
          </w:p>
        </w:tc>
        <w:tc>
          <w:tcPr>
            <w:tcW w:w="1550" w:type="dxa"/>
            <w:vAlign w:val="bottom"/>
          </w:tcPr>
          <w:p w:rsidR="00E35632" w:rsidRDefault="00E35632">
            <w:pPr>
              <w:pStyle w:val="ConsPlusNormal"/>
              <w:jc w:val="center"/>
            </w:pPr>
            <w:r>
              <w:t>-</w:t>
            </w:r>
          </w:p>
        </w:tc>
        <w:tc>
          <w:tcPr>
            <w:tcW w:w="1090" w:type="dxa"/>
            <w:vAlign w:val="bottom"/>
          </w:tcPr>
          <w:p w:rsidR="00E35632" w:rsidRDefault="00E35632">
            <w:pPr>
              <w:pStyle w:val="ConsPlusNormal"/>
              <w:jc w:val="center"/>
            </w:pPr>
            <w:r>
              <w:t>+</w:t>
            </w:r>
          </w:p>
        </w:tc>
      </w:tr>
      <w:tr w:rsidR="00E35632">
        <w:tc>
          <w:tcPr>
            <w:tcW w:w="9060" w:type="dxa"/>
            <w:gridSpan w:val="4"/>
          </w:tcPr>
          <w:p w:rsidR="00E35632" w:rsidRDefault="00E35632">
            <w:pPr>
              <w:pStyle w:val="ConsPlusNormal"/>
              <w:ind w:firstLine="283"/>
              <w:jc w:val="both"/>
            </w:pPr>
            <w:bookmarkStart w:id="317" w:name="P7584"/>
            <w:bookmarkEnd w:id="317"/>
            <w:r>
              <w:t>&lt;1&gt; Выполняется для плитных и плитно-свайных фундаментов при высоте сооружения более 100 м.</w:t>
            </w:r>
          </w:p>
          <w:p w:rsidR="00E35632" w:rsidRDefault="00E35632">
            <w:pPr>
              <w:pStyle w:val="ConsPlusNormal"/>
              <w:ind w:firstLine="283"/>
              <w:jc w:val="both"/>
            </w:pPr>
            <w:bookmarkStart w:id="318" w:name="P7585"/>
            <w:bookmarkEnd w:id="318"/>
            <w:r>
              <w:t>&lt;2&gt; Выполняется для плитных и плитно-свайных фундаментов.</w:t>
            </w:r>
          </w:p>
          <w:p w:rsidR="00E35632" w:rsidRDefault="00E35632">
            <w:pPr>
              <w:pStyle w:val="ConsPlusNormal"/>
              <w:ind w:firstLine="283"/>
              <w:jc w:val="both"/>
            </w:pPr>
            <w:bookmarkStart w:id="319" w:name="P7586"/>
            <w:bookmarkEnd w:id="319"/>
            <w:r>
              <w:t>&lt;3&gt; Выполняется при высоте сооружения более 100 м.</w:t>
            </w:r>
          </w:p>
          <w:p w:rsidR="00E35632" w:rsidRDefault="00E35632">
            <w:pPr>
              <w:pStyle w:val="ConsPlusNormal"/>
              <w:ind w:firstLine="283"/>
              <w:jc w:val="both"/>
            </w:pPr>
            <w:bookmarkStart w:id="320" w:name="P7587"/>
            <w:bookmarkEnd w:id="320"/>
            <w:r>
              <w:t>&lt;4&gt; Выполняется для сооружений геотехнической категории 3.</w:t>
            </w:r>
          </w:p>
          <w:p w:rsidR="00E35632" w:rsidRDefault="00E35632">
            <w:pPr>
              <w:pStyle w:val="ConsPlusNormal"/>
            </w:pPr>
          </w:p>
          <w:p w:rsidR="00E35632" w:rsidRDefault="00E35632">
            <w:pPr>
              <w:pStyle w:val="ConsPlusNormal"/>
              <w:ind w:firstLine="283"/>
              <w:jc w:val="both"/>
            </w:pPr>
            <w:r>
              <w:t xml:space="preserve">Примечание - В </w:t>
            </w:r>
            <w:hyperlink w:anchor="P7560">
              <w:r>
                <w:rPr>
                  <w:color w:val="0000FF"/>
                </w:rPr>
                <w:t>пункте 1 таблицы Л.1</w:t>
              </w:r>
            </w:hyperlink>
            <w:r>
              <w:t xml:space="preserve"> к фундаментам относятся также несущие ограждающие конструкции котлованов, изготовленные из монолитного или сборно-монолитного железобетона (по технологии "стена в грунте", буронабивные сваи и т.п.).</w:t>
            </w:r>
          </w:p>
        </w:tc>
      </w:tr>
    </w:tbl>
    <w:p w:rsidR="00E35632" w:rsidRDefault="00E35632">
      <w:pPr>
        <w:pStyle w:val="ConsPlusNormal"/>
        <w:jc w:val="both"/>
      </w:pPr>
    </w:p>
    <w:p w:rsidR="00E35632" w:rsidRDefault="00E35632">
      <w:pPr>
        <w:pStyle w:val="ConsPlusNormal"/>
        <w:jc w:val="right"/>
      </w:pPr>
      <w:r>
        <w:t>Таблица Л.2</w:t>
      </w:r>
    </w:p>
    <w:p w:rsidR="00E35632" w:rsidRDefault="00E35632">
      <w:pPr>
        <w:pStyle w:val="ConsPlusNormal"/>
        <w:jc w:val="both"/>
      </w:pPr>
    </w:p>
    <w:p w:rsidR="00E35632" w:rsidRDefault="00E35632">
      <w:pPr>
        <w:pStyle w:val="ConsPlusNormal"/>
        <w:jc w:val="center"/>
      </w:pPr>
      <w:bookmarkStart w:id="321" w:name="P7593"/>
      <w:bookmarkEnd w:id="321"/>
      <w:r>
        <w:rPr>
          <w:b/>
        </w:rPr>
        <w:t>Контролируемые параметры при геотехническом мониторинге</w:t>
      </w:r>
    </w:p>
    <w:p w:rsidR="00E35632" w:rsidRDefault="00E35632">
      <w:pPr>
        <w:pStyle w:val="ConsPlusNormal"/>
        <w:jc w:val="center"/>
      </w:pPr>
      <w:r>
        <w:rPr>
          <w:b/>
        </w:rPr>
        <w:t>оснований (без учета массива грунта, окружающего</w:t>
      </w:r>
    </w:p>
    <w:p w:rsidR="00E35632" w:rsidRDefault="00E35632">
      <w:pPr>
        <w:pStyle w:val="ConsPlusNormal"/>
        <w:jc w:val="center"/>
      </w:pPr>
      <w:r>
        <w:rPr>
          <w:b/>
        </w:rPr>
        <w:t>сооружение), фундаментов и конструкций</w:t>
      </w:r>
    </w:p>
    <w:p w:rsidR="00E35632" w:rsidRDefault="00E35632">
      <w:pPr>
        <w:pStyle w:val="ConsPlusNormal"/>
        <w:jc w:val="center"/>
      </w:pPr>
      <w:r>
        <w:rPr>
          <w:b/>
        </w:rPr>
        <w:t>реконструируемых сооружений</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620"/>
        <w:gridCol w:w="840"/>
        <w:gridCol w:w="840"/>
        <w:gridCol w:w="2760"/>
      </w:tblGrid>
      <w:tr w:rsidR="00E35632">
        <w:tc>
          <w:tcPr>
            <w:tcW w:w="4620" w:type="dxa"/>
            <w:vMerge w:val="restart"/>
            <w:vAlign w:val="center"/>
          </w:tcPr>
          <w:p w:rsidR="00E35632" w:rsidRDefault="00E35632">
            <w:pPr>
              <w:pStyle w:val="ConsPlusNormal"/>
              <w:jc w:val="center"/>
            </w:pPr>
            <w:r>
              <w:t>Контролируемые параметры</w:t>
            </w:r>
          </w:p>
        </w:tc>
        <w:tc>
          <w:tcPr>
            <w:tcW w:w="4440" w:type="dxa"/>
            <w:gridSpan w:val="3"/>
            <w:vAlign w:val="center"/>
          </w:tcPr>
          <w:p w:rsidR="00E35632" w:rsidRDefault="00E35632">
            <w:pPr>
              <w:pStyle w:val="ConsPlusNormal"/>
              <w:jc w:val="center"/>
            </w:pPr>
            <w:r>
              <w:t>Реконструируемые сооружения</w:t>
            </w:r>
          </w:p>
        </w:tc>
      </w:tr>
      <w:tr w:rsidR="00E35632">
        <w:tc>
          <w:tcPr>
            <w:tcW w:w="0" w:type="auto"/>
            <w:vMerge/>
          </w:tcPr>
          <w:p w:rsidR="00E35632" w:rsidRDefault="00E35632">
            <w:pPr>
              <w:pStyle w:val="ConsPlusNormal"/>
            </w:pPr>
          </w:p>
        </w:tc>
        <w:tc>
          <w:tcPr>
            <w:tcW w:w="1680" w:type="dxa"/>
            <w:gridSpan w:val="2"/>
            <w:vAlign w:val="center"/>
          </w:tcPr>
          <w:p w:rsidR="00E35632" w:rsidRDefault="00E35632">
            <w:pPr>
              <w:pStyle w:val="ConsPlusNormal"/>
              <w:jc w:val="center"/>
            </w:pPr>
            <w:r>
              <w:t>Геотехническая категория</w:t>
            </w:r>
          </w:p>
        </w:tc>
        <w:tc>
          <w:tcPr>
            <w:tcW w:w="2760" w:type="dxa"/>
            <w:vMerge w:val="restart"/>
            <w:vAlign w:val="center"/>
          </w:tcPr>
          <w:p w:rsidR="00E35632" w:rsidRDefault="00E35632">
            <w:pPr>
              <w:pStyle w:val="ConsPlusNormal"/>
              <w:jc w:val="center"/>
            </w:pPr>
            <w:r>
              <w:t>Уникальные, здания исторической застройки, памятники архитектуры, истории и культуры</w:t>
            </w:r>
          </w:p>
        </w:tc>
      </w:tr>
      <w:tr w:rsidR="00E35632">
        <w:tc>
          <w:tcPr>
            <w:tcW w:w="0" w:type="auto"/>
            <w:vMerge/>
          </w:tcPr>
          <w:p w:rsidR="00E35632" w:rsidRDefault="00E35632">
            <w:pPr>
              <w:pStyle w:val="ConsPlusNormal"/>
            </w:pPr>
          </w:p>
        </w:tc>
        <w:tc>
          <w:tcPr>
            <w:tcW w:w="840" w:type="dxa"/>
            <w:vAlign w:val="center"/>
          </w:tcPr>
          <w:p w:rsidR="00E35632" w:rsidRDefault="00E35632">
            <w:pPr>
              <w:pStyle w:val="ConsPlusNormal"/>
              <w:jc w:val="center"/>
            </w:pPr>
            <w:r>
              <w:t>2</w:t>
            </w:r>
          </w:p>
        </w:tc>
        <w:tc>
          <w:tcPr>
            <w:tcW w:w="840" w:type="dxa"/>
            <w:vAlign w:val="center"/>
          </w:tcPr>
          <w:p w:rsidR="00E35632" w:rsidRDefault="00E35632">
            <w:pPr>
              <w:pStyle w:val="ConsPlusNormal"/>
              <w:jc w:val="center"/>
            </w:pPr>
            <w:r>
              <w:t>3</w:t>
            </w:r>
          </w:p>
        </w:tc>
        <w:tc>
          <w:tcPr>
            <w:tcW w:w="0" w:type="auto"/>
            <w:vMerge/>
          </w:tcPr>
          <w:p w:rsidR="00E35632" w:rsidRDefault="00E35632">
            <w:pPr>
              <w:pStyle w:val="ConsPlusNormal"/>
            </w:pPr>
          </w:p>
        </w:tc>
      </w:tr>
      <w:tr w:rsidR="00E35632">
        <w:tc>
          <w:tcPr>
            <w:tcW w:w="4620" w:type="dxa"/>
          </w:tcPr>
          <w:p w:rsidR="00E35632" w:rsidRDefault="00E35632">
            <w:pPr>
              <w:pStyle w:val="ConsPlusNormal"/>
            </w:pPr>
            <w:bookmarkStart w:id="322" w:name="P7604"/>
            <w:bookmarkEnd w:id="322"/>
            <w:r>
              <w:t>1 Дополнительные осадки фундаментов и относительная разность дополнительных осадок</w:t>
            </w:r>
          </w:p>
        </w:tc>
        <w:tc>
          <w:tcPr>
            <w:tcW w:w="840" w:type="dxa"/>
            <w:vAlign w:val="bottom"/>
          </w:tcPr>
          <w:p w:rsidR="00E35632" w:rsidRDefault="00E35632">
            <w:pPr>
              <w:pStyle w:val="ConsPlusNormal"/>
              <w:jc w:val="center"/>
            </w:pPr>
            <w:r>
              <w:t>+</w:t>
            </w:r>
          </w:p>
        </w:tc>
        <w:tc>
          <w:tcPr>
            <w:tcW w:w="840" w:type="dxa"/>
            <w:vAlign w:val="bottom"/>
          </w:tcPr>
          <w:p w:rsidR="00E35632" w:rsidRDefault="00E35632">
            <w:pPr>
              <w:pStyle w:val="ConsPlusNormal"/>
              <w:jc w:val="center"/>
            </w:pPr>
            <w:r>
              <w:t>+</w:t>
            </w:r>
          </w:p>
        </w:tc>
        <w:tc>
          <w:tcPr>
            <w:tcW w:w="2760" w:type="dxa"/>
            <w:vAlign w:val="bottom"/>
          </w:tcPr>
          <w:p w:rsidR="00E35632" w:rsidRDefault="00E35632">
            <w:pPr>
              <w:pStyle w:val="ConsPlusNormal"/>
              <w:jc w:val="center"/>
            </w:pPr>
            <w:r>
              <w:t>+</w:t>
            </w:r>
          </w:p>
        </w:tc>
      </w:tr>
      <w:tr w:rsidR="00E35632">
        <w:tc>
          <w:tcPr>
            <w:tcW w:w="4620" w:type="dxa"/>
          </w:tcPr>
          <w:p w:rsidR="00E35632" w:rsidRDefault="00E35632">
            <w:pPr>
              <w:pStyle w:val="ConsPlusNormal"/>
            </w:pPr>
            <w:r>
              <w:t>2 Дополнительный крен</w:t>
            </w:r>
          </w:p>
        </w:tc>
        <w:tc>
          <w:tcPr>
            <w:tcW w:w="840" w:type="dxa"/>
            <w:vAlign w:val="bottom"/>
          </w:tcPr>
          <w:p w:rsidR="00E35632" w:rsidRDefault="00E35632">
            <w:pPr>
              <w:pStyle w:val="ConsPlusNormal"/>
              <w:jc w:val="center"/>
            </w:pPr>
            <w:r>
              <w:t>-</w:t>
            </w:r>
          </w:p>
        </w:tc>
        <w:tc>
          <w:tcPr>
            <w:tcW w:w="840" w:type="dxa"/>
            <w:vAlign w:val="bottom"/>
          </w:tcPr>
          <w:p w:rsidR="00E35632" w:rsidRDefault="00E35632">
            <w:pPr>
              <w:pStyle w:val="ConsPlusNormal"/>
              <w:jc w:val="center"/>
            </w:pPr>
            <w:r>
              <w:t>+</w:t>
            </w:r>
          </w:p>
        </w:tc>
        <w:tc>
          <w:tcPr>
            <w:tcW w:w="2760" w:type="dxa"/>
            <w:vAlign w:val="bottom"/>
          </w:tcPr>
          <w:p w:rsidR="00E35632" w:rsidRDefault="00E35632">
            <w:pPr>
              <w:pStyle w:val="ConsPlusNormal"/>
              <w:jc w:val="center"/>
            </w:pPr>
            <w:r>
              <w:t>+</w:t>
            </w:r>
          </w:p>
        </w:tc>
      </w:tr>
      <w:tr w:rsidR="00E35632">
        <w:tc>
          <w:tcPr>
            <w:tcW w:w="4620" w:type="dxa"/>
          </w:tcPr>
          <w:p w:rsidR="00E35632" w:rsidRDefault="00E35632">
            <w:pPr>
              <w:pStyle w:val="ConsPlusNormal"/>
            </w:pPr>
            <w:r>
              <w:t>3 Напряжения под подошвой фундаментов</w:t>
            </w:r>
          </w:p>
        </w:tc>
        <w:tc>
          <w:tcPr>
            <w:tcW w:w="840" w:type="dxa"/>
            <w:vAlign w:val="bottom"/>
          </w:tcPr>
          <w:p w:rsidR="00E35632" w:rsidRDefault="00E35632">
            <w:pPr>
              <w:pStyle w:val="ConsPlusNormal"/>
              <w:jc w:val="center"/>
            </w:pPr>
            <w:r>
              <w:t>-</w:t>
            </w:r>
          </w:p>
        </w:tc>
        <w:tc>
          <w:tcPr>
            <w:tcW w:w="840" w:type="dxa"/>
            <w:vAlign w:val="bottom"/>
          </w:tcPr>
          <w:p w:rsidR="00E35632" w:rsidRDefault="00E35632">
            <w:pPr>
              <w:pStyle w:val="ConsPlusNormal"/>
              <w:jc w:val="center"/>
            </w:pPr>
            <w:r>
              <w:t>-</w:t>
            </w:r>
          </w:p>
        </w:tc>
        <w:tc>
          <w:tcPr>
            <w:tcW w:w="2760" w:type="dxa"/>
            <w:vAlign w:val="bottom"/>
          </w:tcPr>
          <w:p w:rsidR="00E35632" w:rsidRDefault="00E35632">
            <w:pPr>
              <w:pStyle w:val="ConsPlusNormal"/>
              <w:jc w:val="center"/>
            </w:pPr>
            <w:r>
              <w:t>+</w:t>
            </w:r>
          </w:p>
        </w:tc>
      </w:tr>
      <w:tr w:rsidR="00E35632">
        <w:tc>
          <w:tcPr>
            <w:tcW w:w="4620" w:type="dxa"/>
          </w:tcPr>
          <w:p w:rsidR="00E35632" w:rsidRDefault="00E35632">
            <w:pPr>
              <w:pStyle w:val="ConsPlusNormal"/>
            </w:pPr>
            <w:r>
              <w:t>4 Послойные осадки грунтов основания</w:t>
            </w:r>
          </w:p>
        </w:tc>
        <w:tc>
          <w:tcPr>
            <w:tcW w:w="840" w:type="dxa"/>
            <w:vAlign w:val="bottom"/>
          </w:tcPr>
          <w:p w:rsidR="00E35632" w:rsidRDefault="00E35632">
            <w:pPr>
              <w:pStyle w:val="ConsPlusNormal"/>
              <w:jc w:val="center"/>
            </w:pPr>
            <w:r>
              <w:t>-</w:t>
            </w:r>
          </w:p>
        </w:tc>
        <w:tc>
          <w:tcPr>
            <w:tcW w:w="840" w:type="dxa"/>
            <w:vAlign w:val="bottom"/>
          </w:tcPr>
          <w:p w:rsidR="00E35632" w:rsidRDefault="00E35632">
            <w:pPr>
              <w:pStyle w:val="ConsPlusNormal"/>
              <w:jc w:val="center"/>
            </w:pPr>
            <w:r>
              <w:t>-</w:t>
            </w:r>
          </w:p>
        </w:tc>
        <w:tc>
          <w:tcPr>
            <w:tcW w:w="2760" w:type="dxa"/>
            <w:vAlign w:val="bottom"/>
          </w:tcPr>
          <w:p w:rsidR="00E35632" w:rsidRDefault="00E35632">
            <w:pPr>
              <w:pStyle w:val="ConsPlusNormal"/>
              <w:jc w:val="center"/>
            </w:pPr>
            <w:r>
              <w:t xml:space="preserve">+ </w:t>
            </w:r>
            <w:hyperlink w:anchor="P7628">
              <w:r>
                <w:rPr>
                  <w:color w:val="0000FF"/>
                </w:rPr>
                <w:t>&lt;1&gt;</w:t>
              </w:r>
            </w:hyperlink>
          </w:p>
        </w:tc>
      </w:tr>
      <w:tr w:rsidR="00E35632">
        <w:tc>
          <w:tcPr>
            <w:tcW w:w="4620" w:type="dxa"/>
          </w:tcPr>
          <w:p w:rsidR="00E35632" w:rsidRDefault="00E35632">
            <w:pPr>
              <w:pStyle w:val="ConsPlusNormal"/>
            </w:pPr>
            <w:r>
              <w:t>5 Напряжения в основании под пятой свай и в стволе свай</w:t>
            </w:r>
          </w:p>
        </w:tc>
        <w:tc>
          <w:tcPr>
            <w:tcW w:w="840" w:type="dxa"/>
            <w:vAlign w:val="bottom"/>
          </w:tcPr>
          <w:p w:rsidR="00E35632" w:rsidRDefault="00E35632">
            <w:pPr>
              <w:pStyle w:val="ConsPlusNormal"/>
              <w:jc w:val="center"/>
            </w:pPr>
            <w:r>
              <w:t>-</w:t>
            </w:r>
          </w:p>
        </w:tc>
        <w:tc>
          <w:tcPr>
            <w:tcW w:w="840" w:type="dxa"/>
            <w:vAlign w:val="bottom"/>
          </w:tcPr>
          <w:p w:rsidR="00E35632" w:rsidRDefault="00E35632">
            <w:pPr>
              <w:pStyle w:val="ConsPlusNormal"/>
              <w:jc w:val="center"/>
            </w:pPr>
            <w:r>
              <w:t>-</w:t>
            </w:r>
          </w:p>
        </w:tc>
        <w:tc>
          <w:tcPr>
            <w:tcW w:w="2760" w:type="dxa"/>
            <w:vAlign w:val="bottom"/>
          </w:tcPr>
          <w:p w:rsidR="00E35632" w:rsidRDefault="00E35632">
            <w:pPr>
              <w:pStyle w:val="ConsPlusNormal"/>
              <w:jc w:val="center"/>
            </w:pPr>
            <w:r>
              <w:t xml:space="preserve">- </w:t>
            </w:r>
            <w:hyperlink w:anchor="P7629">
              <w:r>
                <w:rPr>
                  <w:color w:val="0000FF"/>
                </w:rPr>
                <w:t>&lt;2&gt;</w:t>
              </w:r>
            </w:hyperlink>
          </w:p>
        </w:tc>
      </w:tr>
      <w:tr w:rsidR="00E35632">
        <w:tc>
          <w:tcPr>
            <w:tcW w:w="4620" w:type="dxa"/>
          </w:tcPr>
          <w:p w:rsidR="00E35632" w:rsidRDefault="00E35632">
            <w:pPr>
              <w:pStyle w:val="ConsPlusNormal"/>
            </w:pPr>
            <w:r>
              <w:t>6 Напряжения в конструкциях подземной части (фундаменты, колонны, перекрытия)</w:t>
            </w:r>
          </w:p>
        </w:tc>
        <w:tc>
          <w:tcPr>
            <w:tcW w:w="840" w:type="dxa"/>
            <w:vAlign w:val="bottom"/>
          </w:tcPr>
          <w:p w:rsidR="00E35632" w:rsidRDefault="00E35632">
            <w:pPr>
              <w:pStyle w:val="ConsPlusNormal"/>
              <w:jc w:val="center"/>
            </w:pPr>
            <w:r>
              <w:t>-</w:t>
            </w:r>
          </w:p>
        </w:tc>
        <w:tc>
          <w:tcPr>
            <w:tcW w:w="840" w:type="dxa"/>
            <w:vAlign w:val="bottom"/>
          </w:tcPr>
          <w:p w:rsidR="00E35632" w:rsidRDefault="00E35632">
            <w:pPr>
              <w:pStyle w:val="ConsPlusNormal"/>
              <w:jc w:val="center"/>
            </w:pPr>
            <w:r>
              <w:t>-</w:t>
            </w:r>
          </w:p>
        </w:tc>
        <w:tc>
          <w:tcPr>
            <w:tcW w:w="2760" w:type="dxa"/>
            <w:vAlign w:val="bottom"/>
          </w:tcPr>
          <w:p w:rsidR="00E35632" w:rsidRDefault="00E35632">
            <w:pPr>
              <w:pStyle w:val="ConsPlusNormal"/>
              <w:jc w:val="center"/>
            </w:pPr>
            <w:r>
              <w:t>+ &lt;1&gt;</w:t>
            </w:r>
          </w:p>
        </w:tc>
      </w:tr>
      <w:tr w:rsidR="00E35632">
        <w:tc>
          <w:tcPr>
            <w:tcW w:w="9060" w:type="dxa"/>
            <w:gridSpan w:val="4"/>
          </w:tcPr>
          <w:p w:rsidR="00E35632" w:rsidRDefault="00E35632">
            <w:pPr>
              <w:pStyle w:val="ConsPlusNormal"/>
              <w:ind w:firstLine="283"/>
              <w:jc w:val="both"/>
            </w:pPr>
            <w:bookmarkStart w:id="323" w:name="P7628"/>
            <w:bookmarkEnd w:id="323"/>
            <w:r>
              <w:t>&lt;1&gt; Выполняется при высоте сооружения более 75 м.</w:t>
            </w:r>
          </w:p>
          <w:p w:rsidR="00E35632" w:rsidRDefault="00E35632">
            <w:pPr>
              <w:pStyle w:val="ConsPlusNormal"/>
              <w:ind w:firstLine="283"/>
              <w:jc w:val="both"/>
            </w:pPr>
            <w:bookmarkStart w:id="324" w:name="P7629"/>
            <w:bookmarkEnd w:id="324"/>
            <w:r>
              <w:t>&lt;2&gt; Выполняется для свай усиления фундаментов.</w:t>
            </w:r>
          </w:p>
          <w:p w:rsidR="00E35632" w:rsidRDefault="00E35632">
            <w:pPr>
              <w:pStyle w:val="ConsPlusNormal"/>
            </w:pPr>
          </w:p>
          <w:p w:rsidR="00E35632" w:rsidRDefault="00E35632">
            <w:pPr>
              <w:pStyle w:val="ConsPlusNormal"/>
              <w:ind w:firstLine="283"/>
              <w:jc w:val="both"/>
            </w:pPr>
            <w:r>
              <w:t xml:space="preserve">Примечание - В </w:t>
            </w:r>
            <w:hyperlink w:anchor="P7604">
              <w:r>
                <w:rPr>
                  <w:color w:val="0000FF"/>
                </w:rPr>
                <w:t>пункте 1 таблицы Л.2</w:t>
              </w:r>
            </w:hyperlink>
            <w:r>
              <w:t xml:space="preserve"> к фундаментам относятся также несущие ограждающие конструкции котлованов, изготовленные из монолитного или сборно-монолитного железобетона (по технологии "стена в грунте", буронабивные сваи и т.п.).</w:t>
            </w:r>
          </w:p>
        </w:tc>
      </w:tr>
    </w:tbl>
    <w:p w:rsidR="00E35632" w:rsidRDefault="00E35632">
      <w:pPr>
        <w:pStyle w:val="ConsPlusNormal"/>
        <w:jc w:val="both"/>
      </w:pPr>
    </w:p>
    <w:p w:rsidR="00E35632" w:rsidRDefault="00E35632">
      <w:pPr>
        <w:pStyle w:val="ConsPlusNormal"/>
        <w:jc w:val="right"/>
      </w:pPr>
      <w:r>
        <w:t>Таблица Л.3</w:t>
      </w:r>
    </w:p>
    <w:p w:rsidR="00E35632" w:rsidRDefault="00E35632">
      <w:pPr>
        <w:pStyle w:val="ConsPlusNormal"/>
        <w:jc w:val="both"/>
      </w:pPr>
    </w:p>
    <w:p w:rsidR="00E35632" w:rsidRDefault="00E35632">
      <w:pPr>
        <w:pStyle w:val="ConsPlusNormal"/>
        <w:jc w:val="center"/>
      </w:pPr>
      <w:bookmarkStart w:id="325" w:name="P7635"/>
      <w:bookmarkEnd w:id="325"/>
      <w:r>
        <w:rPr>
          <w:b/>
        </w:rPr>
        <w:t>Контролируемые параметры при геотехническом</w:t>
      </w:r>
    </w:p>
    <w:p w:rsidR="00E35632" w:rsidRDefault="00E35632">
      <w:pPr>
        <w:pStyle w:val="ConsPlusNormal"/>
        <w:jc w:val="center"/>
      </w:pPr>
      <w:r>
        <w:rPr>
          <w:b/>
        </w:rPr>
        <w:t>мониторинге конструкций ограждения котлована</w:t>
      </w:r>
    </w:p>
    <w:p w:rsidR="00E35632" w:rsidRDefault="00E35632">
      <w:pPr>
        <w:pStyle w:val="ConsPlusNormal"/>
        <w:jc w:val="center"/>
      </w:pPr>
      <w:r>
        <w:rPr>
          <w:b/>
        </w:rPr>
        <w:t>вновь возводимых и реконструируемых сооружений</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535"/>
        <w:gridCol w:w="929"/>
        <w:gridCol w:w="850"/>
        <w:gridCol w:w="854"/>
        <w:gridCol w:w="835"/>
        <w:gridCol w:w="1077"/>
      </w:tblGrid>
      <w:tr w:rsidR="00E35632">
        <w:tc>
          <w:tcPr>
            <w:tcW w:w="4535" w:type="dxa"/>
            <w:vMerge w:val="restart"/>
            <w:vAlign w:val="center"/>
          </w:tcPr>
          <w:p w:rsidR="00E35632" w:rsidRDefault="00E35632">
            <w:pPr>
              <w:pStyle w:val="ConsPlusNormal"/>
              <w:jc w:val="center"/>
            </w:pPr>
            <w:r>
              <w:t>Контролируемые параметры</w:t>
            </w:r>
          </w:p>
        </w:tc>
        <w:tc>
          <w:tcPr>
            <w:tcW w:w="4545" w:type="dxa"/>
            <w:gridSpan w:val="5"/>
            <w:vAlign w:val="center"/>
          </w:tcPr>
          <w:p w:rsidR="00E35632" w:rsidRDefault="00E35632">
            <w:pPr>
              <w:pStyle w:val="ConsPlusNormal"/>
              <w:jc w:val="center"/>
            </w:pPr>
            <w:r>
              <w:t xml:space="preserve">При глубине котлована </w:t>
            </w:r>
            <w:r>
              <w:rPr>
                <w:i/>
              </w:rPr>
              <w:t>H</w:t>
            </w:r>
            <w:r>
              <w:rPr>
                <w:vertAlign w:val="subscript"/>
              </w:rPr>
              <w:t>к</w:t>
            </w:r>
            <w:r>
              <w:t>, м</w:t>
            </w:r>
          </w:p>
        </w:tc>
      </w:tr>
      <w:tr w:rsidR="00E35632">
        <w:tc>
          <w:tcPr>
            <w:tcW w:w="0" w:type="auto"/>
            <w:vMerge/>
          </w:tcPr>
          <w:p w:rsidR="00E35632" w:rsidRDefault="00E35632">
            <w:pPr>
              <w:pStyle w:val="ConsPlusNormal"/>
            </w:pPr>
          </w:p>
        </w:tc>
        <w:tc>
          <w:tcPr>
            <w:tcW w:w="1779" w:type="dxa"/>
            <w:gridSpan w:val="2"/>
            <w:vAlign w:val="center"/>
          </w:tcPr>
          <w:p w:rsidR="00E35632" w:rsidRDefault="00E35632">
            <w:pPr>
              <w:pStyle w:val="ConsPlusNormal"/>
              <w:jc w:val="center"/>
            </w:pPr>
            <w:r>
              <w:t xml:space="preserve">5 &lt;= </w:t>
            </w:r>
            <w:r>
              <w:rPr>
                <w:i/>
              </w:rPr>
              <w:t>H</w:t>
            </w:r>
            <w:r>
              <w:rPr>
                <w:vertAlign w:val="subscript"/>
              </w:rPr>
              <w:t>к</w:t>
            </w:r>
            <w:r>
              <w:t xml:space="preserve"> &lt; 10</w:t>
            </w:r>
          </w:p>
        </w:tc>
        <w:tc>
          <w:tcPr>
            <w:tcW w:w="1689" w:type="dxa"/>
            <w:gridSpan w:val="2"/>
            <w:vAlign w:val="center"/>
          </w:tcPr>
          <w:p w:rsidR="00E35632" w:rsidRDefault="00E35632">
            <w:pPr>
              <w:pStyle w:val="ConsPlusNormal"/>
              <w:jc w:val="center"/>
            </w:pPr>
            <w:r>
              <w:t xml:space="preserve">10 &lt;= </w:t>
            </w:r>
            <w:r>
              <w:rPr>
                <w:i/>
              </w:rPr>
              <w:t>H</w:t>
            </w:r>
            <w:r>
              <w:rPr>
                <w:vertAlign w:val="subscript"/>
              </w:rPr>
              <w:t>к</w:t>
            </w:r>
            <w:r>
              <w:t xml:space="preserve"> &lt; 15</w:t>
            </w:r>
          </w:p>
        </w:tc>
        <w:tc>
          <w:tcPr>
            <w:tcW w:w="1077" w:type="dxa"/>
            <w:vAlign w:val="center"/>
          </w:tcPr>
          <w:p w:rsidR="00E35632" w:rsidRDefault="00E35632">
            <w:pPr>
              <w:pStyle w:val="ConsPlusNormal"/>
              <w:jc w:val="center"/>
            </w:pPr>
            <w:r>
              <w:rPr>
                <w:i/>
              </w:rPr>
              <w:t>H</w:t>
            </w:r>
            <w:r>
              <w:rPr>
                <w:vertAlign w:val="subscript"/>
              </w:rPr>
              <w:t>к</w:t>
            </w:r>
            <w:r>
              <w:t xml:space="preserve"> &gt;= 15</w:t>
            </w:r>
          </w:p>
        </w:tc>
      </w:tr>
      <w:tr w:rsidR="00E35632">
        <w:tc>
          <w:tcPr>
            <w:tcW w:w="0" w:type="auto"/>
            <w:vMerge/>
          </w:tcPr>
          <w:p w:rsidR="00E35632" w:rsidRDefault="00E35632">
            <w:pPr>
              <w:pStyle w:val="ConsPlusNormal"/>
            </w:pPr>
          </w:p>
        </w:tc>
        <w:tc>
          <w:tcPr>
            <w:tcW w:w="4545" w:type="dxa"/>
            <w:gridSpan w:val="5"/>
            <w:vAlign w:val="center"/>
          </w:tcPr>
          <w:p w:rsidR="00E35632" w:rsidRDefault="00E35632">
            <w:pPr>
              <w:pStyle w:val="ConsPlusNormal"/>
              <w:jc w:val="center"/>
            </w:pPr>
            <w:r>
              <w:t>Геотехническая категория</w:t>
            </w:r>
          </w:p>
        </w:tc>
      </w:tr>
      <w:tr w:rsidR="00E35632">
        <w:tc>
          <w:tcPr>
            <w:tcW w:w="0" w:type="auto"/>
            <w:vMerge/>
          </w:tcPr>
          <w:p w:rsidR="00E35632" w:rsidRDefault="00E35632">
            <w:pPr>
              <w:pStyle w:val="ConsPlusNormal"/>
            </w:pPr>
          </w:p>
        </w:tc>
        <w:tc>
          <w:tcPr>
            <w:tcW w:w="929" w:type="dxa"/>
            <w:vAlign w:val="center"/>
          </w:tcPr>
          <w:p w:rsidR="00E35632" w:rsidRDefault="00E35632">
            <w:pPr>
              <w:pStyle w:val="ConsPlusNormal"/>
              <w:jc w:val="center"/>
            </w:pPr>
            <w:r>
              <w:t>2</w:t>
            </w:r>
          </w:p>
        </w:tc>
        <w:tc>
          <w:tcPr>
            <w:tcW w:w="850" w:type="dxa"/>
            <w:vAlign w:val="center"/>
          </w:tcPr>
          <w:p w:rsidR="00E35632" w:rsidRDefault="00E35632">
            <w:pPr>
              <w:pStyle w:val="ConsPlusNormal"/>
              <w:jc w:val="center"/>
            </w:pPr>
            <w:r>
              <w:t>3</w:t>
            </w:r>
          </w:p>
        </w:tc>
        <w:tc>
          <w:tcPr>
            <w:tcW w:w="854" w:type="dxa"/>
            <w:vAlign w:val="center"/>
          </w:tcPr>
          <w:p w:rsidR="00E35632" w:rsidRDefault="00E35632">
            <w:pPr>
              <w:pStyle w:val="ConsPlusNormal"/>
              <w:jc w:val="center"/>
            </w:pPr>
            <w:r>
              <w:t>2</w:t>
            </w:r>
          </w:p>
        </w:tc>
        <w:tc>
          <w:tcPr>
            <w:tcW w:w="835" w:type="dxa"/>
            <w:vAlign w:val="center"/>
          </w:tcPr>
          <w:p w:rsidR="00E35632" w:rsidRDefault="00E35632">
            <w:pPr>
              <w:pStyle w:val="ConsPlusNormal"/>
              <w:jc w:val="center"/>
            </w:pPr>
            <w:r>
              <w:t>3</w:t>
            </w:r>
          </w:p>
        </w:tc>
        <w:tc>
          <w:tcPr>
            <w:tcW w:w="1077" w:type="dxa"/>
            <w:vAlign w:val="center"/>
          </w:tcPr>
          <w:p w:rsidR="00E35632" w:rsidRDefault="00E35632">
            <w:pPr>
              <w:pStyle w:val="ConsPlusNormal"/>
              <w:jc w:val="center"/>
            </w:pPr>
            <w:r>
              <w:t>-</w:t>
            </w:r>
          </w:p>
        </w:tc>
      </w:tr>
      <w:tr w:rsidR="00E35632">
        <w:tc>
          <w:tcPr>
            <w:tcW w:w="4535" w:type="dxa"/>
          </w:tcPr>
          <w:p w:rsidR="00E35632" w:rsidRDefault="00E35632">
            <w:pPr>
              <w:pStyle w:val="ConsPlusNormal"/>
            </w:pPr>
            <w:r>
              <w:t>1 Горизонтальные перемещения верха ограждающей конструкции</w:t>
            </w:r>
          </w:p>
        </w:tc>
        <w:tc>
          <w:tcPr>
            <w:tcW w:w="929" w:type="dxa"/>
            <w:vAlign w:val="bottom"/>
          </w:tcPr>
          <w:p w:rsidR="00E35632" w:rsidRDefault="00E35632">
            <w:pPr>
              <w:pStyle w:val="ConsPlusNormal"/>
              <w:jc w:val="center"/>
            </w:pPr>
            <w:r>
              <w:t>+</w:t>
            </w:r>
          </w:p>
        </w:tc>
        <w:tc>
          <w:tcPr>
            <w:tcW w:w="850" w:type="dxa"/>
            <w:vAlign w:val="bottom"/>
          </w:tcPr>
          <w:p w:rsidR="00E35632" w:rsidRDefault="00E35632">
            <w:pPr>
              <w:pStyle w:val="ConsPlusNormal"/>
              <w:jc w:val="center"/>
            </w:pPr>
            <w:r>
              <w:t>+</w:t>
            </w:r>
          </w:p>
        </w:tc>
        <w:tc>
          <w:tcPr>
            <w:tcW w:w="854" w:type="dxa"/>
            <w:vAlign w:val="bottom"/>
          </w:tcPr>
          <w:p w:rsidR="00E35632" w:rsidRDefault="00E35632">
            <w:pPr>
              <w:pStyle w:val="ConsPlusNormal"/>
              <w:jc w:val="center"/>
            </w:pPr>
            <w:r>
              <w:t>+</w:t>
            </w:r>
          </w:p>
        </w:tc>
        <w:tc>
          <w:tcPr>
            <w:tcW w:w="835" w:type="dxa"/>
            <w:vAlign w:val="bottom"/>
          </w:tcPr>
          <w:p w:rsidR="00E35632" w:rsidRDefault="00E35632">
            <w:pPr>
              <w:pStyle w:val="ConsPlusNormal"/>
              <w:jc w:val="center"/>
            </w:pPr>
            <w:r>
              <w:t>+</w:t>
            </w:r>
          </w:p>
        </w:tc>
        <w:tc>
          <w:tcPr>
            <w:tcW w:w="1077" w:type="dxa"/>
            <w:vAlign w:val="bottom"/>
          </w:tcPr>
          <w:p w:rsidR="00E35632" w:rsidRDefault="00E35632">
            <w:pPr>
              <w:pStyle w:val="ConsPlusNormal"/>
              <w:jc w:val="center"/>
            </w:pPr>
            <w:r>
              <w:t>+</w:t>
            </w:r>
          </w:p>
        </w:tc>
      </w:tr>
      <w:tr w:rsidR="00E35632">
        <w:tc>
          <w:tcPr>
            <w:tcW w:w="4535" w:type="dxa"/>
          </w:tcPr>
          <w:p w:rsidR="00E35632" w:rsidRDefault="00E35632">
            <w:pPr>
              <w:pStyle w:val="ConsPlusNormal"/>
            </w:pPr>
            <w:r>
              <w:t>2 Горизонтальные перемещения ограждающей конструкции по высоте</w:t>
            </w:r>
          </w:p>
        </w:tc>
        <w:tc>
          <w:tcPr>
            <w:tcW w:w="929" w:type="dxa"/>
            <w:vAlign w:val="bottom"/>
          </w:tcPr>
          <w:p w:rsidR="00E35632" w:rsidRDefault="00E35632">
            <w:pPr>
              <w:pStyle w:val="ConsPlusNormal"/>
              <w:jc w:val="center"/>
            </w:pPr>
            <w:r>
              <w:t>-</w:t>
            </w:r>
          </w:p>
        </w:tc>
        <w:tc>
          <w:tcPr>
            <w:tcW w:w="850" w:type="dxa"/>
            <w:vAlign w:val="bottom"/>
          </w:tcPr>
          <w:p w:rsidR="00E35632" w:rsidRDefault="00E35632">
            <w:pPr>
              <w:pStyle w:val="ConsPlusNormal"/>
              <w:jc w:val="center"/>
            </w:pPr>
            <w:r>
              <w:t>+</w:t>
            </w:r>
          </w:p>
        </w:tc>
        <w:tc>
          <w:tcPr>
            <w:tcW w:w="854" w:type="dxa"/>
            <w:vAlign w:val="bottom"/>
          </w:tcPr>
          <w:p w:rsidR="00E35632" w:rsidRDefault="00E35632">
            <w:pPr>
              <w:pStyle w:val="ConsPlusNormal"/>
              <w:jc w:val="center"/>
            </w:pPr>
            <w:r>
              <w:t>+</w:t>
            </w:r>
          </w:p>
        </w:tc>
        <w:tc>
          <w:tcPr>
            <w:tcW w:w="835" w:type="dxa"/>
            <w:vAlign w:val="bottom"/>
          </w:tcPr>
          <w:p w:rsidR="00E35632" w:rsidRDefault="00E35632">
            <w:pPr>
              <w:pStyle w:val="ConsPlusNormal"/>
              <w:jc w:val="center"/>
            </w:pPr>
            <w:r>
              <w:t>+</w:t>
            </w:r>
          </w:p>
        </w:tc>
        <w:tc>
          <w:tcPr>
            <w:tcW w:w="1077" w:type="dxa"/>
            <w:vAlign w:val="bottom"/>
          </w:tcPr>
          <w:p w:rsidR="00E35632" w:rsidRDefault="00E35632">
            <w:pPr>
              <w:pStyle w:val="ConsPlusNormal"/>
              <w:jc w:val="center"/>
            </w:pPr>
            <w:r>
              <w:t>+</w:t>
            </w:r>
          </w:p>
        </w:tc>
      </w:tr>
      <w:tr w:rsidR="00E35632">
        <w:tc>
          <w:tcPr>
            <w:tcW w:w="4535" w:type="dxa"/>
          </w:tcPr>
          <w:p w:rsidR="00E35632" w:rsidRDefault="00E35632">
            <w:pPr>
              <w:pStyle w:val="ConsPlusNormal"/>
            </w:pPr>
            <w:r>
              <w:t>3 Напряжения в стальных распорках</w:t>
            </w:r>
          </w:p>
        </w:tc>
        <w:tc>
          <w:tcPr>
            <w:tcW w:w="929" w:type="dxa"/>
            <w:vAlign w:val="bottom"/>
          </w:tcPr>
          <w:p w:rsidR="00E35632" w:rsidRDefault="00E35632">
            <w:pPr>
              <w:pStyle w:val="ConsPlusNormal"/>
              <w:jc w:val="center"/>
            </w:pPr>
            <w:r>
              <w:t>-</w:t>
            </w:r>
          </w:p>
        </w:tc>
        <w:tc>
          <w:tcPr>
            <w:tcW w:w="850" w:type="dxa"/>
            <w:vAlign w:val="bottom"/>
          </w:tcPr>
          <w:p w:rsidR="00E35632" w:rsidRDefault="00E35632">
            <w:pPr>
              <w:pStyle w:val="ConsPlusNormal"/>
              <w:jc w:val="center"/>
            </w:pPr>
            <w:r>
              <w:t>-</w:t>
            </w:r>
          </w:p>
        </w:tc>
        <w:tc>
          <w:tcPr>
            <w:tcW w:w="854" w:type="dxa"/>
            <w:vAlign w:val="bottom"/>
          </w:tcPr>
          <w:p w:rsidR="00E35632" w:rsidRDefault="00E35632">
            <w:pPr>
              <w:pStyle w:val="ConsPlusNormal"/>
              <w:jc w:val="center"/>
            </w:pPr>
            <w:r>
              <w:t xml:space="preserve">+ </w:t>
            </w:r>
            <w:hyperlink w:anchor="P7692">
              <w:r>
                <w:rPr>
                  <w:color w:val="0000FF"/>
                </w:rPr>
                <w:t>&lt;1&gt;</w:t>
              </w:r>
            </w:hyperlink>
          </w:p>
        </w:tc>
        <w:tc>
          <w:tcPr>
            <w:tcW w:w="835" w:type="dxa"/>
            <w:vAlign w:val="bottom"/>
          </w:tcPr>
          <w:p w:rsidR="00E35632" w:rsidRDefault="00E35632">
            <w:pPr>
              <w:pStyle w:val="ConsPlusNormal"/>
              <w:jc w:val="center"/>
            </w:pPr>
            <w:r>
              <w:t xml:space="preserve">+ </w:t>
            </w:r>
            <w:hyperlink w:anchor="P7692">
              <w:r>
                <w:rPr>
                  <w:color w:val="0000FF"/>
                </w:rPr>
                <w:t>&lt;1&gt;</w:t>
              </w:r>
            </w:hyperlink>
          </w:p>
        </w:tc>
        <w:tc>
          <w:tcPr>
            <w:tcW w:w="1077" w:type="dxa"/>
            <w:vAlign w:val="bottom"/>
          </w:tcPr>
          <w:p w:rsidR="00E35632" w:rsidRDefault="00E35632">
            <w:pPr>
              <w:pStyle w:val="ConsPlusNormal"/>
              <w:jc w:val="center"/>
            </w:pPr>
            <w:r>
              <w:t>+</w:t>
            </w:r>
          </w:p>
        </w:tc>
      </w:tr>
      <w:tr w:rsidR="00E35632">
        <w:tc>
          <w:tcPr>
            <w:tcW w:w="4535" w:type="dxa"/>
          </w:tcPr>
          <w:p w:rsidR="00E35632" w:rsidRDefault="00E35632">
            <w:pPr>
              <w:pStyle w:val="ConsPlusNormal"/>
            </w:pPr>
            <w:r>
              <w:t>4 Напряжения в тягах анкерных устройств</w:t>
            </w:r>
          </w:p>
        </w:tc>
        <w:tc>
          <w:tcPr>
            <w:tcW w:w="929" w:type="dxa"/>
            <w:vAlign w:val="bottom"/>
          </w:tcPr>
          <w:p w:rsidR="00E35632" w:rsidRDefault="00E35632">
            <w:pPr>
              <w:pStyle w:val="ConsPlusNormal"/>
              <w:jc w:val="center"/>
            </w:pPr>
            <w:r>
              <w:t>-</w:t>
            </w:r>
          </w:p>
        </w:tc>
        <w:tc>
          <w:tcPr>
            <w:tcW w:w="850" w:type="dxa"/>
            <w:vAlign w:val="bottom"/>
          </w:tcPr>
          <w:p w:rsidR="00E35632" w:rsidRDefault="00E35632">
            <w:pPr>
              <w:pStyle w:val="ConsPlusNormal"/>
              <w:jc w:val="center"/>
            </w:pPr>
            <w:r>
              <w:t>-</w:t>
            </w:r>
          </w:p>
        </w:tc>
        <w:tc>
          <w:tcPr>
            <w:tcW w:w="854" w:type="dxa"/>
            <w:vAlign w:val="bottom"/>
          </w:tcPr>
          <w:p w:rsidR="00E35632" w:rsidRDefault="00E35632">
            <w:pPr>
              <w:pStyle w:val="ConsPlusNormal"/>
              <w:jc w:val="center"/>
            </w:pPr>
            <w:r>
              <w:t>-</w:t>
            </w:r>
          </w:p>
        </w:tc>
        <w:tc>
          <w:tcPr>
            <w:tcW w:w="835" w:type="dxa"/>
            <w:vAlign w:val="bottom"/>
          </w:tcPr>
          <w:p w:rsidR="00E35632" w:rsidRDefault="00E35632">
            <w:pPr>
              <w:pStyle w:val="ConsPlusNormal"/>
              <w:jc w:val="center"/>
            </w:pPr>
            <w:r>
              <w:t>+</w:t>
            </w:r>
          </w:p>
        </w:tc>
        <w:tc>
          <w:tcPr>
            <w:tcW w:w="1077" w:type="dxa"/>
            <w:vAlign w:val="bottom"/>
          </w:tcPr>
          <w:p w:rsidR="00E35632" w:rsidRDefault="00E35632">
            <w:pPr>
              <w:pStyle w:val="ConsPlusNormal"/>
              <w:jc w:val="center"/>
            </w:pPr>
            <w:r>
              <w:t>+</w:t>
            </w:r>
          </w:p>
        </w:tc>
      </w:tr>
      <w:tr w:rsidR="00E35632">
        <w:tc>
          <w:tcPr>
            <w:tcW w:w="4535" w:type="dxa"/>
          </w:tcPr>
          <w:p w:rsidR="00E35632" w:rsidRDefault="00E35632">
            <w:pPr>
              <w:pStyle w:val="ConsPlusNormal"/>
            </w:pPr>
            <w:r>
              <w:t>5 Напряжения в арматуре и бетоне ограждающей конструкции</w:t>
            </w:r>
          </w:p>
        </w:tc>
        <w:tc>
          <w:tcPr>
            <w:tcW w:w="929" w:type="dxa"/>
            <w:vAlign w:val="bottom"/>
          </w:tcPr>
          <w:p w:rsidR="00E35632" w:rsidRDefault="00E35632">
            <w:pPr>
              <w:pStyle w:val="ConsPlusNormal"/>
              <w:jc w:val="center"/>
            </w:pPr>
            <w:r>
              <w:t>-</w:t>
            </w:r>
          </w:p>
        </w:tc>
        <w:tc>
          <w:tcPr>
            <w:tcW w:w="850" w:type="dxa"/>
            <w:vAlign w:val="bottom"/>
          </w:tcPr>
          <w:p w:rsidR="00E35632" w:rsidRDefault="00E35632">
            <w:pPr>
              <w:pStyle w:val="ConsPlusNormal"/>
              <w:jc w:val="center"/>
            </w:pPr>
            <w:r>
              <w:t>-</w:t>
            </w:r>
          </w:p>
        </w:tc>
        <w:tc>
          <w:tcPr>
            <w:tcW w:w="854" w:type="dxa"/>
            <w:vAlign w:val="bottom"/>
          </w:tcPr>
          <w:p w:rsidR="00E35632" w:rsidRDefault="00E35632">
            <w:pPr>
              <w:pStyle w:val="ConsPlusNormal"/>
              <w:jc w:val="center"/>
            </w:pPr>
            <w:r>
              <w:t>-</w:t>
            </w:r>
          </w:p>
        </w:tc>
        <w:tc>
          <w:tcPr>
            <w:tcW w:w="835" w:type="dxa"/>
            <w:vAlign w:val="bottom"/>
          </w:tcPr>
          <w:p w:rsidR="00E35632" w:rsidRDefault="00E35632">
            <w:pPr>
              <w:pStyle w:val="ConsPlusNormal"/>
              <w:jc w:val="center"/>
            </w:pPr>
            <w:r>
              <w:t>-</w:t>
            </w:r>
          </w:p>
        </w:tc>
        <w:tc>
          <w:tcPr>
            <w:tcW w:w="1077" w:type="dxa"/>
            <w:vAlign w:val="bottom"/>
          </w:tcPr>
          <w:p w:rsidR="00E35632" w:rsidRDefault="00E35632">
            <w:pPr>
              <w:pStyle w:val="ConsPlusNormal"/>
              <w:jc w:val="center"/>
            </w:pPr>
            <w:r>
              <w:t xml:space="preserve">+ </w:t>
            </w:r>
            <w:hyperlink w:anchor="P7693">
              <w:r>
                <w:rPr>
                  <w:color w:val="0000FF"/>
                </w:rPr>
                <w:t>&lt;2&gt;</w:t>
              </w:r>
            </w:hyperlink>
          </w:p>
        </w:tc>
      </w:tr>
      <w:tr w:rsidR="00E35632">
        <w:tc>
          <w:tcPr>
            <w:tcW w:w="4535" w:type="dxa"/>
          </w:tcPr>
          <w:p w:rsidR="00E35632" w:rsidRDefault="00E35632">
            <w:pPr>
              <w:pStyle w:val="ConsPlusNormal"/>
            </w:pPr>
            <w:r>
              <w:t>6 Напряжения в арматуре и бетоне перекрытий при разработке котлована под их защитой</w:t>
            </w:r>
          </w:p>
        </w:tc>
        <w:tc>
          <w:tcPr>
            <w:tcW w:w="929" w:type="dxa"/>
            <w:vAlign w:val="bottom"/>
          </w:tcPr>
          <w:p w:rsidR="00E35632" w:rsidRDefault="00E35632">
            <w:pPr>
              <w:pStyle w:val="ConsPlusNormal"/>
              <w:jc w:val="center"/>
            </w:pPr>
            <w:r>
              <w:t>-</w:t>
            </w:r>
          </w:p>
        </w:tc>
        <w:tc>
          <w:tcPr>
            <w:tcW w:w="850" w:type="dxa"/>
            <w:vAlign w:val="bottom"/>
          </w:tcPr>
          <w:p w:rsidR="00E35632" w:rsidRDefault="00E35632">
            <w:pPr>
              <w:pStyle w:val="ConsPlusNormal"/>
              <w:jc w:val="center"/>
            </w:pPr>
            <w:r>
              <w:t>-</w:t>
            </w:r>
          </w:p>
        </w:tc>
        <w:tc>
          <w:tcPr>
            <w:tcW w:w="854" w:type="dxa"/>
            <w:vAlign w:val="bottom"/>
          </w:tcPr>
          <w:p w:rsidR="00E35632" w:rsidRDefault="00E35632">
            <w:pPr>
              <w:pStyle w:val="ConsPlusNormal"/>
              <w:jc w:val="center"/>
            </w:pPr>
            <w:r>
              <w:t>-</w:t>
            </w:r>
          </w:p>
        </w:tc>
        <w:tc>
          <w:tcPr>
            <w:tcW w:w="835" w:type="dxa"/>
            <w:vAlign w:val="bottom"/>
          </w:tcPr>
          <w:p w:rsidR="00E35632" w:rsidRDefault="00E35632">
            <w:pPr>
              <w:pStyle w:val="ConsPlusNormal"/>
              <w:jc w:val="center"/>
            </w:pPr>
            <w:r>
              <w:t>-</w:t>
            </w:r>
          </w:p>
        </w:tc>
        <w:tc>
          <w:tcPr>
            <w:tcW w:w="1077" w:type="dxa"/>
            <w:vAlign w:val="bottom"/>
          </w:tcPr>
          <w:p w:rsidR="00E35632" w:rsidRDefault="00E35632">
            <w:pPr>
              <w:pStyle w:val="ConsPlusNormal"/>
              <w:jc w:val="center"/>
            </w:pPr>
            <w:r>
              <w:t xml:space="preserve">+ </w:t>
            </w:r>
            <w:hyperlink w:anchor="P7693">
              <w:r>
                <w:rPr>
                  <w:color w:val="0000FF"/>
                </w:rPr>
                <w:t>&lt;2&gt;</w:t>
              </w:r>
            </w:hyperlink>
          </w:p>
        </w:tc>
      </w:tr>
      <w:tr w:rsidR="00E35632">
        <w:tc>
          <w:tcPr>
            <w:tcW w:w="4535" w:type="dxa"/>
          </w:tcPr>
          <w:p w:rsidR="00E35632" w:rsidRDefault="00E35632">
            <w:pPr>
              <w:pStyle w:val="ConsPlusNormal"/>
            </w:pPr>
            <w:r>
              <w:t>7 Температура и глубина промерзания грунтов за ограждающей конструкцией</w:t>
            </w:r>
          </w:p>
        </w:tc>
        <w:tc>
          <w:tcPr>
            <w:tcW w:w="929" w:type="dxa"/>
            <w:vAlign w:val="bottom"/>
          </w:tcPr>
          <w:p w:rsidR="00E35632" w:rsidRDefault="00E35632">
            <w:pPr>
              <w:pStyle w:val="ConsPlusNormal"/>
              <w:jc w:val="center"/>
            </w:pPr>
            <w:r>
              <w:t xml:space="preserve">+ </w:t>
            </w:r>
            <w:hyperlink w:anchor="P7694">
              <w:r>
                <w:rPr>
                  <w:color w:val="0000FF"/>
                </w:rPr>
                <w:t>&lt;3&gt;</w:t>
              </w:r>
            </w:hyperlink>
          </w:p>
        </w:tc>
        <w:tc>
          <w:tcPr>
            <w:tcW w:w="850" w:type="dxa"/>
            <w:vAlign w:val="bottom"/>
          </w:tcPr>
          <w:p w:rsidR="00E35632" w:rsidRDefault="00E35632">
            <w:pPr>
              <w:pStyle w:val="ConsPlusNormal"/>
              <w:jc w:val="center"/>
            </w:pPr>
            <w:r>
              <w:t xml:space="preserve">+ </w:t>
            </w:r>
            <w:hyperlink w:anchor="P7694">
              <w:r>
                <w:rPr>
                  <w:color w:val="0000FF"/>
                </w:rPr>
                <w:t>&lt;3&gt;</w:t>
              </w:r>
            </w:hyperlink>
          </w:p>
        </w:tc>
        <w:tc>
          <w:tcPr>
            <w:tcW w:w="854" w:type="dxa"/>
            <w:vAlign w:val="bottom"/>
          </w:tcPr>
          <w:p w:rsidR="00E35632" w:rsidRDefault="00E35632">
            <w:pPr>
              <w:pStyle w:val="ConsPlusNormal"/>
              <w:jc w:val="center"/>
            </w:pPr>
            <w:r>
              <w:t xml:space="preserve">+ </w:t>
            </w:r>
            <w:hyperlink w:anchor="P7694">
              <w:r>
                <w:rPr>
                  <w:color w:val="0000FF"/>
                </w:rPr>
                <w:t>&lt;3&gt;</w:t>
              </w:r>
            </w:hyperlink>
          </w:p>
        </w:tc>
        <w:tc>
          <w:tcPr>
            <w:tcW w:w="835" w:type="dxa"/>
            <w:vAlign w:val="bottom"/>
          </w:tcPr>
          <w:p w:rsidR="00E35632" w:rsidRDefault="00E35632">
            <w:pPr>
              <w:pStyle w:val="ConsPlusNormal"/>
              <w:jc w:val="center"/>
            </w:pPr>
            <w:r>
              <w:t xml:space="preserve">+ </w:t>
            </w:r>
            <w:hyperlink w:anchor="P7694">
              <w:r>
                <w:rPr>
                  <w:color w:val="0000FF"/>
                </w:rPr>
                <w:t>&lt;3&gt;</w:t>
              </w:r>
            </w:hyperlink>
          </w:p>
        </w:tc>
        <w:tc>
          <w:tcPr>
            <w:tcW w:w="1077" w:type="dxa"/>
            <w:vAlign w:val="bottom"/>
          </w:tcPr>
          <w:p w:rsidR="00E35632" w:rsidRDefault="00E35632">
            <w:pPr>
              <w:pStyle w:val="ConsPlusNormal"/>
              <w:jc w:val="center"/>
            </w:pPr>
            <w:r>
              <w:t xml:space="preserve">+ </w:t>
            </w:r>
            <w:hyperlink w:anchor="P7694">
              <w:r>
                <w:rPr>
                  <w:color w:val="0000FF"/>
                </w:rPr>
                <w:t>&lt;3&gt;</w:t>
              </w:r>
            </w:hyperlink>
          </w:p>
        </w:tc>
      </w:tr>
      <w:tr w:rsidR="00E35632">
        <w:tc>
          <w:tcPr>
            <w:tcW w:w="9080" w:type="dxa"/>
            <w:gridSpan w:val="6"/>
          </w:tcPr>
          <w:p w:rsidR="00E35632" w:rsidRDefault="00E35632">
            <w:pPr>
              <w:pStyle w:val="ConsPlusNormal"/>
              <w:ind w:firstLine="283"/>
              <w:jc w:val="both"/>
            </w:pPr>
            <w:bookmarkStart w:id="326" w:name="P7692"/>
            <w:bookmarkEnd w:id="326"/>
            <w:r>
              <w:t>&lt;1&gt; Выполняется при общей длине распорки более 25 м.</w:t>
            </w:r>
          </w:p>
          <w:p w:rsidR="00E35632" w:rsidRDefault="00E35632">
            <w:pPr>
              <w:pStyle w:val="ConsPlusNormal"/>
              <w:ind w:firstLine="283"/>
              <w:jc w:val="both"/>
            </w:pPr>
            <w:bookmarkStart w:id="327" w:name="P7693"/>
            <w:bookmarkEnd w:id="327"/>
            <w:r>
              <w:t>&lt;2&gt; Выполняется при глубине котлована более 20 м.</w:t>
            </w:r>
          </w:p>
          <w:p w:rsidR="00E35632" w:rsidRDefault="00E35632">
            <w:pPr>
              <w:pStyle w:val="ConsPlusNormal"/>
              <w:ind w:firstLine="283"/>
              <w:jc w:val="both"/>
            </w:pPr>
            <w:bookmarkStart w:id="328" w:name="P7694"/>
            <w:bookmarkEnd w:id="328"/>
            <w:r>
              <w:t>&lt;3&gt; Выполняется при наличии пучинистых грунтов за пределами ограждающей конструкции и выполнении работ в зимнее время.</w:t>
            </w:r>
          </w:p>
        </w:tc>
      </w:tr>
    </w:tbl>
    <w:p w:rsidR="00E35632" w:rsidRDefault="00E35632">
      <w:pPr>
        <w:pStyle w:val="ConsPlusNormal"/>
        <w:jc w:val="both"/>
      </w:pPr>
    </w:p>
    <w:p w:rsidR="00E35632" w:rsidRDefault="00E35632">
      <w:pPr>
        <w:pStyle w:val="ConsPlusNormal"/>
        <w:jc w:val="right"/>
      </w:pPr>
      <w:r>
        <w:t>Таблица Л.4</w:t>
      </w:r>
    </w:p>
    <w:p w:rsidR="00E35632" w:rsidRDefault="00E35632">
      <w:pPr>
        <w:pStyle w:val="ConsPlusNormal"/>
        <w:jc w:val="both"/>
      </w:pPr>
    </w:p>
    <w:p w:rsidR="00E35632" w:rsidRDefault="00E35632">
      <w:pPr>
        <w:pStyle w:val="ConsPlusNormal"/>
        <w:jc w:val="center"/>
      </w:pPr>
      <w:bookmarkStart w:id="329" w:name="P7698"/>
      <w:bookmarkEnd w:id="329"/>
      <w:r>
        <w:rPr>
          <w:b/>
        </w:rPr>
        <w:t>Контролируемые параметры при геотехническом мониторинге</w:t>
      </w:r>
    </w:p>
    <w:p w:rsidR="00E35632" w:rsidRDefault="00E35632">
      <w:pPr>
        <w:pStyle w:val="ConsPlusNormal"/>
        <w:jc w:val="center"/>
      </w:pPr>
      <w:r>
        <w:rPr>
          <w:b/>
        </w:rPr>
        <w:t>массива грунта, окружающего вновь возводимые</w:t>
      </w:r>
    </w:p>
    <w:p w:rsidR="00E35632" w:rsidRDefault="00E35632">
      <w:pPr>
        <w:pStyle w:val="ConsPlusNormal"/>
        <w:jc w:val="center"/>
      </w:pPr>
      <w:r>
        <w:rPr>
          <w:b/>
        </w:rPr>
        <w:t>и реконструируемые сооружения</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4500"/>
        <w:gridCol w:w="840"/>
        <w:gridCol w:w="840"/>
        <w:gridCol w:w="859"/>
        <w:gridCol w:w="840"/>
        <w:gridCol w:w="1181"/>
      </w:tblGrid>
      <w:tr w:rsidR="00E35632">
        <w:tc>
          <w:tcPr>
            <w:tcW w:w="4500" w:type="dxa"/>
            <w:vMerge w:val="restart"/>
            <w:vAlign w:val="center"/>
          </w:tcPr>
          <w:p w:rsidR="00E35632" w:rsidRDefault="00E35632">
            <w:pPr>
              <w:pStyle w:val="ConsPlusNormal"/>
              <w:jc w:val="center"/>
            </w:pPr>
            <w:r>
              <w:t>Контролируемые параметры</w:t>
            </w:r>
          </w:p>
        </w:tc>
        <w:tc>
          <w:tcPr>
            <w:tcW w:w="4560" w:type="dxa"/>
            <w:gridSpan w:val="5"/>
            <w:vAlign w:val="center"/>
          </w:tcPr>
          <w:p w:rsidR="00E35632" w:rsidRDefault="00E35632">
            <w:pPr>
              <w:pStyle w:val="ConsPlusNormal"/>
              <w:jc w:val="center"/>
            </w:pPr>
            <w:r>
              <w:t xml:space="preserve">При глубине котлована </w:t>
            </w:r>
            <w:r>
              <w:rPr>
                <w:i/>
              </w:rPr>
              <w:t>H</w:t>
            </w:r>
            <w:r>
              <w:rPr>
                <w:vertAlign w:val="subscript"/>
              </w:rPr>
              <w:t>к</w:t>
            </w:r>
            <w:r>
              <w:t>, м</w:t>
            </w:r>
          </w:p>
        </w:tc>
      </w:tr>
      <w:tr w:rsidR="00E35632">
        <w:tc>
          <w:tcPr>
            <w:tcW w:w="0" w:type="auto"/>
            <w:vMerge/>
          </w:tcPr>
          <w:p w:rsidR="00E35632" w:rsidRDefault="00E35632">
            <w:pPr>
              <w:pStyle w:val="ConsPlusNormal"/>
            </w:pPr>
          </w:p>
        </w:tc>
        <w:tc>
          <w:tcPr>
            <w:tcW w:w="1680" w:type="dxa"/>
            <w:gridSpan w:val="2"/>
            <w:vAlign w:val="center"/>
          </w:tcPr>
          <w:p w:rsidR="00E35632" w:rsidRDefault="00E35632">
            <w:pPr>
              <w:pStyle w:val="ConsPlusNormal"/>
              <w:jc w:val="center"/>
            </w:pPr>
            <w:r>
              <w:t xml:space="preserve">5 &lt;= </w:t>
            </w:r>
            <w:r>
              <w:rPr>
                <w:i/>
              </w:rPr>
              <w:t>H</w:t>
            </w:r>
            <w:r>
              <w:rPr>
                <w:vertAlign w:val="subscript"/>
              </w:rPr>
              <w:t>к</w:t>
            </w:r>
            <w:r>
              <w:t xml:space="preserve"> &lt; 10</w:t>
            </w:r>
          </w:p>
        </w:tc>
        <w:tc>
          <w:tcPr>
            <w:tcW w:w="1699" w:type="dxa"/>
            <w:gridSpan w:val="2"/>
            <w:vAlign w:val="center"/>
          </w:tcPr>
          <w:p w:rsidR="00E35632" w:rsidRDefault="00E35632">
            <w:pPr>
              <w:pStyle w:val="ConsPlusNormal"/>
              <w:jc w:val="center"/>
            </w:pPr>
            <w:r>
              <w:t xml:space="preserve">10 &lt;= </w:t>
            </w:r>
            <w:r>
              <w:rPr>
                <w:i/>
              </w:rPr>
              <w:t>H</w:t>
            </w:r>
            <w:r>
              <w:rPr>
                <w:vertAlign w:val="subscript"/>
              </w:rPr>
              <w:t>к</w:t>
            </w:r>
            <w:r>
              <w:t xml:space="preserve"> &lt; 15</w:t>
            </w:r>
          </w:p>
        </w:tc>
        <w:tc>
          <w:tcPr>
            <w:tcW w:w="1181" w:type="dxa"/>
            <w:vAlign w:val="center"/>
          </w:tcPr>
          <w:p w:rsidR="00E35632" w:rsidRDefault="00E35632">
            <w:pPr>
              <w:pStyle w:val="ConsPlusNormal"/>
              <w:jc w:val="center"/>
            </w:pPr>
            <w:r>
              <w:rPr>
                <w:i/>
              </w:rPr>
              <w:t>H</w:t>
            </w:r>
            <w:r>
              <w:rPr>
                <w:vertAlign w:val="subscript"/>
              </w:rPr>
              <w:t>к</w:t>
            </w:r>
            <w:r>
              <w:t xml:space="preserve"> &gt;= 15</w:t>
            </w:r>
          </w:p>
        </w:tc>
      </w:tr>
      <w:tr w:rsidR="00E35632">
        <w:tc>
          <w:tcPr>
            <w:tcW w:w="0" w:type="auto"/>
            <w:vMerge/>
          </w:tcPr>
          <w:p w:rsidR="00E35632" w:rsidRDefault="00E35632">
            <w:pPr>
              <w:pStyle w:val="ConsPlusNormal"/>
            </w:pPr>
          </w:p>
        </w:tc>
        <w:tc>
          <w:tcPr>
            <w:tcW w:w="4560" w:type="dxa"/>
            <w:gridSpan w:val="5"/>
            <w:vAlign w:val="center"/>
          </w:tcPr>
          <w:p w:rsidR="00E35632" w:rsidRDefault="00E35632">
            <w:pPr>
              <w:pStyle w:val="ConsPlusNormal"/>
              <w:jc w:val="center"/>
            </w:pPr>
            <w:r>
              <w:t>Геотехническая категория</w:t>
            </w:r>
          </w:p>
        </w:tc>
      </w:tr>
      <w:tr w:rsidR="00E35632">
        <w:tc>
          <w:tcPr>
            <w:tcW w:w="0" w:type="auto"/>
            <w:vMerge/>
          </w:tcPr>
          <w:p w:rsidR="00E35632" w:rsidRDefault="00E35632">
            <w:pPr>
              <w:pStyle w:val="ConsPlusNormal"/>
            </w:pPr>
          </w:p>
        </w:tc>
        <w:tc>
          <w:tcPr>
            <w:tcW w:w="840" w:type="dxa"/>
            <w:vAlign w:val="center"/>
          </w:tcPr>
          <w:p w:rsidR="00E35632" w:rsidRDefault="00E35632">
            <w:pPr>
              <w:pStyle w:val="ConsPlusNormal"/>
              <w:jc w:val="center"/>
            </w:pPr>
            <w:r>
              <w:t>2</w:t>
            </w:r>
          </w:p>
        </w:tc>
        <w:tc>
          <w:tcPr>
            <w:tcW w:w="840" w:type="dxa"/>
            <w:vAlign w:val="center"/>
          </w:tcPr>
          <w:p w:rsidR="00E35632" w:rsidRDefault="00E35632">
            <w:pPr>
              <w:pStyle w:val="ConsPlusNormal"/>
              <w:jc w:val="center"/>
            </w:pPr>
            <w:r>
              <w:t>3</w:t>
            </w:r>
          </w:p>
        </w:tc>
        <w:tc>
          <w:tcPr>
            <w:tcW w:w="859" w:type="dxa"/>
            <w:vAlign w:val="center"/>
          </w:tcPr>
          <w:p w:rsidR="00E35632" w:rsidRDefault="00E35632">
            <w:pPr>
              <w:pStyle w:val="ConsPlusNormal"/>
              <w:jc w:val="center"/>
            </w:pPr>
            <w:r>
              <w:t>2</w:t>
            </w:r>
          </w:p>
        </w:tc>
        <w:tc>
          <w:tcPr>
            <w:tcW w:w="840" w:type="dxa"/>
            <w:vAlign w:val="center"/>
          </w:tcPr>
          <w:p w:rsidR="00E35632" w:rsidRDefault="00E35632">
            <w:pPr>
              <w:pStyle w:val="ConsPlusNormal"/>
              <w:jc w:val="center"/>
            </w:pPr>
            <w:r>
              <w:t>3</w:t>
            </w:r>
          </w:p>
        </w:tc>
        <w:tc>
          <w:tcPr>
            <w:tcW w:w="1181" w:type="dxa"/>
            <w:vAlign w:val="center"/>
          </w:tcPr>
          <w:p w:rsidR="00E35632" w:rsidRDefault="00E35632">
            <w:pPr>
              <w:pStyle w:val="ConsPlusNormal"/>
              <w:jc w:val="center"/>
            </w:pPr>
            <w:r>
              <w:t>-</w:t>
            </w:r>
          </w:p>
        </w:tc>
      </w:tr>
      <w:tr w:rsidR="00E35632">
        <w:tc>
          <w:tcPr>
            <w:tcW w:w="4500" w:type="dxa"/>
          </w:tcPr>
          <w:p w:rsidR="00E35632" w:rsidRDefault="00E35632">
            <w:pPr>
              <w:pStyle w:val="ConsPlusNormal"/>
            </w:pPr>
            <w:r>
              <w:t>1 Вертикальные перемещения поверхностных грунтовых марок</w:t>
            </w:r>
          </w:p>
        </w:tc>
        <w:tc>
          <w:tcPr>
            <w:tcW w:w="840" w:type="dxa"/>
            <w:vAlign w:val="bottom"/>
          </w:tcPr>
          <w:p w:rsidR="00E35632" w:rsidRDefault="00E35632">
            <w:pPr>
              <w:pStyle w:val="ConsPlusNormal"/>
              <w:jc w:val="center"/>
            </w:pPr>
            <w:r>
              <w:t>+</w:t>
            </w:r>
          </w:p>
        </w:tc>
        <w:tc>
          <w:tcPr>
            <w:tcW w:w="840" w:type="dxa"/>
            <w:vAlign w:val="bottom"/>
          </w:tcPr>
          <w:p w:rsidR="00E35632" w:rsidRDefault="00E35632">
            <w:pPr>
              <w:pStyle w:val="ConsPlusNormal"/>
              <w:jc w:val="center"/>
            </w:pPr>
            <w:r>
              <w:t>+</w:t>
            </w:r>
          </w:p>
        </w:tc>
        <w:tc>
          <w:tcPr>
            <w:tcW w:w="859" w:type="dxa"/>
            <w:vAlign w:val="bottom"/>
          </w:tcPr>
          <w:p w:rsidR="00E35632" w:rsidRDefault="00E35632">
            <w:pPr>
              <w:pStyle w:val="ConsPlusNormal"/>
              <w:jc w:val="center"/>
            </w:pPr>
            <w:r>
              <w:t>+</w:t>
            </w:r>
          </w:p>
        </w:tc>
        <w:tc>
          <w:tcPr>
            <w:tcW w:w="840" w:type="dxa"/>
            <w:vAlign w:val="bottom"/>
          </w:tcPr>
          <w:p w:rsidR="00E35632" w:rsidRDefault="00E35632">
            <w:pPr>
              <w:pStyle w:val="ConsPlusNormal"/>
              <w:jc w:val="center"/>
            </w:pPr>
            <w:r>
              <w:t>+</w:t>
            </w:r>
          </w:p>
        </w:tc>
        <w:tc>
          <w:tcPr>
            <w:tcW w:w="1181" w:type="dxa"/>
            <w:vAlign w:val="bottom"/>
          </w:tcPr>
          <w:p w:rsidR="00E35632" w:rsidRDefault="00E35632">
            <w:pPr>
              <w:pStyle w:val="ConsPlusNormal"/>
              <w:jc w:val="center"/>
            </w:pPr>
            <w:r>
              <w:t>+</w:t>
            </w:r>
          </w:p>
        </w:tc>
      </w:tr>
      <w:tr w:rsidR="00E35632">
        <w:tc>
          <w:tcPr>
            <w:tcW w:w="4500" w:type="dxa"/>
          </w:tcPr>
          <w:p w:rsidR="00E35632" w:rsidRDefault="00E35632">
            <w:pPr>
              <w:pStyle w:val="ConsPlusNormal"/>
            </w:pPr>
            <w:r>
              <w:t>2 Горизонтальные перемещения поверхностных грунтовых марок</w:t>
            </w:r>
          </w:p>
        </w:tc>
        <w:tc>
          <w:tcPr>
            <w:tcW w:w="840" w:type="dxa"/>
            <w:vAlign w:val="bottom"/>
          </w:tcPr>
          <w:p w:rsidR="00E35632" w:rsidRDefault="00E35632">
            <w:pPr>
              <w:pStyle w:val="ConsPlusNormal"/>
              <w:jc w:val="center"/>
            </w:pPr>
            <w:r>
              <w:t>-</w:t>
            </w:r>
          </w:p>
        </w:tc>
        <w:tc>
          <w:tcPr>
            <w:tcW w:w="840" w:type="dxa"/>
            <w:vAlign w:val="bottom"/>
          </w:tcPr>
          <w:p w:rsidR="00E35632" w:rsidRDefault="00E35632">
            <w:pPr>
              <w:pStyle w:val="ConsPlusNormal"/>
              <w:jc w:val="center"/>
            </w:pPr>
            <w:r>
              <w:t>+</w:t>
            </w:r>
          </w:p>
        </w:tc>
        <w:tc>
          <w:tcPr>
            <w:tcW w:w="859" w:type="dxa"/>
            <w:vAlign w:val="bottom"/>
          </w:tcPr>
          <w:p w:rsidR="00E35632" w:rsidRDefault="00E35632">
            <w:pPr>
              <w:pStyle w:val="ConsPlusNormal"/>
              <w:jc w:val="center"/>
            </w:pPr>
            <w:r>
              <w:t>+</w:t>
            </w:r>
          </w:p>
        </w:tc>
        <w:tc>
          <w:tcPr>
            <w:tcW w:w="840" w:type="dxa"/>
            <w:vAlign w:val="bottom"/>
          </w:tcPr>
          <w:p w:rsidR="00E35632" w:rsidRDefault="00E35632">
            <w:pPr>
              <w:pStyle w:val="ConsPlusNormal"/>
              <w:jc w:val="center"/>
            </w:pPr>
            <w:r>
              <w:t>+</w:t>
            </w:r>
          </w:p>
        </w:tc>
        <w:tc>
          <w:tcPr>
            <w:tcW w:w="1181" w:type="dxa"/>
            <w:vAlign w:val="bottom"/>
          </w:tcPr>
          <w:p w:rsidR="00E35632" w:rsidRDefault="00E35632">
            <w:pPr>
              <w:pStyle w:val="ConsPlusNormal"/>
              <w:jc w:val="center"/>
            </w:pPr>
            <w:r>
              <w:t>+</w:t>
            </w:r>
          </w:p>
        </w:tc>
      </w:tr>
      <w:tr w:rsidR="00E35632">
        <w:tc>
          <w:tcPr>
            <w:tcW w:w="4500" w:type="dxa"/>
          </w:tcPr>
          <w:p w:rsidR="00E35632" w:rsidRDefault="00E35632">
            <w:pPr>
              <w:pStyle w:val="ConsPlusNormal"/>
            </w:pPr>
            <w:r>
              <w:t>3 Уровень подземных вод</w:t>
            </w:r>
          </w:p>
        </w:tc>
        <w:tc>
          <w:tcPr>
            <w:tcW w:w="840" w:type="dxa"/>
            <w:vAlign w:val="bottom"/>
          </w:tcPr>
          <w:p w:rsidR="00E35632" w:rsidRDefault="00E35632">
            <w:pPr>
              <w:pStyle w:val="ConsPlusNormal"/>
              <w:jc w:val="center"/>
            </w:pPr>
            <w:r>
              <w:t>-</w:t>
            </w:r>
          </w:p>
        </w:tc>
        <w:tc>
          <w:tcPr>
            <w:tcW w:w="840" w:type="dxa"/>
            <w:vAlign w:val="bottom"/>
          </w:tcPr>
          <w:p w:rsidR="00E35632" w:rsidRDefault="00E35632">
            <w:pPr>
              <w:pStyle w:val="ConsPlusNormal"/>
              <w:jc w:val="center"/>
            </w:pPr>
            <w:r>
              <w:t xml:space="preserve">+ </w:t>
            </w:r>
            <w:hyperlink w:anchor="P7749">
              <w:r>
                <w:rPr>
                  <w:color w:val="0000FF"/>
                </w:rPr>
                <w:t>&lt;1&gt;</w:t>
              </w:r>
            </w:hyperlink>
          </w:p>
        </w:tc>
        <w:tc>
          <w:tcPr>
            <w:tcW w:w="859" w:type="dxa"/>
            <w:vAlign w:val="bottom"/>
          </w:tcPr>
          <w:p w:rsidR="00E35632" w:rsidRDefault="00E35632">
            <w:pPr>
              <w:pStyle w:val="ConsPlusNormal"/>
              <w:jc w:val="center"/>
            </w:pPr>
            <w:r>
              <w:t xml:space="preserve">+ </w:t>
            </w:r>
            <w:hyperlink w:anchor="P7749">
              <w:r>
                <w:rPr>
                  <w:color w:val="0000FF"/>
                </w:rPr>
                <w:t>&lt;1&gt;</w:t>
              </w:r>
            </w:hyperlink>
          </w:p>
        </w:tc>
        <w:tc>
          <w:tcPr>
            <w:tcW w:w="840" w:type="dxa"/>
            <w:vAlign w:val="bottom"/>
          </w:tcPr>
          <w:p w:rsidR="00E35632" w:rsidRDefault="00E35632">
            <w:pPr>
              <w:pStyle w:val="ConsPlusNormal"/>
              <w:jc w:val="center"/>
            </w:pPr>
            <w:r>
              <w:t>+</w:t>
            </w:r>
          </w:p>
        </w:tc>
        <w:tc>
          <w:tcPr>
            <w:tcW w:w="1181" w:type="dxa"/>
            <w:vAlign w:val="bottom"/>
          </w:tcPr>
          <w:p w:rsidR="00E35632" w:rsidRDefault="00E35632">
            <w:pPr>
              <w:pStyle w:val="ConsPlusNormal"/>
              <w:jc w:val="center"/>
            </w:pPr>
            <w:r>
              <w:t>+</w:t>
            </w:r>
          </w:p>
        </w:tc>
      </w:tr>
      <w:tr w:rsidR="00E35632">
        <w:tc>
          <w:tcPr>
            <w:tcW w:w="4500" w:type="dxa"/>
          </w:tcPr>
          <w:p w:rsidR="00E35632" w:rsidRDefault="00E35632">
            <w:pPr>
              <w:pStyle w:val="ConsPlusNormal"/>
            </w:pPr>
            <w:r>
              <w:t>4 Вертикальные перемещения массива грунта по глубине</w:t>
            </w:r>
          </w:p>
        </w:tc>
        <w:tc>
          <w:tcPr>
            <w:tcW w:w="840" w:type="dxa"/>
            <w:vAlign w:val="bottom"/>
          </w:tcPr>
          <w:p w:rsidR="00E35632" w:rsidRDefault="00E35632">
            <w:pPr>
              <w:pStyle w:val="ConsPlusNormal"/>
              <w:jc w:val="center"/>
            </w:pPr>
            <w:r>
              <w:t>-</w:t>
            </w:r>
          </w:p>
        </w:tc>
        <w:tc>
          <w:tcPr>
            <w:tcW w:w="840" w:type="dxa"/>
            <w:vAlign w:val="bottom"/>
          </w:tcPr>
          <w:p w:rsidR="00E35632" w:rsidRDefault="00E35632">
            <w:pPr>
              <w:pStyle w:val="ConsPlusNormal"/>
              <w:jc w:val="center"/>
            </w:pPr>
            <w:r>
              <w:t>-</w:t>
            </w:r>
          </w:p>
        </w:tc>
        <w:tc>
          <w:tcPr>
            <w:tcW w:w="859" w:type="dxa"/>
            <w:vAlign w:val="bottom"/>
          </w:tcPr>
          <w:p w:rsidR="00E35632" w:rsidRDefault="00E35632">
            <w:pPr>
              <w:pStyle w:val="ConsPlusNormal"/>
              <w:jc w:val="center"/>
            </w:pPr>
            <w:r>
              <w:t>-</w:t>
            </w:r>
          </w:p>
        </w:tc>
        <w:tc>
          <w:tcPr>
            <w:tcW w:w="840" w:type="dxa"/>
            <w:vAlign w:val="bottom"/>
          </w:tcPr>
          <w:p w:rsidR="00E35632" w:rsidRDefault="00E35632">
            <w:pPr>
              <w:pStyle w:val="ConsPlusNormal"/>
              <w:jc w:val="center"/>
            </w:pPr>
            <w:r>
              <w:t xml:space="preserve">+ </w:t>
            </w:r>
            <w:hyperlink w:anchor="P7750">
              <w:r>
                <w:rPr>
                  <w:color w:val="0000FF"/>
                </w:rPr>
                <w:t>&lt;2&gt;</w:t>
              </w:r>
            </w:hyperlink>
          </w:p>
        </w:tc>
        <w:tc>
          <w:tcPr>
            <w:tcW w:w="1181" w:type="dxa"/>
            <w:vAlign w:val="bottom"/>
          </w:tcPr>
          <w:p w:rsidR="00E35632" w:rsidRDefault="00E35632">
            <w:pPr>
              <w:pStyle w:val="ConsPlusNormal"/>
              <w:jc w:val="center"/>
            </w:pPr>
            <w:r>
              <w:t xml:space="preserve">+ </w:t>
            </w:r>
            <w:hyperlink w:anchor="P7750">
              <w:r>
                <w:rPr>
                  <w:color w:val="0000FF"/>
                </w:rPr>
                <w:t>&lt;2&gt;</w:t>
              </w:r>
            </w:hyperlink>
          </w:p>
        </w:tc>
      </w:tr>
      <w:tr w:rsidR="00E35632">
        <w:tc>
          <w:tcPr>
            <w:tcW w:w="4500" w:type="dxa"/>
          </w:tcPr>
          <w:p w:rsidR="00E35632" w:rsidRDefault="00E35632">
            <w:pPr>
              <w:pStyle w:val="ConsPlusNormal"/>
            </w:pPr>
            <w:r>
              <w:t>5 Горизонтальные перемещения массива грунта по глубине</w:t>
            </w:r>
          </w:p>
        </w:tc>
        <w:tc>
          <w:tcPr>
            <w:tcW w:w="840" w:type="dxa"/>
            <w:vAlign w:val="bottom"/>
          </w:tcPr>
          <w:p w:rsidR="00E35632" w:rsidRDefault="00E35632">
            <w:pPr>
              <w:pStyle w:val="ConsPlusNormal"/>
              <w:jc w:val="center"/>
            </w:pPr>
            <w:r>
              <w:t>-</w:t>
            </w:r>
          </w:p>
        </w:tc>
        <w:tc>
          <w:tcPr>
            <w:tcW w:w="840" w:type="dxa"/>
            <w:vAlign w:val="bottom"/>
          </w:tcPr>
          <w:p w:rsidR="00E35632" w:rsidRDefault="00E35632">
            <w:pPr>
              <w:pStyle w:val="ConsPlusNormal"/>
              <w:jc w:val="center"/>
            </w:pPr>
            <w:r>
              <w:t>-</w:t>
            </w:r>
          </w:p>
        </w:tc>
        <w:tc>
          <w:tcPr>
            <w:tcW w:w="859" w:type="dxa"/>
            <w:vAlign w:val="bottom"/>
          </w:tcPr>
          <w:p w:rsidR="00E35632" w:rsidRDefault="00E35632">
            <w:pPr>
              <w:pStyle w:val="ConsPlusNormal"/>
              <w:jc w:val="center"/>
            </w:pPr>
            <w:r>
              <w:t>-</w:t>
            </w:r>
          </w:p>
        </w:tc>
        <w:tc>
          <w:tcPr>
            <w:tcW w:w="840" w:type="dxa"/>
            <w:vAlign w:val="bottom"/>
          </w:tcPr>
          <w:p w:rsidR="00E35632" w:rsidRDefault="00E35632">
            <w:pPr>
              <w:pStyle w:val="ConsPlusNormal"/>
              <w:jc w:val="center"/>
            </w:pPr>
            <w:r>
              <w:t xml:space="preserve">+ </w:t>
            </w:r>
            <w:hyperlink w:anchor="P7750">
              <w:r>
                <w:rPr>
                  <w:color w:val="0000FF"/>
                </w:rPr>
                <w:t>&lt;2&gt;</w:t>
              </w:r>
            </w:hyperlink>
          </w:p>
        </w:tc>
        <w:tc>
          <w:tcPr>
            <w:tcW w:w="1181" w:type="dxa"/>
            <w:vAlign w:val="bottom"/>
          </w:tcPr>
          <w:p w:rsidR="00E35632" w:rsidRDefault="00E35632">
            <w:pPr>
              <w:pStyle w:val="ConsPlusNormal"/>
              <w:jc w:val="center"/>
            </w:pPr>
            <w:r>
              <w:t xml:space="preserve">+ </w:t>
            </w:r>
            <w:hyperlink w:anchor="P7750">
              <w:r>
                <w:rPr>
                  <w:color w:val="0000FF"/>
                </w:rPr>
                <w:t>&lt;2&gt;</w:t>
              </w:r>
            </w:hyperlink>
          </w:p>
        </w:tc>
      </w:tr>
      <w:tr w:rsidR="00E35632">
        <w:tc>
          <w:tcPr>
            <w:tcW w:w="4500" w:type="dxa"/>
          </w:tcPr>
          <w:p w:rsidR="00E35632" w:rsidRDefault="00E35632">
            <w:pPr>
              <w:pStyle w:val="ConsPlusNormal"/>
            </w:pPr>
            <w:r>
              <w:t>6 Температура и химический состав подземных вод</w:t>
            </w:r>
          </w:p>
        </w:tc>
        <w:tc>
          <w:tcPr>
            <w:tcW w:w="840" w:type="dxa"/>
            <w:vAlign w:val="bottom"/>
          </w:tcPr>
          <w:p w:rsidR="00E35632" w:rsidRDefault="00E35632">
            <w:pPr>
              <w:pStyle w:val="ConsPlusNormal"/>
              <w:jc w:val="center"/>
            </w:pPr>
            <w:r>
              <w:t xml:space="preserve">+ </w:t>
            </w:r>
            <w:hyperlink w:anchor="P7751">
              <w:r>
                <w:rPr>
                  <w:color w:val="0000FF"/>
                </w:rPr>
                <w:t>&lt;3&gt;</w:t>
              </w:r>
            </w:hyperlink>
          </w:p>
        </w:tc>
        <w:tc>
          <w:tcPr>
            <w:tcW w:w="840" w:type="dxa"/>
            <w:vAlign w:val="bottom"/>
          </w:tcPr>
          <w:p w:rsidR="00E35632" w:rsidRDefault="00E35632">
            <w:pPr>
              <w:pStyle w:val="ConsPlusNormal"/>
              <w:jc w:val="center"/>
            </w:pPr>
            <w:r>
              <w:t xml:space="preserve">+ </w:t>
            </w:r>
            <w:hyperlink w:anchor="P7751">
              <w:r>
                <w:rPr>
                  <w:color w:val="0000FF"/>
                </w:rPr>
                <w:t>&lt;3&gt;</w:t>
              </w:r>
            </w:hyperlink>
          </w:p>
        </w:tc>
        <w:tc>
          <w:tcPr>
            <w:tcW w:w="859" w:type="dxa"/>
            <w:vAlign w:val="bottom"/>
          </w:tcPr>
          <w:p w:rsidR="00E35632" w:rsidRDefault="00E35632">
            <w:pPr>
              <w:pStyle w:val="ConsPlusNormal"/>
              <w:jc w:val="center"/>
            </w:pPr>
            <w:r>
              <w:t xml:space="preserve">+ </w:t>
            </w:r>
            <w:hyperlink w:anchor="P7751">
              <w:r>
                <w:rPr>
                  <w:color w:val="0000FF"/>
                </w:rPr>
                <w:t>&lt;3&gt;</w:t>
              </w:r>
            </w:hyperlink>
          </w:p>
        </w:tc>
        <w:tc>
          <w:tcPr>
            <w:tcW w:w="840" w:type="dxa"/>
            <w:vAlign w:val="bottom"/>
          </w:tcPr>
          <w:p w:rsidR="00E35632" w:rsidRDefault="00E35632">
            <w:pPr>
              <w:pStyle w:val="ConsPlusNormal"/>
              <w:jc w:val="center"/>
            </w:pPr>
            <w:r>
              <w:t xml:space="preserve">+ </w:t>
            </w:r>
            <w:hyperlink w:anchor="P7751">
              <w:r>
                <w:rPr>
                  <w:color w:val="0000FF"/>
                </w:rPr>
                <w:t>&lt;3&gt;</w:t>
              </w:r>
            </w:hyperlink>
          </w:p>
        </w:tc>
        <w:tc>
          <w:tcPr>
            <w:tcW w:w="1181" w:type="dxa"/>
            <w:vAlign w:val="bottom"/>
          </w:tcPr>
          <w:p w:rsidR="00E35632" w:rsidRDefault="00E35632">
            <w:pPr>
              <w:pStyle w:val="ConsPlusNormal"/>
              <w:jc w:val="center"/>
            </w:pPr>
            <w:r>
              <w:t xml:space="preserve">+ </w:t>
            </w:r>
            <w:hyperlink w:anchor="P7751">
              <w:r>
                <w:rPr>
                  <w:color w:val="0000FF"/>
                </w:rPr>
                <w:t>&lt;3&gt;</w:t>
              </w:r>
            </w:hyperlink>
          </w:p>
        </w:tc>
      </w:tr>
      <w:tr w:rsidR="00E35632">
        <w:tc>
          <w:tcPr>
            <w:tcW w:w="9060" w:type="dxa"/>
            <w:gridSpan w:val="6"/>
          </w:tcPr>
          <w:p w:rsidR="00E35632" w:rsidRDefault="00E35632">
            <w:pPr>
              <w:pStyle w:val="ConsPlusNormal"/>
              <w:ind w:firstLine="283"/>
              <w:jc w:val="both"/>
            </w:pPr>
            <w:bookmarkStart w:id="330" w:name="P7749"/>
            <w:bookmarkEnd w:id="330"/>
            <w:r>
              <w:t>&lt;1&gt; Выполняется при прогнозируемом уровне подземных вод выше дна котлована.</w:t>
            </w:r>
          </w:p>
          <w:p w:rsidR="00E35632" w:rsidRDefault="00E35632">
            <w:pPr>
              <w:pStyle w:val="ConsPlusNormal"/>
              <w:ind w:firstLine="283"/>
              <w:jc w:val="both"/>
            </w:pPr>
            <w:bookmarkStart w:id="331" w:name="P7750"/>
            <w:bookmarkEnd w:id="331"/>
            <w:r>
              <w:t>&lt;2&gt; Выполняется по специальному заданию.</w:t>
            </w:r>
          </w:p>
          <w:p w:rsidR="00E35632" w:rsidRDefault="00E35632">
            <w:pPr>
              <w:pStyle w:val="ConsPlusNormal"/>
              <w:ind w:firstLine="283"/>
              <w:jc w:val="both"/>
            </w:pPr>
            <w:bookmarkStart w:id="332" w:name="P7751"/>
            <w:bookmarkEnd w:id="332"/>
            <w:r>
              <w:t>&lt;3&gt; Выполняется по специальному заданию.</w:t>
            </w:r>
          </w:p>
        </w:tc>
      </w:tr>
    </w:tbl>
    <w:p w:rsidR="00E35632" w:rsidRDefault="00E35632">
      <w:pPr>
        <w:pStyle w:val="ConsPlusNormal"/>
        <w:jc w:val="both"/>
      </w:pPr>
    </w:p>
    <w:p w:rsidR="00E35632" w:rsidRDefault="00E35632">
      <w:pPr>
        <w:pStyle w:val="ConsPlusNormal"/>
        <w:jc w:val="right"/>
      </w:pPr>
      <w:r>
        <w:t>Таблица Л.5</w:t>
      </w:r>
    </w:p>
    <w:p w:rsidR="00E35632" w:rsidRDefault="00E35632">
      <w:pPr>
        <w:pStyle w:val="ConsPlusNormal"/>
        <w:jc w:val="both"/>
      </w:pPr>
    </w:p>
    <w:p w:rsidR="00E35632" w:rsidRDefault="00E35632">
      <w:pPr>
        <w:pStyle w:val="ConsPlusNormal"/>
        <w:jc w:val="center"/>
      </w:pPr>
      <w:bookmarkStart w:id="333" w:name="P7755"/>
      <w:bookmarkEnd w:id="333"/>
      <w:r>
        <w:rPr>
          <w:b/>
        </w:rPr>
        <w:t>Контролируемые параметры при геотехническом мониторинге</w:t>
      </w:r>
    </w:p>
    <w:p w:rsidR="00E35632" w:rsidRDefault="00E35632">
      <w:pPr>
        <w:pStyle w:val="ConsPlusNormal"/>
        <w:jc w:val="center"/>
      </w:pPr>
      <w:r>
        <w:rPr>
          <w:b/>
        </w:rPr>
        <w:t>сооружений окружающей застройки (без учета подземных</w:t>
      </w:r>
    </w:p>
    <w:p w:rsidR="00E35632" w:rsidRDefault="00E35632">
      <w:pPr>
        <w:pStyle w:val="ConsPlusNormal"/>
        <w:jc w:val="center"/>
      </w:pPr>
      <w:r>
        <w:rPr>
          <w:b/>
        </w:rPr>
        <w:t>инженерных коммуникаций), расположенных в зоне влияния</w:t>
      </w:r>
    </w:p>
    <w:p w:rsidR="00E35632" w:rsidRDefault="00E35632">
      <w:pPr>
        <w:pStyle w:val="ConsPlusNormal"/>
        <w:jc w:val="center"/>
      </w:pPr>
      <w:r>
        <w:rPr>
          <w:b/>
        </w:rPr>
        <w:t>нового строительства (реконструкции) или прокладки</w:t>
      </w:r>
    </w:p>
    <w:p w:rsidR="00E35632" w:rsidRDefault="00E35632">
      <w:pPr>
        <w:pStyle w:val="ConsPlusNormal"/>
        <w:jc w:val="center"/>
      </w:pPr>
      <w:r>
        <w:rPr>
          <w:b/>
        </w:rPr>
        <w:t>подземных инженерных коммуникаций</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460"/>
        <w:gridCol w:w="1279"/>
        <w:gridCol w:w="1200"/>
        <w:gridCol w:w="1133"/>
      </w:tblGrid>
      <w:tr w:rsidR="00E35632">
        <w:tc>
          <w:tcPr>
            <w:tcW w:w="5460" w:type="dxa"/>
            <w:vMerge w:val="restart"/>
            <w:vAlign w:val="center"/>
          </w:tcPr>
          <w:p w:rsidR="00E35632" w:rsidRDefault="00E35632">
            <w:pPr>
              <w:pStyle w:val="ConsPlusNormal"/>
              <w:jc w:val="center"/>
            </w:pPr>
            <w:r>
              <w:t>Контролируемые параметры</w:t>
            </w:r>
          </w:p>
        </w:tc>
        <w:tc>
          <w:tcPr>
            <w:tcW w:w="3612" w:type="dxa"/>
            <w:gridSpan w:val="3"/>
            <w:vAlign w:val="center"/>
          </w:tcPr>
          <w:p w:rsidR="00E35632" w:rsidRDefault="00E35632">
            <w:pPr>
              <w:pStyle w:val="ConsPlusNormal"/>
              <w:jc w:val="center"/>
            </w:pPr>
            <w:r>
              <w:t xml:space="preserve">При глубине котлована </w:t>
            </w:r>
            <w:r>
              <w:rPr>
                <w:i/>
              </w:rPr>
              <w:t>H</w:t>
            </w:r>
            <w:r>
              <w:rPr>
                <w:vertAlign w:val="subscript"/>
              </w:rPr>
              <w:t>к</w:t>
            </w:r>
            <w:r>
              <w:t>, м</w:t>
            </w:r>
          </w:p>
        </w:tc>
      </w:tr>
      <w:tr w:rsidR="00E35632">
        <w:tc>
          <w:tcPr>
            <w:tcW w:w="0" w:type="auto"/>
            <w:vMerge/>
          </w:tcPr>
          <w:p w:rsidR="00E35632" w:rsidRDefault="00E35632">
            <w:pPr>
              <w:pStyle w:val="ConsPlusNormal"/>
            </w:pPr>
          </w:p>
        </w:tc>
        <w:tc>
          <w:tcPr>
            <w:tcW w:w="2479" w:type="dxa"/>
            <w:gridSpan w:val="2"/>
            <w:vAlign w:val="center"/>
          </w:tcPr>
          <w:p w:rsidR="00E35632" w:rsidRDefault="00E35632">
            <w:pPr>
              <w:pStyle w:val="ConsPlusNormal"/>
              <w:jc w:val="center"/>
            </w:pPr>
            <w:r>
              <w:rPr>
                <w:i/>
              </w:rPr>
              <w:t>H</w:t>
            </w:r>
            <w:r>
              <w:rPr>
                <w:vertAlign w:val="subscript"/>
              </w:rPr>
              <w:t>к</w:t>
            </w:r>
            <w:r>
              <w:t xml:space="preserve"> &lt; 10</w:t>
            </w:r>
          </w:p>
        </w:tc>
        <w:tc>
          <w:tcPr>
            <w:tcW w:w="1133" w:type="dxa"/>
            <w:vMerge w:val="restart"/>
            <w:vAlign w:val="center"/>
          </w:tcPr>
          <w:p w:rsidR="00E35632" w:rsidRDefault="00E35632">
            <w:pPr>
              <w:pStyle w:val="ConsPlusNormal"/>
              <w:jc w:val="center"/>
            </w:pPr>
            <w:r>
              <w:rPr>
                <w:i/>
              </w:rPr>
              <w:t>H</w:t>
            </w:r>
            <w:r>
              <w:rPr>
                <w:vertAlign w:val="subscript"/>
              </w:rPr>
              <w:t>к</w:t>
            </w:r>
            <w:r>
              <w:t xml:space="preserve"> &gt;= 10</w:t>
            </w:r>
          </w:p>
        </w:tc>
      </w:tr>
      <w:tr w:rsidR="00E35632">
        <w:tc>
          <w:tcPr>
            <w:tcW w:w="0" w:type="auto"/>
            <w:vMerge/>
          </w:tcPr>
          <w:p w:rsidR="00E35632" w:rsidRDefault="00E35632">
            <w:pPr>
              <w:pStyle w:val="ConsPlusNormal"/>
            </w:pPr>
          </w:p>
        </w:tc>
        <w:tc>
          <w:tcPr>
            <w:tcW w:w="2479" w:type="dxa"/>
            <w:gridSpan w:val="2"/>
            <w:vAlign w:val="center"/>
          </w:tcPr>
          <w:p w:rsidR="00E35632" w:rsidRDefault="00E35632">
            <w:pPr>
              <w:pStyle w:val="ConsPlusNormal"/>
              <w:jc w:val="center"/>
            </w:pPr>
            <w:r>
              <w:t>Геотехническая категория</w:t>
            </w:r>
          </w:p>
        </w:tc>
        <w:tc>
          <w:tcPr>
            <w:tcW w:w="0" w:type="auto"/>
            <w:vMerge/>
          </w:tcPr>
          <w:p w:rsidR="00E35632" w:rsidRDefault="00E35632">
            <w:pPr>
              <w:pStyle w:val="ConsPlusNormal"/>
            </w:pPr>
          </w:p>
        </w:tc>
      </w:tr>
      <w:tr w:rsidR="00E35632">
        <w:tc>
          <w:tcPr>
            <w:tcW w:w="0" w:type="auto"/>
            <w:vMerge/>
          </w:tcPr>
          <w:p w:rsidR="00E35632" w:rsidRDefault="00E35632">
            <w:pPr>
              <w:pStyle w:val="ConsPlusNormal"/>
            </w:pPr>
          </w:p>
        </w:tc>
        <w:tc>
          <w:tcPr>
            <w:tcW w:w="1279" w:type="dxa"/>
            <w:vAlign w:val="center"/>
          </w:tcPr>
          <w:p w:rsidR="00E35632" w:rsidRDefault="00E35632">
            <w:pPr>
              <w:pStyle w:val="ConsPlusNormal"/>
              <w:jc w:val="center"/>
            </w:pPr>
            <w:r>
              <w:t>2</w:t>
            </w:r>
          </w:p>
        </w:tc>
        <w:tc>
          <w:tcPr>
            <w:tcW w:w="1200" w:type="dxa"/>
            <w:vAlign w:val="center"/>
          </w:tcPr>
          <w:p w:rsidR="00E35632" w:rsidRDefault="00E35632">
            <w:pPr>
              <w:pStyle w:val="ConsPlusNormal"/>
              <w:jc w:val="center"/>
            </w:pPr>
            <w:r>
              <w:t>3</w:t>
            </w:r>
          </w:p>
        </w:tc>
        <w:tc>
          <w:tcPr>
            <w:tcW w:w="0" w:type="auto"/>
            <w:vMerge/>
          </w:tcPr>
          <w:p w:rsidR="00E35632" w:rsidRDefault="00E35632">
            <w:pPr>
              <w:pStyle w:val="ConsPlusNormal"/>
            </w:pPr>
          </w:p>
        </w:tc>
      </w:tr>
      <w:tr w:rsidR="00E35632">
        <w:tc>
          <w:tcPr>
            <w:tcW w:w="5460" w:type="dxa"/>
          </w:tcPr>
          <w:p w:rsidR="00E35632" w:rsidRDefault="00E35632">
            <w:pPr>
              <w:pStyle w:val="ConsPlusNormal"/>
            </w:pPr>
            <w:r>
              <w:t>1 Дополнительные осадки фундаментов и их относительная разность</w:t>
            </w:r>
          </w:p>
        </w:tc>
        <w:tc>
          <w:tcPr>
            <w:tcW w:w="1279" w:type="dxa"/>
            <w:vAlign w:val="bottom"/>
          </w:tcPr>
          <w:p w:rsidR="00E35632" w:rsidRDefault="00E35632">
            <w:pPr>
              <w:pStyle w:val="ConsPlusNormal"/>
              <w:jc w:val="center"/>
            </w:pPr>
            <w:r>
              <w:t>+</w:t>
            </w:r>
          </w:p>
        </w:tc>
        <w:tc>
          <w:tcPr>
            <w:tcW w:w="1200" w:type="dxa"/>
            <w:vAlign w:val="bottom"/>
          </w:tcPr>
          <w:p w:rsidR="00E35632" w:rsidRDefault="00E35632">
            <w:pPr>
              <w:pStyle w:val="ConsPlusNormal"/>
              <w:jc w:val="center"/>
            </w:pPr>
            <w:r>
              <w:t>+</w:t>
            </w:r>
          </w:p>
        </w:tc>
        <w:tc>
          <w:tcPr>
            <w:tcW w:w="1133" w:type="dxa"/>
            <w:vAlign w:val="bottom"/>
          </w:tcPr>
          <w:p w:rsidR="00E35632" w:rsidRDefault="00E35632">
            <w:pPr>
              <w:pStyle w:val="ConsPlusNormal"/>
              <w:jc w:val="center"/>
            </w:pPr>
            <w:r>
              <w:t>+</w:t>
            </w:r>
          </w:p>
        </w:tc>
      </w:tr>
      <w:tr w:rsidR="00E35632">
        <w:tc>
          <w:tcPr>
            <w:tcW w:w="5460" w:type="dxa"/>
          </w:tcPr>
          <w:p w:rsidR="00E35632" w:rsidRDefault="00E35632">
            <w:pPr>
              <w:pStyle w:val="ConsPlusNormal"/>
            </w:pPr>
            <w:r>
              <w:t>2 Ширина раскрытия и глубина образования трещин</w:t>
            </w:r>
          </w:p>
        </w:tc>
        <w:tc>
          <w:tcPr>
            <w:tcW w:w="1279" w:type="dxa"/>
            <w:vAlign w:val="bottom"/>
          </w:tcPr>
          <w:p w:rsidR="00E35632" w:rsidRDefault="00E35632">
            <w:pPr>
              <w:pStyle w:val="ConsPlusNormal"/>
              <w:jc w:val="center"/>
            </w:pPr>
            <w:r>
              <w:t>+</w:t>
            </w:r>
          </w:p>
        </w:tc>
        <w:tc>
          <w:tcPr>
            <w:tcW w:w="1200" w:type="dxa"/>
            <w:vAlign w:val="bottom"/>
          </w:tcPr>
          <w:p w:rsidR="00E35632" w:rsidRDefault="00E35632">
            <w:pPr>
              <w:pStyle w:val="ConsPlusNormal"/>
              <w:jc w:val="center"/>
            </w:pPr>
            <w:r>
              <w:t>+</w:t>
            </w:r>
          </w:p>
        </w:tc>
        <w:tc>
          <w:tcPr>
            <w:tcW w:w="1133" w:type="dxa"/>
            <w:vAlign w:val="bottom"/>
          </w:tcPr>
          <w:p w:rsidR="00E35632" w:rsidRDefault="00E35632">
            <w:pPr>
              <w:pStyle w:val="ConsPlusNormal"/>
              <w:jc w:val="center"/>
            </w:pPr>
            <w:r>
              <w:t>+</w:t>
            </w:r>
          </w:p>
        </w:tc>
      </w:tr>
      <w:tr w:rsidR="00E35632">
        <w:tc>
          <w:tcPr>
            <w:tcW w:w="5460" w:type="dxa"/>
          </w:tcPr>
          <w:p w:rsidR="00E35632" w:rsidRDefault="00E35632">
            <w:pPr>
              <w:pStyle w:val="ConsPlusNormal"/>
            </w:pPr>
            <w:r>
              <w:t>3 Дополнительный крен</w:t>
            </w:r>
          </w:p>
        </w:tc>
        <w:tc>
          <w:tcPr>
            <w:tcW w:w="1279" w:type="dxa"/>
            <w:vAlign w:val="bottom"/>
          </w:tcPr>
          <w:p w:rsidR="00E35632" w:rsidRDefault="00E35632">
            <w:pPr>
              <w:pStyle w:val="ConsPlusNormal"/>
              <w:jc w:val="center"/>
            </w:pPr>
            <w:r>
              <w:t>-</w:t>
            </w:r>
          </w:p>
        </w:tc>
        <w:tc>
          <w:tcPr>
            <w:tcW w:w="1200" w:type="dxa"/>
            <w:vAlign w:val="bottom"/>
          </w:tcPr>
          <w:p w:rsidR="00E35632" w:rsidRDefault="00E35632">
            <w:pPr>
              <w:pStyle w:val="ConsPlusNormal"/>
              <w:jc w:val="center"/>
            </w:pPr>
            <w:r>
              <w:t xml:space="preserve">+ </w:t>
            </w:r>
            <w:hyperlink w:anchor="P7788">
              <w:r>
                <w:rPr>
                  <w:color w:val="0000FF"/>
                </w:rPr>
                <w:t>&lt;1&gt;</w:t>
              </w:r>
            </w:hyperlink>
          </w:p>
        </w:tc>
        <w:tc>
          <w:tcPr>
            <w:tcW w:w="1133" w:type="dxa"/>
            <w:vAlign w:val="bottom"/>
          </w:tcPr>
          <w:p w:rsidR="00E35632" w:rsidRDefault="00E35632">
            <w:pPr>
              <w:pStyle w:val="ConsPlusNormal"/>
              <w:jc w:val="center"/>
            </w:pPr>
            <w:r>
              <w:t>+</w:t>
            </w:r>
          </w:p>
        </w:tc>
      </w:tr>
      <w:tr w:rsidR="00E35632">
        <w:tc>
          <w:tcPr>
            <w:tcW w:w="5460" w:type="dxa"/>
          </w:tcPr>
          <w:p w:rsidR="00E35632" w:rsidRDefault="00E35632">
            <w:pPr>
              <w:pStyle w:val="ConsPlusNormal"/>
            </w:pPr>
            <w:r>
              <w:t>4 Горизонтальные перемещения конструкций и фундаментов</w:t>
            </w:r>
          </w:p>
        </w:tc>
        <w:tc>
          <w:tcPr>
            <w:tcW w:w="1279" w:type="dxa"/>
            <w:vAlign w:val="bottom"/>
          </w:tcPr>
          <w:p w:rsidR="00E35632" w:rsidRDefault="00E35632">
            <w:pPr>
              <w:pStyle w:val="ConsPlusNormal"/>
              <w:jc w:val="center"/>
            </w:pPr>
            <w:r>
              <w:t>-</w:t>
            </w:r>
          </w:p>
        </w:tc>
        <w:tc>
          <w:tcPr>
            <w:tcW w:w="1200" w:type="dxa"/>
            <w:vAlign w:val="bottom"/>
          </w:tcPr>
          <w:p w:rsidR="00E35632" w:rsidRDefault="00E35632">
            <w:pPr>
              <w:pStyle w:val="ConsPlusNormal"/>
              <w:jc w:val="center"/>
            </w:pPr>
            <w:r>
              <w:t xml:space="preserve">+ </w:t>
            </w:r>
            <w:hyperlink w:anchor="P7790">
              <w:r>
                <w:rPr>
                  <w:color w:val="0000FF"/>
                </w:rPr>
                <w:t>&lt;3&gt;</w:t>
              </w:r>
            </w:hyperlink>
          </w:p>
        </w:tc>
        <w:tc>
          <w:tcPr>
            <w:tcW w:w="1133" w:type="dxa"/>
            <w:vAlign w:val="bottom"/>
          </w:tcPr>
          <w:p w:rsidR="00E35632" w:rsidRDefault="00E35632">
            <w:pPr>
              <w:pStyle w:val="ConsPlusNormal"/>
              <w:jc w:val="center"/>
            </w:pPr>
            <w:r>
              <w:t>+</w:t>
            </w:r>
          </w:p>
        </w:tc>
      </w:tr>
      <w:tr w:rsidR="00E35632">
        <w:tc>
          <w:tcPr>
            <w:tcW w:w="5460" w:type="dxa"/>
          </w:tcPr>
          <w:p w:rsidR="00E35632" w:rsidRDefault="00E35632">
            <w:pPr>
              <w:pStyle w:val="ConsPlusNormal"/>
            </w:pPr>
            <w:r>
              <w:t>5 Измерение динамических воздействий</w:t>
            </w:r>
          </w:p>
        </w:tc>
        <w:tc>
          <w:tcPr>
            <w:tcW w:w="1279" w:type="dxa"/>
            <w:vAlign w:val="bottom"/>
          </w:tcPr>
          <w:p w:rsidR="00E35632" w:rsidRDefault="00E35632">
            <w:pPr>
              <w:pStyle w:val="ConsPlusNormal"/>
              <w:jc w:val="center"/>
            </w:pPr>
            <w:r>
              <w:t xml:space="preserve">+ </w:t>
            </w:r>
            <w:hyperlink w:anchor="P7789">
              <w:r>
                <w:rPr>
                  <w:color w:val="0000FF"/>
                </w:rPr>
                <w:t>&lt;2&gt;</w:t>
              </w:r>
            </w:hyperlink>
          </w:p>
        </w:tc>
        <w:tc>
          <w:tcPr>
            <w:tcW w:w="1200" w:type="dxa"/>
            <w:vAlign w:val="bottom"/>
          </w:tcPr>
          <w:p w:rsidR="00E35632" w:rsidRDefault="00E35632">
            <w:pPr>
              <w:pStyle w:val="ConsPlusNormal"/>
              <w:jc w:val="center"/>
            </w:pPr>
            <w:r>
              <w:t xml:space="preserve">+ </w:t>
            </w:r>
            <w:hyperlink w:anchor="P7789">
              <w:r>
                <w:rPr>
                  <w:color w:val="0000FF"/>
                </w:rPr>
                <w:t>&lt;2&gt;</w:t>
              </w:r>
            </w:hyperlink>
          </w:p>
        </w:tc>
        <w:tc>
          <w:tcPr>
            <w:tcW w:w="1133" w:type="dxa"/>
            <w:vAlign w:val="bottom"/>
          </w:tcPr>
          <w:p w:rsidR="00E35632" w:rsidRDefault="00E35632">
            <w:pPr>
              <w:pStyle w:val="ConsPlusNormal"/>
              <w:jc w:val="center"/>
            </w:pPr>
            <w:r>
              <w:t xml:space="preserve">+ </w:t>
            </w:r>
            <w:hyperlink w:anchor="P7789">
              <w:r>
                <w:rPr>
                  <w:color w:val="0000FF"/>
                </w:rPr>
                <w:t>&lt;2&gt;</w:t>
              </w:r>
            </w:hyperlink>
          </w:p>
        </w:tc>
      </w:tr>
      <w:tr w:rsidR="00E35632">
        <w:tc>
          <w:tcPr>
            <w:tcW w:w="9072" w:type="dxa"/>
            <w:gridSpan w:val="4"/>
          </w:tcPr>
          <w:p w:rsidR="00E35632" w:rsidRDefault="00E35632">
            <w:pPr>
              <w:pStyle w:val="ConsPlusNormal"/>
              <w:ind w:firstLine="283"/>
              <w:jc w:val="both"/>
            </w:pPr>
            <w:bookmarkStart w:id="334" w:name="P7788"/>
            <w:bookmarkEnd w:id="334"/>
            <w:r>
              <w:t>&lt;1&gt; Выполняется при высоте сооружений окружающей застройки более 75 м.</w:t>
            </w:r>
          </w:p>
          <w:p w:rsidR="00E35632" w:rsidRDefault="00E35632">
            <w:pPr>
              <w:pStyle w:val="ConsPlusNormal"/>
              <w:ind w:firstLine="283"/>
              <w:jc w:val="both"/>
            </w:pPr>
            <w:bookmarkStart w:id="335" w:name="P7789"/>
            <w:bookmarkEnd w:id="335"/>
            <w:r>
              <w:t>&lt;2&gt; Выполняется по специальному заданию.</w:t>
            </w:r>
          </w:p>
          <w:p w:rsidR="00E35632" w:rsidRDefault="00E35632">
            <w:pPr>
              <w:pStyle w:val="ConsPlusNormal"/>
              <w:ind w:firstLine="283"/>
              <w:jc w:val="both"/>
            </w:pPr>
            <w:bookmarkStart w:id="336" w:name="P7790"/>
            <w:bookmarkEnd w:id="336"/>
            <w:r>
              <w:t>&lt;3&gt; Следует выполнять для зданий, расположенных на расстоянии 5 м и менее от строительного котлована.</w:t>
            </w:r>
          </w:p>
          <w:p w:rsidR="00E35632" w:rsidRDefault="00E35632">
            <w:pPr>
              <w:pStyle w:val="ConsPlusNormal"/>
            </w:pPr>
          </w:p>
          <w:p w:rsidR="00E35632" w:rsidRDefault="00E35632">
            <w:pPr>
              <w:pStyle w:val="ConsPlusNormal"/>
              <w:ind w:firstLine="283"/>
              <w:jc w:val="both"/>
            </w:pPr>
            <w:r>
              <w:t>Примечания</w:t>
            </w:r>
          </w:p>
          <w:p w:rsidR="00E35632" w:rsidRDefault="00E35632">
            <w:pPr>
              <w:pStyle w:val="ConsPlusNormal"/>
              <w:ind w:firstLine="283"/>
              <w:jc w:val="both"/>
            </w:pPr>
            <w:r>
              <w:t>1 В процессе геотехнического мониторинга необходимо проводить периодические визуальные обследования сооружений окружающей застройки на предмет выявления повреждений их конструкций.</w:t>
            </w:r>
          </w:p>
          <w:p w:rsidR="00E35632" w:rsidRDefault="00E35632">
            <w:pPr>
              <w:pStyle w:val="ConsPlusNormal"/>
              <w:ind w:firstLine="283"/>
              <w:jc w:val="both"/>
            </w:pPr>
            <w:r>
              <w:t>2 Если геотехническая категория для проектируемого линейного сооружения не установлена, то для I - II категории сложности инженерно-геологических условий следует принимать требования соответствующие геотехнической категории 2, а для III - геотехнической категории 3.</w:t>
            </w:r>
          </w:p>
        </w:tc>
      </w:tr>
    </w:tbl>
    <w:p w:rsidR="00E35632" w:rsidRDefault="00E35632">
      <w:pPr>
        <w:pStyle w:val="ConsPlusNormal"/>
        <w:jc w:val="both"/>
      </w:pPr>
    </w:p>
    <w:p w:rsidR="00E35632" w:rsidRDefault="00E35632">
      <w:pPr>
        <w:pStyle w:val="ConsPlusNormal"/>
        <w:jc w:val="right"/>
      </w:pPr>
      <w:r>
        <w:t>Таблица Л.6</w:t>
      </w:r>
    </w:p>
    <w:p w:rsidR="00E35632" w:rsidRDefault="00E35632">
      <w:pPr>
        <w:pStyle w:val="ConsPlusNormal"/>
        <w:jc w:val="both"/>
      </w:pPr>
    </w:p>
    <w:p w:rsidR="00E35632" w:rsidRDefault="00E35632">
      <w:pPr>
        <w:pStyle w:val="ConsPlusNormal"/>
        <w:jc w:val="center"/>
      </w:pPr>
      <w:bookmarkStart w:id="337" w:name="P7798"/>
      <w:bookmarkEnd w:id="337"/>
      <w:r>
        <w:rPr>
          <w:b/>
        </w:rPr>
        <w:t>Контролируемые параметры при геотехническом мониторинге</w:t>
      </w:r>
    </w:p>
    <w:p w:rsidR="00E35632" w:rsidRDefault="00E35632">
      <w:pPr>
        <w:pStyle w:val="ConsPlusNormal"/>
        <w:jc w:val="center"/>
      </w:pPr>
      <w:r>
        <w:rPr>
          <w:b/>
        </w:rPr>
        <w:t>подземных инженерных коммуникаций, расположенных</w:t>
      </w:r>
    </w:p>
    <w:p w:rsidR="00E35632" w:rsidRDefault="00E35632">
      <w:pPr>
        <w:pStyle w:val="ConsPlusNormal"/>
        <w:jc w:val="center"/>
      </w:pPr>
      <w:r>
        <w:rPr>
          <w:b/>
        </w:rPr>
        <w:t>в зоне влияния нового строительства (реконструкции)</w:t>
      </w:r>
    </w:p>
    <w:p w:rsidR="00E35632" w:rsidRDefault="00E35632">
      <w:pPr>
        <w:pStyle w:val="ConsPlusNormal"/>
        <w:jc w:val="center"/>
      </w:pPr>
      <w:r>
        <w:rPr>
          <w:b/>
        </w:rPr>
        <w:t>или прокладки инженерных подземных коммуникаций</w:t>
      </w:r>
    </w:p>
    <w:p w:rsidR="00E35632" w:rsidRDefault="00E35632">
      <w:pPr>
        <w:pStyle w:val="ConsPlusNormal"/>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340"/>
        <w:gridCol w:w="1239"/>
        <w:gridCol w:w="1239"/>
        <w:gridCol w:w="1240"/>
      </w:tblGrid>
      <w:tr w:rsidR="00E35632">
        <w:tc>
          <w:tcPr>
            <w:tcW w:w="5340" w:type="dxa"/>
            <w:vMerge w:val="restart"/>
            <w:vAlign w:val="center"/>
          </w:tcPr>
          <w:p w:rsidR="00E35632" w:rsidRDefault="00E35632">
            <w:pPr>
              <w:pStyle w:val="ConsPlusNormal"/>
              <w:jc w:val="center"/>
            </w:pPr>
            <w:r>
              <w:t>Контролируемые параметры</w:t>
            </w:r>
          </w:p>
        </w:tc>
        <w:tc>
          <w:tcPr>
            <w:tcW w:w="3718" w:type="dxa"/>
            <w:gridSpan w:val="3"/>
            <w:vAlign w:val="center"/>
          </w:tcPr>
          <w:p w:rsidR="00E35632" w:rsidRDefault="00E35632">
            <w:pPr>
              <w:pStyle w:val="ConsPlusNormal"/>
              <w:jc w:val="center"/>
            </w:pPr>
            <w:r>
              <w:t xml:space="preserve">При глубине котлована </w:t>
            </w:r>
            <w:r>
              <w:rPr>
                <w:i/>
              </w:rPr>
              <w:t>H</w:t>
            </w:r>
            <w:r>
              <w:rPr>
                <w:vertAlign w:val="subscript"/>
              </w:rPr>
              <w:t>к</w:t>
            </w:r>
            <w:r>
              <w:t>, м</w:t>
            </w:r>
          </w:p>
        </w:tc>
      </w:tr>
      <w:tr w:rsidR="00E35632">
        <w:tc>
          <w:tcPr>
            <w:tcW w:w="0" w:type="auto"/>
            <w:vMerge/>
          </w:tcPr>
          <w:p w:rsidR="00E35632" w:rsidRDefault="00E35632">
            <w:pPr>
              <w:pStyle w:val="ConsPlusNormal"/>
            </w:pPr>
          </w:p>
        </w:tc>
        <w:tc>
          <w:tcPr>
            <w:tcW w:w="2478" w:type="dxa"/>
            <w:gridSpan w:val="2"/>
            <w:vAlign w:val="center"/>
          </w:tcPr>
          <w:p w:rsidR="00E35632" w:rsidRDefault="00E35632">
            <w:pPr>
              <w:pStyle w:val="ConsPlusNormal"/>
              <w:jc w:val="center"/>
            </w:pPr>
            <w:r>
              <w:rPr>
                <w:i/>
              </w:rPr>
              <w:t>H</w:t>
            </w:r>
            <w:r>
              <w:rPr>
                <w:vertAlign w:val="subscript"/>
              </w:rPr>
              <w:t>к</w:t>
            </w:r>
            <w:r>
              <w:t xml:space="preserve"> &lt; 10</w:t>
            </w:r>
          </w:p>
        </w:tc>
        <w:tc>
          <w:tcPr>
            <w:tcW w:w="1240" w:type="dxa"/>
            <w:vMerge w:val="restart"/>
            <w:vAlign w:val="center"/>
          </w:tcPr>
          <w:p w:rsidR="00E35632" w:rsidRDefault="00E35632">
            <w:pPr>
              <w:pStyle w:val="ConsPlusNormal"/>
              <w:jc w:val="center"/>
            </w:pPr>
            <w:r>
              <w:rPr>
                <w:i/>
              </w:rPr>
              <w:t>H</w:t>
            </w:r>
            <w:r>
              <w:rPr>
                <w:vertAlign w:val="subscript"/>
              </w:rPr>
              <w:t>к</w:t>
            </w:r>
            <w:r>
              <w:t xml:space="preserve"> &gt;= 10</w:t>
            </w:r>
          </w:p>
        </w:tc>
      </w:tr>
      <w:tr w:rsidR="00E35632">
        <w:tc>
          <w:tcPr>
            <w:tcW w:w="0" w:type="auto"/>
            <w:vMerge/>
          </w:tcPr>
          <w:p w:rsidR="00E35632" w:rsidRDefault="00E35632">
            <w:pPr>
              <w:pStyle w:val="ConsPlusNormal"/>
            </w:pPr>
          </w:p>
        </w:tc>
        <w:tc>
          <w:tcPr>
            <w:tcW w:w="2478" w:type="dxa"/>
            <w:gridSpan w:val="2"/>
            <w:vAlign w:val="center"/>
          </w:tcPr>
          <w:p w:rsidR="00E35632" w:rsidRDefault="00E35632">
            <w:pPr>
              <w:pStyle w:val="ConsPlusNormal"/>
              <w:jc w:val="center"/>
            </w:pPr>
            <w:r>
              <w:t>Геотехническая категория</w:t>
            </w:r>
          </w:p>
        </w:tc>
        <w:tc>
          <w:tcPr>
            <w:tcW w:w="0" w:type="auto"/>
            <w:vMerge/>
          </w:tcPr>
          <w:p w:rsidR="00E35632" w:rsidRDefault="00E35632">
            <w:pPr>
              <w:pStyle w:val="ConsPlusNormal"/>
            </w:pPr>
          </w:p>
        </w:tc>
      </w:tr>
      <w:tr w:rsidR="00E35632">
        <w:tc>
          <w:tcPr>
            <w:tcW w:w="0" w:type="auto"/>
            <w:vMerge/>
          </w:tcPr>
          <w:p w:rsidR="00E35632" w:rsidRDefault="00E35632">
            <w:pPr>
              <w:pStyle w:val="ConsPlusNormal"/>
            </w:pPr>
          </w:p>
        </w:tc>
        <w:tc>
          <w:tcPr>
            <w:tcW w:w="1239" w:type="dxa"/>
            <w:vAlign w:val="center"/>
          </w:tcPr>
          <w:p w:rsidR="00E35632" w:rsidRDefault="00E35632">
            <w:pPr>
              <w:pStyle w:val="ConsPlusNormal"/>
              <w:jc w:val="center"/>
            </w:pPr>
            <w:r>
              <w:t>2</w:t>
            </w:r>
          </w:p>
        </w:tc>
        <w:tc>
          <w:tcPr>
            <w:tcW w:w="1239" w:type="dxa"/>
            <w:vAlign w:val="center"/>
          </w:tcPr>
          <w:p w:rsidR="00E35632" w:rsidRDefault="00E35632">
            <w:pPr>
              <w:pStyle w:val="ConsPlusNormal"/>
              <w:jc w:val="center"/>
            </w:pPr>
            <w:r>
              <w:t>3</w:t>
            </w:r>
          </w:p>
        </w:tc>
        <w:tc>
          <w:tcPr>
            <w:tcW w:w="0" w:type="auto"/>
            <w:vMerge/>
          </w:tcPr>
          <w:p w:rsidR="00E35632" w:rsidRDefault="00E35632">
            <w:pPr>
              <w:pStyle w:val="ConsPlusNormal"/>
            </w:pPr>
          </w:p>
        </w:tc>
      </w:tr>
      <w:tr w:rsidR="00E35632">
        <w:tc>
          <w:tcPr>
            <w:tcW w:w="5340" w:type="dxa"/>
          </w:tcPr>
          <w:p w:rsidR="00E35632" w:rsidRDefault="00E35632">
            <w:pPr>
              <w:pStyle w:val="ConsPlusNormal"/>
            </w:pPr>
            <w:r>
              <w:t>1 Дополнительные осадки обечаек люков, колодцев и других конструкций, выступающих на поверхность</w:t>
            </w:r>
          </w:p>
        </w:tc>
        <w:tc>
          <w:tcPr>
            <w:tcW w:w="1239" w:type="dxa"/>
            <w:vAlign w:val="bottom"/>
          </w:tcPr>
          <w:p w:rsidR="00E35632" w:rsidRDefault="00E35632">
            <w:pPr>
              <w:pStyle w:val="ConsPlusNormal"/>
              <w:jc w:val="center"/>
            </w:pPr>
            <w:r>
              <w:t>+</w:t>
            </w:r>
          </w:p>
        </w:tc>
        <w:tc>
          <w:tcPr>
            <w:tcW w:w="1239" w:type="dxa"/>
            <w:vAlign w:val="bottom"/>
          </w:tcPr>
          <w:p w:rsidR="00E35632" w:rsidRDefault="00E35632">
            <w:pPr>
              <w:pStyle w:val="ConsPlusNormal"/>
              <w:jc w:val="center"/>
            </w:pPr>
            <w:r>
              <w:t>+</w:t>
            </w:r>
          </w:p>
        </w:tc>
        <w:tc>
          <w:tcPr>
            <w:tcW w:w="1240" w:type="dxa"/>
            <w:vAlign w:val="bottom"/>
          </w:tcPr>
          <w:p w:rsidR="00E35632" w:rsidRDefault="00E35632">
            <w:pPr>
              <w:pStyle w:val="ConsPlusNormal"/>
              <w:jc w:val="center"/>
            </w:pPr>
            <w:r>
              <w:t>+</w:t>
            </w:r>
          </w:p>
        </w:tc>
      </w:tr>
      <w:tr w:rsidR="00E35632">
        <w:tc>
          <w:tcPr>
            <w:tcW w:w="5340" w:type="dxa"/>
          </w:tcPr>
          <w:p w:rsidR="00E35632" w:rsidRDefault="00E35632">
            <w:pPr>
              <w:pStyle w:val="ConsPlusNormal"/>
            </w:pPr>
            <w:r>
              <w:t>2 Дополнительные осадки конструкций обделок проходных и полупроходных коллекторов</w:t>
            </w:r>
          </w:p>
        </w:tc>
        <w:tc>
          <w:tcPr>
            <w:tcW w:w="1239" w:type="dxa"/>
            <w:vAlign w:val="bottom"/>
          </w:tcPr>
          <w:p w:rsidR="00E35632" w:rsidRDefault="00E35632">
            <w:pPr>
              <w:pStyle w:val="ConsPlusNormal"/>
              <w:jc w:val="center"/>
            </w:pPr>
            <w:r>
              <w:t>-</w:t>
            </w:r>
          </w:p>
        </w:tc>
        <w:tc>
          <w:tcPr>
            <w:tcW w:w="1239" w:type="dxa"/>
            <w:vAlign w:val="bottom"/>
          </w:tcPr>
          <w:p w:rsidR="00E35632" w:rsidRDefault="00E35632">
            <w:pPr>
              <w:pStyle w:val="ConsPlusNormal"/>
              <w:jc w:val="center"/>
            </w:pPr>
            <w:r>
              <w:t>+</w:t>
            </w:r>
          </w:p>
        </w:tc>
        <w:tc>
          <w:tcPr>
            <w:tcW w:w="1240" w:type="dxa"/>
            <w:vAlign w:val="bottom"/>
          </w:tcPr>
          <w:p w:rsidR="00E35632" w:rsidRDefault="00E35632">
            <w:pPr>
              <w:pStyle w:val="ConsPlusNormal"/>
              <w:jc w:val="center"/>
            </w:pPr>
            <w:r>
              <w:t>+</w:t>
            </w:r>
          </w:p>
        </w:tc>
      </w:tr>
      <w:tr w:rsidR="00E35632">
        <w:tc>
          <w:tcPr>
            <w:tcW w:w="5340" w:type="dxa"/>
          </w:tcPr>
          <w:p w:rsidR="00E35632" w:rsidRDefault="00E35632">
            <w:pPr>
              <w:pStyle w:val="ConsPlusNormal"/>
            </w:pPr>
            <w:r>
              <w:t>3 Горизонтальные перемещения обечаек люков, колодцев и других конструкций, выступающих на поверхность</w:t>
            </w:r>
          </w:p>
        </w:tc>
        <w:tc>
          <w:tcPr>
            <w:tcW w:w="1239" w:type="dxa"/>
            <w:vAlign w:val="bottom"/>
          </w:tcPr>
          <w:p w:rsidR="00E35632" w:rsidRDefault="00E35632">
            <w:pPr>
              <w:pStyle w:val="ConsPlusNormal"/>
              <w:jc w:val="center"/>
            </w:pPr>
            <w:r>
              <w:t>-</w:t>
            </w:r>
          </w:p>
        </w:tc>
        <w:tc>
          <w:tcPr>
            <w:tcW w:w="1239" w:type="dxa"/>
            <w:vAlign w:val="bottom"/>
          </w:tcPr>
          <w:p w:rsidR="00E35632" w:rsidRDefault="00E35632">
            <w:pPr>
              <w:pStyle w:val="ConsPlusNormal"/>
              <w:jc w:val="center"/>
            </w:pPr>
            <w:r>
              <w:t>-</w:t>
            </w:r>
          </w:p>
        </w:tc>
        <w:tc>
          <w:tcPr>
            <w:tcW w:w="1240" w:type="dxa"/>
            <w:vAlign w:val="bottom"/>
          </w:tcPr>
          <w:p w:rsidR="00E35632" w:rsidRDefault="00E35632">
            <w:pPr>
              <w:pStyle w:val="ConsPlusNormal"/>
              <w:jc w:val="center"/>
            </w:pPr>
            <w:r>
              <w:t>+</w:t>
            </w:r>
          </w:p>
        </w:tc>
      </w:tr>
      <w:tr w:rsidR="00E35632">
        <w:tc>
          <w:tcPr>
            <w:tcW w:w="5340" w:type="dxa"/>
          </w:tcPr>
          <w:p w:rsidR="00E35632" w:rsidRDefault="00E35632">
            <w:pPr>
              <w:pStyle w:val="ConsPlusNormal"/>
            </w:pPr>
            <w:r>
              <w:t>4 Деформации конструкций обделок проходных и полупроходных коллекторов, в т.ч. трещин в их обделке</w:t>
            </w:r>
          </w:p>
        </w:tc>
        <w:tc>
          <w:tcPr>
            <w:tcW w:w="1239" w:type="dxa"/>
            <w:vAlign w:val="bottom"/>
          </w:tcPr>
          <w:p w:rsidR="00E35632" w:rsidRDefault="00E35632">
            <w:pPr>
              <w:pStyle w:val="ConsPlusNormal"/>
              <w:jc w:val="center"/>
            </w:pPr>
            <w:r>
              <w:t>-</w:t>
            </w:r>
          </w:p>
        </w:tc>
        <w:tc>
          <w:tcPr>
            <w:tcW w:w="1239" w:type="dxa"/>
            <w:vAlign w:val="bottom"/>
          </w:tcPr>
          <w:p w:rsidR="00E35632" w:rsidRDefault="00E35632">
            <w:pPr>
              <w:pStyle w:val="ConsPlusNormal"/>
              <w:jc w:val="center"/>
            </w:pPr>
            <w:r>
              <w:t xml:space="preserve">+ </w:t>
            </w:r>
            <w:hyperlink w:anchor="P7834">
              <w:r>
                <w:rPr>
                  <w:color w:val="0000FF"/>
                </w:rPr>
                <w:t>&lt;1&gt;</w:t>
              </w:r>
            </w:hyperlink>
          </w:p>
        </w:tc>
        <w:tc>
          <w:tcPr>
            <w:tcW w:w="1240" w:type="dxa"/>
            <w:vAlign w:val="bottom"/>
          </w:tcPr>
          <w:p w:rsidR="00E35632" w:rsidRDefault="00E35632">
            <w:pPr>
              <w:pStyle w:val="ConsPlusNormal"/>
              <w:jc w:val="center"/>
            </w:pPr>
            <w:r>
              <w:t>+</w:t>
            </w:r>
          </w:p>
        </w:tc>
      </w:tr>
      <w:tr w:rsidR="00E35632">
        <w:tc>
          <w:tcPr>
            <w:tcW w:w="5340" w:type="dxa"/>
          </w:tcPr>
          <w:p w:rsidR="00E35632" w:rsidRDefault="00E35632">
            <w:pPr>
              <w:pStyle w:val="ConsPlusNormal"/>
            </w:pPr>
            <w:r>
              <w:t>5 Горизонтальные перемещения конструкций обделок проходных и полупроходных коллекторов</w:t>
            </w:r>
          </w:p>
        </w:tc>
        <w:tc>
          <w:tcPr>
            <w:tcW w:w="1239" w:type="dxa"/>
            <w:vAlign w:val="bottom"/>
          </w:tcPr>
          <w:p w:rsidR="00E35632" w:rsidRDefault="00E35632">
            <w:pPr>
              <w:pStyle w:val="ConsPlusNormal"/>
              <w:jc w:val="center"/>
            </w:pPr>
            <w:r>
              <w:t>-</w:t>
            </w:r>
          </w:p>
        </w:tc>
        <w:tc>
          <w:tcPr>
            <w:tcW w:w="1239" w:type="dxa"/>
            <w:vAlign w:val="bottom"/>
          </w:tcPr>
          <w:p w:rsidR="00E35632" w:rsidRDefault="00E35632">
            <w:pPr>
              <w:pStyle w:val="ConsPlusNormal"/>
              <w:jc w:val="center"/>
            </w:pPr>
            <w:r>
              <w:t>-</w:t>
            </w:r>
          </w:p>
        </w:tc>
        <w:tc>
          <w:tcPr>
            <w:tcW w:w="1240" w:type="dxa"/>
            <w:vAlign w:val="bottom"/>
          </w:tcPr>
          <w:p w:rsidR="00E35632" w:rsidRDefault="00E35632">
            <w:pPr>
              <w:pStyle w:val="ConsPlusNormal"/>
              <w:jc w:val="center"/>
            </w:pPr>
            <w:r>
              <w:t>+</w:t>
            </w:r>
          </w:p>
        </w:tc>
      </w:tr>
      <w:tr w:rsidR="00E35632">
        <w:tc>
          <w:tcPr>
            <w:tcW w:w="5340" w:type="dxa"/>
          </w:tcPr>
          <w:p w:rsidR="00E35632" w:rsidRDefault="00E35632">
            <w:pPr>
              <w:pStyle w:val="ConsPlusNormal"/>
            </w:pPr>
            <w:r>
              <w:t>6 Измерение динамических воздействий</w:t>
            </w:r>
          </w:p>
        </w:tc>
        <w:tc>
          <w:tcPr>
            <w:tcW w:w="1239" w:type="dxa"/>
            <w:vAlign w:val="bottom"/>
          </w:tcPr>
          <w:p w:rsidR="00E35632" w:rsidRDefault="00E35632">
            <w:pPr>
              <w:pStyle w:val="ConsPlusNormal"/>
              <w:jc w:val="center"/>
            </w:pPr>
            <w:r>
              <w:t>+ &lt;1&gt;</w:t>
            </w:r>
          </w:p>
        </w:tc>
        <w:tc>
          <w:tcPr>
            <w:tcW w:w="1239" w:type="dxa"/>
            <w:vAlign w:val="bottom"/>
          </w:tcPr>
          <w:p w:rsidR="00E35632" w:rsidRDefault="00E35632">
            <w:pPr>
              <w:pStyle w:val="ConsPlusNormal"/>
              <w:jc w:val="center"/>
            </w:pPr>
            <w:r>
              <w:t>+ &lt;1&gt;</w:t>
            </w:r>
          </w:p>
        </w:tc>
        <w:tc>
          <w:tcPr>
            <w:tcW w:w="1240" w:type="dxa"/>
            <w:vAlign w:val="bottom"/>
          </w:tcPr>
          <w:p w:rsidR="00E35632" w:rsidRDefault="00E35632">
            <w:pPr>
              <w:pStyle w:val="ConsPlusNormal"/>
              <w:jc w:val="center"/>
            </w:pPr>
            <w:r>
              <w:t>+ &lt;1&gt;</w:t>
            </w:r>
          </w:p>
        </w:tc>
      </w:tr>
      <w:tr w:rsidR="00E35632">
        <w:tc>
          <w:tcPr>
            <w:tcW w:w="9058" w:type="dxa"/>
            <w:gridSpan w:val="4"/>
          </w:tcPr>
          <w:p w:rsidR="00E35632" w:rsidRDefault="00E35632">
            <w:pPr>
              <w:pStyle w:val="ConsPlusNormal"/>
              <w:ind w:firstLine="283"/>
              <w:jc w:val="both"/>
            </w:pPr>
            <w:bookmarkStart w:id="338" w:name="P7834"/>
            <w:bookmarkEnd w:id="338"/>
            <w:r>
              <w:t>&lt;1&gt; Выполняется по специальному заданию.</w:t>
            </w:r>
          </w:p>
          <w:p w:rsidR="00E35632" w:rsidRDefault="00E35632">
            <w:pPr>
              <w:pStyle w:val="ConsPlusNormal"/>
            </w:pPr>
          </w:p>
          <w:p w:rsidR="00E35632" w:rsidRDefault="00E35632">
            <w:pPr>
              <w:pStyle w:val="ConsPlusNormal"/>
              <w:ind w:firstLine="283"/>
              <w:jc w:val="both"/>
            </w:pPr>
            <w:r>
              <w:t>Примечания</w:t>
            </w:r>
          </w:p>
          <w:p w:rsidR="00E35632" w:rsidRDefault="00E35632">
            <w:pPr>
              <w:pStyle w:val="ConsPlusNormal"/>
              <w:ind w:firstLine="283"/>
              <w:jc w:val="both"/>
            </w:pPr>
            <w:r>
              <w:t>1 В процессе геотехнического мониторинга подземных инженерных коммуникаций необходимо проводить периодические визуальные обследования состояния поверхности грунта вдоль трассы инженерных коммуникаций и конструкций обделок проходных и полупроходных коллекторов, конструкций камер и колодцев (по специальному заданию) коммуникаций непроходного типа.</w:t>
            </w:r>
          </w:p>
          <w:p w:rsidR="00E35632" w:rsidRDefault="00E35632">
            <w:pPr>
              <w:pStyle w:val="ConsPlusNormal"/>
              <w:ind w:firstLine="283"/>
              <w:jc w:val="both"/>
            </w:pPr>
            <w:r>
              <w:t>2 Если геотехническая категория для проектируемого линейного сооружения не установлена, то для I - II категории сложности инженерно-геологических условий следует принимать требования соответствующие геотехнической категории 2, а для III - геотехнической категории 3.</w:t>
            </w:r>
          </w:p>
        </w:tc>
      </w:tr>
    </w:tbl>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right"/>
        <w:outlineLvl w:val="0"/>
      </w:pPr>
      <w:r>
        <w:rPr>
          <w:b/>
        </w:rPr>
        <w:t>Приложение М</w:t>
      </w:r>
    </w:p>
    <w:p w:rsidR="00E35632" w:rsidRDefault="00E35632">
      <w:pPr>
        <w:pStyle w:val="ConsPlusNormal"/>
        <w:jc w:val="right"/>
      </w:pPr>
      <w:r>
        <w:t xml:space="preserve">(в ред. </w:t>
      </w:r>
      <w:hyperlink r:id="rId1016">
        <w:r>
          <w:rPr>
            <w:color w:val="0000FF"/>
          </w:rPr>
          <w:t>Изменения N 3</w:t>
        </w:r>
      </w:hyperlink>
      <w:r>
        <w:t>, утв. Приказом Минстроя России от 22.11.2019 N 722/пр)</w:t>
      </w:r>
    </w:p>
    <w:p w:rsidR="00E35632" w:rsidRDefault="00E35632">
      <w:pPr>
        <w:pStyle w:val="ConsPlusNormal"/>
        <w:jc w:val="both"/>
      </w:pPr>
    </w:p>
    <w:p w:rsidR="00E35632" w:rsidRDefault="00E35632">
      <w:pPr>
        <w:pStyle w:val="ConsPlusTitle"/>
        <w:jc w:val="center"/>
      </w:pPr>
      <w:bookmarkStart w:id="339" w:name="P7847"/>
      <w:bookmarkEnd w:id="339"/>
      <w:r>
        <w:t>ОСНОВНЫЕ БУКВЕННЫЕ ОБОЗНАЧЕНИЯ</w:t>
      </w:r>
    </w:p>
    <w:p w:rsidR="00E35632" w:rsidRDefault="00E35632">
      <w:pPr>
        <w:pStyle w:val="ConsPlusNormal"/>
        <w:jc w:val="both"/>
      </w:pPr>
    </w:p>
    <w:p w:rsidR="00E35632" w:rsidRDefault="00E35632">
      <w:pPr>
        <w:pStyle w:val="ConsPlusNormal"/>
        <w:ind w:firstLine="540"/>
        <w:jc w:val="both"/>
      </w:pPr>
      <w:r>
        <w:rPr>
          <w:b/>
        </w:rPr>
        <w:t>Коэффициенты надежности</w:t>
      </w:r>
    </w:p>
    <w:p w:rsidR="00E35632" w:rsidRDefault="00E35632">
      <w:pPr>
        <w:pStyle w:val="ConsPlusNormal"/>
        <w:jc w:val="both"/>
      </w:pPr>
    </w:p>
    <w:p w:rsidR="00E35632" w:rsidRDefault="00E35632">
      <w:pPr>
        <w:pStyle w:val="ConsPlusNormal"/>
        <w:ind w:firstLine="540"/>
        <w:jc w:val="both"/>
      </w:pPr>
      <w:r>
        <w:rPr>
          <w:noProof/>
          <w:position w:val="-8"/>
        </w:rPr>
        <w:drawing>
          <wp:inline distT="0" distB="0" distL="0" distR="0">
            <wp:extent cx="175895" cy="251460"/>
            <wp:effectExtent l="0" t="0" r="0" b="0"/>
            <wp:docPr id="72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17" cstate="print">
                      <a:extLst>
                        <a:ext uri="{28A0092B-C50C-407E-A947-70E740481C1C}">
                          <a14:useLocalDpi xmlns:a14="http://schemas.microsoft.com/office/drawing/2010/main" val="0"/>
                        </a:ext>
                      </a:extLst>
                    </a:blip>
                    <a:srcRect/>
                    <a:stretch>
                      <a:fillRect/>
                    </a:stretch>
                  </pic:blipFill>
                  <pic:spPr bwMode="auto">
                    <a:xfrm>
                      <a:off x="0" y="0"/>
                      <a:ext cx="175895" cy="251460"/>
                    </a:xfrm>
                    <a:prstGeom prst="rect">
                      <a:avLst/>
                    </a:prstGeom>
                    <a:noFill/>
                    <a:ln>
                      <a:noFill/>
                    </a:ln>
                  </pic:spPr>
                </pic:pic>
              </a:graphicData>
            </a:graphic>
          </wp:inline>
        </w:drawing>
      </w:r>
      <w:r>
        <w:t xml:space="preserve"> - коэффициент условий работы;</w:t>
      </w:r>
    </w:p>
    <w:p w:rsidR="00E35632" w:rsidRDefault="00E35632">
      <w:pPr>
        <w:pStyle w:val="ConsPlusNormal"/>
        <w:spacing w:before="220"/>
        <w:ind w:firstLine="540"/>
        <w:jc w:val="both"/>
      </w:pPr>
      <w:r>
        <w:rPr>
          <w:noProof/>
          <w:position w:val="-10"/>
        </w:rPr>
        <w:drawing>
          <wp:inline distT="0" distB="0" distL="0" distR="0">
            <wp:extent cx="209550" cy="267970"/>
            <wp:effectExtent l="0" t="0" r="0" b="0"/>
            <wp:docPr id="72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18" cstate="print">
                      <a:extLst>
                        <a:ext uri="{28A0092B-C50C-407E-A947-70E740481C1C}">
                          <a14:useLocalDpi xmlns:a14="http://schemas.microsoft.com/office/drawing/2010/main" val="0"/>
                        </a:ext>
                      </a:extLst>
                    </a:blip>
                    <a:srcRect/>
                    <a:stretch>
                      <a:fillRect/>
                    </a:stretch>
                  </pic:blipFill>
                  <pic:spPr bwMode="auto">
                    <a:xfrm>
                      <a:off x="0" y="0"/>
                      <a:ext cx="209550" cy="267970"/>
                    </a:xfrm>
                    <a:prstGeom prst="rect">
                      <a:avLst/>
                    </a:prstGeom>
                    <a:noFill/>
                    <a:ln>
                      <a:noFill/>
                    </a:ln>
                  </pic:spPr>
                </pic:pic>
              </a:graphicData>
            </a:graphic>
          </wp:inline>
        </w:drawing>
      </w:r>
      <w:r>
        <w:t xml:space="preserve"> - по нагрузке;</w:t>
      </w:r>
    </w:p>
    <w:p w:rsidR="00E35632" w:rsidRDefault="00E35632">
      <w:pPr>
        <w:pStyle w:val="ConsPlusNormal"/>
        <w:spacing w:before="220"/>
        <w:ind w:firstLine="540"/>
        <w:jc w:val="both"/>
      </w:pPr>
      <w:r>
        <w:rPr>
          <w:noProof/>
          <w:position w:val="-10"/>
        </w:rPr>
        <w:drawing>
          <wp:inline distT="0" distB="0" distL="0" distR="0">
            <wp:extent cx="200660" cy="267970"/>
            <wp:effectExtent l="0" t="0" r="0" b="0"/>
            <wp:docPr id="72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19" cstate="print">
                      <a:extLst>
                        <a:ext uri="{28A0092B-C50C-407E-A947-70E740481C1C}">
                          <a14:useLocalDpi xmlns:a14="http://schemas.microsoft.com/office/drawing/2010/main" val="0"/>
                        </a:ext>
                      </a:extLst>
                    </a:blip>
                    <a:srcRect/>
                    <a:stretch>
                      <a:fillRect/>
                    </a:stretch>
                  </pic:blipFill>
                  <pic:spPr bwMode="auto">
                    <a:xfrm>
                      <a:off x="0" y="0"/>
                      <a:ext cx="200660" cy="267970"/>
                    </a:xfrm>
                    <a:prstGeom prst="rect">
                      <a:avLst/>
                    </a:prstGeom>
                    <a:noFill/>
                    <a:ln>
                      <a:noFill/>
                    </a:ln>
                  </pic:spPr>
                </pic:pic>
              </a:graphicData>
            </a:graphic>
          </wp:inline>
        </w:drawing>
      </w:r>
      <w:r>
        <w:t xml:space="preserve"> - по грунту;</w:t>
      </w:r>
    </w:p>
    <w:p w:rsidR="00E35632" w:rsidRDefault="00E35632">
      <w:pPr>
        <w:pStyle w:val="ConsPlusNormal"/>
        <w:spacing w:before="220"/>
        <w:ind w:firstLine="540"/>
        <w:jc w:val="both"/>
      </w:pPr>
      <w:r>
        <w:rPr>
          <w:noProof/>
          <w:position w:val="-8"/>
        </w:rPr>
        <w:drawing>
          <wp:inline distT="0" distB="0" distL="0" distR="0">
            <wp:extent cx="209550" cy="251460"/>
            <wp:effectExtent l="0" t="0" r="0" b="0"/>
            <wp:docPr id="73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20"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по материалу;</w:t>
      </w:r>
    </w:p>
    <w:p w:rsidR="00E35632" w:rsidRDefault="00E35632">
      <w:pPr>
        <w:pStyle w:val="ConsPlusNormal"/>
        <w:spacing w:before="220"/>
        <w:ind w:firstLine="540"/>
        <w:jc w:val="both"/>
      </w:pPr>
      <w:r>
        <w:rPr>
          <w:noProof/>
          <w:position w:val="-8"/>
        </w:rPr>
        <w:drawing>
          <wp:inline distT="0" distB="0" distL="0" distR="0">
            <wp:extent cx="175895" cy="251460"/>
            <wp:effectExtent l="0" t="0" r="0" b="0"/>
            <wp:docPr id="73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175895" cy="251460"/>
                    </a:xfrm>
                    <a:prstGeom prst="rect">
                      <a:avLst/>
                    </a:prstGeom>
                    <a:noFill/>
                    <a:ln>
                      <a:noFill/>
                    </a:ln>
                  </pic:spPr>
                </pic:pic>
              </a:graphicData>
            </a:graphic>
          </wp:inline>
        </w:drawing>
      </w:r>
      <w:r>
        <w:t xml:space="preserve"> - по ответственности.</w:t>
      </w:r>
    </w:p>
    <w:p w:rsidR="00E35632" w:rsidRDefault="00E35632">
      <w:pPr>
        <w:pStyle w:val="ConsPlusNormal"/>
        <w:jc w:val="both"/>
      </w:pPr>
    </w:p>
    <w:p w:rsidR="00E35632" w:rsidRDefault="00E35632">
      <w:pPr>
        <w:pStyle w:val="ConsPlusNormal"/>
        <w:ind w:firstLine="540"/>
        <w:jc w:val="both"/>
      </w:pPr>
      <w:r>
        <w:rPr>
          <w:b/>
        </w:rPr>
        <w:t>Характеристики грунтов</w:t>
      </w:r>
    </w:p>
    <w:p w:rsidR="00E35632" w:rsidRDefault="00E35632">
      <w:pPr>
        <w:pStyle w:val="ConsPlusNormal"/>
        <w:jc w:val="both"/>
      </w:pPr>
    </w:p>
    <w:p w:rsidR="00E35632" w:rsidRDefault="00E35632">
      <w:pPr>
        <w:pStyle w:val="ConsPlusNormal"/>
        <w:ind w:firstLine="540"/>
        <w:jc w:val="both"/>
      </w:pPr>
      <w:r>
        <w:rPr>
          <w:noProof/>
          <w:position w:val="-5"/>
        </w:rPr>
        <w:drawing>
          <wp:inline distT="0" distB="0" distL="0" distR="0">
            <wp:extent cx="200660" cy="209550"/>
            <wp:effectExtent l="0" t="0" r="0" b="0"/>
            <wp:docPr id="73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22" cstate="print">
                      <a:extLst>
                        <a:ext uri="{28A0092B-C50C-407E-A947-70E740481C1C}">
                          <a14:useLocalDpi xmlns:a14="http://schemas.microsoft.com/office/drawing/2010/main" val="0"/>
                        </a:ext>
                      </a:extLst>
                    </a:blip>
                    <a:srcRect/>
                    <a:stretch>
                      <a:fillRect/>
                    </a:stretch>
                  </pic:blipFill>
                  <pic:spPr bwMode="auto">
                    <a:xfrm>
                      <a:off x="0" y="0"/>
                      <a:ext cx="200660" cy="209550"/>
                    </a:xfrm>
                    <a:prstGeom prst="rect">
                      <a:avLst/>
                    </a:prstGeom>
                    <a:noFill/>
                    <a:ln>
                      <a:noFill/>
                    </a:ln>
                  </pic:spPr>
                </pic:pic>
              </a:graphicData>
            </a:graphic>
          </wp:inline>
        </w:drawing>
      </w:r>
      <w:r>
        <w:t xml:space="preserve"> - среднее значение характеристики;</w:t>
      </w:r>
    </w:p>
    <w:p w:rsidR="00E35632" w:rsidRDefault="00E35632">
      <w:pPr>
        <w:pStyle w:val="ConsPlusNormal"/>
        <w:spacing w:before="220"/>
        <w:ind w:firstLine="540"/>
        <w:jc w:val="both"/>
      </w:pPr>
      <w:r>
        <w:rPr>
          <w:i/>
        </w:rPr>
        <w:t>X</w:t>
      </w:r>
      <w:r>
        <w:rPr>
          <w:i/>
          <w:vertAlign w:val="subscript"/>
        </w:rPr>
        <w:t>n</w:t>
      </w:r>
      <w:r>
        <w:t xml:space="preserve"> - нормативное значение;</w:t>
      </w:r>
    </w:p>
    <w:p w:rsidR="00E35632" w:rsidRDefault="00E35632">
      <w:pPr>
        <w:pStyle w:val="ConsPlusNormal"/>
        <w:spacing w:before="220"/>
        <w:ind w:firstLine="540"/>
        <w:jc w:val="both"/>
      </w:pPr>
      <w:r>
        <w:rPr>
          <w:i/>
        </w:rPr>
        <w:t>X</w:t>
      </w:r>
      <w:r>
        <w:t xml:space="preserve"> - расчетное значение;</w:t>
      </w:r>
    </w:p>
    <w:p w:rsidR="00E35632" w:rsidRDefault="00E35632">
      <w:pPr>
        <w:pStyle w:val="ConsPlusNormal"/>
        <w:spacing w:before="220"/>
        <w:ind w:firstLine="540"/>
        <w:jc w:val="both"/>
      </w:pPr>
      <w:r>
        <w:rPr>
          <w:noProof/>
          <w:position w:val="-1"/>
        </w:rPr>
        <w:drawing>
          <wp:inline distT="0" distB="0" distL="0" distR="0">
            <wp:extent cx="167640" cy="160020"/>
            <wp:effectExtent l="0" t="0" r="0" b="0"/>
            <wp:docPr id="73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23" cstate="print">
                      <a:extLst>
                        <a:ext uri="{28A0092B-C50C-407E-A947-70E740481C1C}">
                          <a14:useLocalDpi xmlns:a14="http://schemas.microsoft.com/office/drawing/2010/main" val="0"/>
                        </a:ext>
                      </a:extLst>
                    </a:blip>
                    <a:srcRect/>
                    <a:stretch>
                      <a:fillRect/>
                    </a:stretch>
                  </pic:blipFill>
                  <pic:spPr bwMode="auto">
                    <a:xfrm>
                      <a:off x="0" y="0"/>
                      <a:ext cx="167640" cy="160020"/>
                    </a:xfrm>
                    <a:prstGeom prst="rect">
                      <a:avLst/>
                    </a:prstGeom>
                    <a:noFill/>
                    <a:ln>
                      <a:noFill/>
                    </a:ln>
                  </pic:spPr>
                </pic:pic>
              </a:graphicData>
            </a:graphic>
          </wp:inline>
        </w:drawing>
      </w:r>
      <w:r>
        <w:t xml:space="preserve"> - доверительная вероятность (обеспеченность) расчетных значений;</w:t>
      </w:r>
    </w:p>
    <w:p w:rsidR="00E35632" w:rsidRDefault="00E35632">
      <w:pPr>
        <w:pStyle w:val="ConsPlusNormal"/>
        <w:spacing w:before="220"/>
        <w:ind w:firstLine="540"/>
        <w:jc w:val="both"/>
      </w:pPr>
      <w:r>
        <w:rPr>
          <w:noProof/>
          <w:position w:val="-2"/>
        </w:rPr>
        <w:drawing>
          <wp:inline distT="0" distB="0" distL="0" distR="0">
            <wp:extent cx="167640" cy="175895"/>
            <wp:effectExtent l="0" t="0" r="0" b="0"/>
            <wp:docPr id="73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24" cstate="print">
                      <a:extLst>
                        <a:ext uri="{28A0092B-C50C-407E-A947-70E740481C1C}">
                          <a14:useLocalDpi xmlns:a14="http://schemas.microsoft.com/office/drawing/2010/main" val="0"/>
                        </a:ext>
                      </a:extLst>
                    </a:blip>
                    <a:srcRect/>
                    <a:stretch>
                      <a:fillRect/>
                    </a:stretch>
                  </pic:blipFill>
                  <pic:spPr bwMode="auto">
                    <a:xfrm>
                      <a:off x="0" y="0"/>
                      <a:ext cx="167640" cy="175895"/>
                    </a:xfrm>
                    <a:prstGeom prst="rect">
                      <a:avLst/>
                    </a:prstGeom>
                    <a:noFill/>
                    <a:ln>
                      <a:noFill/>
                    </a:ln>
                  </pic:spPr>
                </pic:pic>
              </a:graphicData>
            </a:graphic>
          </wp:inline>
        </w:drawing>
      </w:r>
      <w:r>
        <w:t xml:space="preserve"> - плотность;</w:t>
      </w:r>
    </w:p>
    <w:p w:rsidR="00E35632" w:rsidRDefault="00E35632">
      <w:pPr>
        <w:pStyle w:val="ConsPlusNormal"/>
        <w:spacing w:before="220"/>
        <w:ind w:firstLine="540"/>
        <w:jc w:val="both"/>
      </w:pPr>
      <w:r>
        <w:rPr>
          <w:noProof/>
          <w:position w:val="-8"/>
        </w:rPr>
        <w:drawing>
          <wp:inline distT="0" distB="0" distL="0" distR="0">
            <wp:extent cx="219075" cy="251460"/>
            <wp:effectExtent l="0" t="0" r="0" b="0"/>
            <wp:docPr id="73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25"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 плотность в сухом состоянии;</w:t>
      </w:r>
    </w:p>
    <w:p w:rsidR="00E35632" w:rsidRDefault="00E35632">
      <w:pPr>
        <w:pStyle w:val="ConsPlusNormal"/>
        <w:spacing w:before="220"/>
        <w:ind w:firstLine="540"/>
        <w:jc w:val="both"/>
      </w:pPr>
      <w:r>
        <w:rPr>
          <w:noProof/>
          <w:position w:val="-10"/>
        </w:rPr>
        <w:drawing>
          <wp:inline distT="0" distB="0" distL="0" distR="0">
            <wp:extent cx="251460" cy="267970"/>
            <wp:effectExtent l="0" t="0" r="0" b="0"/>
            <wp:docPr id="73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r>
        <w:t xml:space="preserve"> - плотность обратной засыпки;</w:t>
      </w:r>
    </w:p>
    <w:p w:rsidR="00E35632" w:rsidRDefault="00E35632">
      <w:pPr>
        <w:pStyle w:val="ConsPlusNormal"/>
        <w:spacing w:before="220"/>
        <w:ind w:firstLine="540"/>
        <w:jc w:val="both"/>
      </w:pPr>
      <w:r>
        <w:rPr>
          <w:i/>
        </w:rPr>
        <w:t>e</w:t>
      </w:r>
      <w:r>
        <w:t xml:space="preserve"> - коэффициент пористости;</w:t>
      </w:r>
    </w:p>
    <w:p w:rsidR="00E35632" w:rsidRDefault="00E35632">
      <w:pPr>
        <w:pStyle w:val="ConsPlusNormal"/>
        <w:spacing w:before="220"/>
        <w:ind w:firstLine="540"/>
        <w:jc w:val="both"/>
      </w:pPr>
      <w:r>
        <w:rPr>
          <w:i/>
        </w:rPr>
        <w:t>w</w:t>
      </w:r>
      <w:r>
        <w:t xml:space="preserve"> - влажность природная;</w:t>
      </w:r>
    </w:p>
    <w:p w:rsidR="00E35632" w:rsidRDefault="00E35632">
      <w:pPr>
        <w:pStyle w:val="ConsPlusNormal"/>
        <w:spacing w:before="220"/>
        <w:ind w:firstLine="540"/>
        <w:jc w:val="both"/>
      </w:pPr>
      <w:r>
        <w:rPr>
          <w:i/>
        </w:rPr>
        <w:t>w</w:t>
      </w:r>
      <w:r>
        <w:rPr>
          <w:i/>
          <w:vertAlign w:val="subscript"/>
        </w:rPr>
        <w:t>p</w:t>
      </w:r>
      <w:r>
        <w:t xml:space="preserve"> - влажность на границе пластичности (раскатывания);</w:t>
      </w:r>
    </w:p>
    <w:p w:rsidR="00E35632" w:rsidRDefault="00E35632">
      <w:pPr>
        <w:pStyle w:val="ConsPlusNormal"/>
        <w:spacing w:before="220"/>
        <w:ind w:firstLine="540"/>
        <w:jc w:val="both"/>
      </w:pPr>
      <w:r>
        <w:rPr>
          <w:i/>
        </w:rPr>
        <w:t>w</w:t>
      </w:r>
      <w:r>
        <w:rPr>
          <w:i/>
          <w:vertAlign w:val="subscript"/>
        </w:rPr>
        <w:t>L</w:t>
      </w:r>
      <w:r>
        <w:t xml:space="preserve"> - влажность на границе текучести;</w:t>
      </w:r>
    </w:p>
    <w:p w:rsidR="00E35632" w:rsidRDefault="00E35632">
      <w:pPr>
        <w:pStyle w:val="ConsPlusNormal"/>
        <w:spacing w:before="220"/>
        <w:ind w:firstLine="540"/>
        <w:jc w:val="both"/>
      </w:pPr>
      <w:r>
        <w:rPr>
          <w:i/>
        </w:rPr>
        <w:t>w</w:t>
      </w:r>
      <w:r>
        <w:rPr>
          <w:i/>
          <w:vertAlign w:val="subscript"/>
        </w:rPr>
        <w:t>eq</w:t>
      </w:r>
      <w:r>
        <w:t xml:space="preserve"> - конечная (установившаяся) влажность;</w:t>
      </w:r>
    </w:p>
    <w:p w:rsidR="00E35632" w:rsidRDefault="00E35632">
      <w:pPr>
        <w:pStyle w:val="ConsPlusNormal"/>
        <w:spacing w:before="220"/>
        <w:ind w:firstLine="540"/>
        <w:jc w:val="both"/>
      </w:pPr>
      <w:r>
        <w:rPr>
          <w:i/>
        </w:rPr>
        <w:t>w</w:t>
      </w:r>
      <w:r>
        <w:rPr>
          <w:i/>
          <w:vertAlign w:val="subscript"/>
        </w:rPr>
        <w:t>sat</w:t>
      </w:r>
      <w:r>
        <w:t xml:space="preserve"> - влажность, соответствующая полному водонасыщению;</w:t>
      </w:r>
    </w:p>
    <w:p w:rsidR="00E35632" w:rsidRDefault="00E35632">
      <w:pPr>
        <w:pStyle w:val="ConsPlusNormal"/>
        <w:spacing w:before="220"/>
        <w:ind w:firstLine="540"/>
        <w:jc w:val="both"/>
      </w:pPr>
      <w:r>
        <w:rPr>
          <w:i/>
        </w:rPr>
        <w:t>w</w:t>
      </w:r>
      <w:r>
        <w:rPr>
          <w:i/>
          <w:vertAlign w:val="subscript"/>
        </w:rPr>
        <w:t>sl</w:t>
      </w:r>
      <w:r>
        <w:t xml:space="preserve"> - начальная просадочная влажность;</w:t>
      </w:r>
    </w:p>
    <w:p w:rsidR="00E35632" w:rsidRDefault="00E35632">
      <w:pPr>
        <w:pStyle w:val="ConsPlusNormal"/>
        <w:spacing w:before="220"/>
        <w:ind w:firstLine="540"/>
        <w:jc w:val="both"/>
      </w:pPr>
      <w:r>
        <w:rPr>
          <w:noProof/>
          <w:position w:val="-8"/>
        </w:rPr>
        <w:drawing>
          <wp:inline distT="0" distB="0" distL="0" distR="0">
            <wp:extent cx="251460" cy="251460"/>
            <wp:effectExtent l="0" t="0" r="0" b="0"/>
            <wp:docPr id="73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27" cstate="print">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r>
        <w:t xml:space="preserve"> - влажность набухания;</w:t>
      </w:r>
    </w:p>
    <w:p w:rsidR="00E35632" w:rsidRDefault="00E35632">
      <w:pPr>
        <w:pStyle w:val="ConsPlusNormal"/>
        <w:spacing w:before="220"/>
        <w:ind w:firstLine="540"/>
        <w:jc w:val="both"/>
      </w:pPr>
      <w:r>
        <w:rPr>
          <w:i/>
        </w:rPr>
        <w:t>w</w:t>
      </w:r>
      <w:r>
        <w:rPr>
          <w:i/>
          <w:vertAlign w:val="subscript"/>
        </w:rPr>
        <w:t>sh</w:t>
      </w:r>
      <w:r>
        <w:t xml:space="preserve"> - влажность на пределе усадки;</w:t>
      </w:r>
    </w:p>
    <w:p w:rsidR="00E35632" w:rsidRDefault="00E35632">
      <w:pPr>
        <w:pStyle w:val="ConsPlusNormal"/>
        <w:spacing w:before="220"/>
        <w:ind w:firstLine="540"/>
        <w:jc w:val="both"/>
      </w:pPr>
      <w:r>
        <w:rPr>
          <w:i/>
        </w:rPr>
        <w:t>S</w:t>
      </w:r>
      <w:r>
        <w:rPr>
          <w:i/>
          <w:vertAlign w:val="subscript"/>
        </w:rPr>
        <w:t>r</w:t>
      </w:r>
      <w:r>
        <w:t xml:space="preserve"> - коэффициент водонасыщения;</w:t>
      </w:r>
    </w:p>
    <w:p w:rsidR="00E35632" w:rsidRDefault="00E35632">
      <w:pPr>
        <w:pStyle w:val="ConsPlusNormal"/>
        <w:spacing w:before="220"/>
        <w:ind w:firstLine="540"/>
        <w:jc w:val="both"/>
      </w:pPr>
      <w:r>
        <w:rPr>
          <w:i/>
        </w:rPr>
        <w:t>I</w:t>
      </w:r>
      <w:r>
        <w:rPr>
          <w:i/>
          <w:vertAlign w:val="subscript"/>
        </w:rPr>
        <w:t>L</w:t>
      </w:r>
      <w:r>
        <w:t xml:space="preserve"> - показатель текучести;</w:t>
      </w:r>
    </w:p>
    <w:p w:rsidR="00E35632" w:rsidRDefault="00E35632">
      <w:pPr>
        <w:pStyle w:val="ConsPlusNormal"/>
        <w:spacing w:before="220"/>
        <w:ind w:firstLine="540"/>
        <w:jc w:val="both"/>
      </w:pPr>
      <w:r>
        <w:rPr>
          <w:noProof/>
          <w:position w:val="-2"/>
        </w:rPr>
        <w:drawing>
          <wp:inline distT="0" distB="0" distL="0" distR="0">
            <wp:extent cx="142240" cy="175895"/>
            <wp:effectExtent l="0" t="0" r="0" b="0"/>
            <wp:docPr id="73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28" cstate="print">
                      <a:extLst>
                        <a:ext uri="{28A0092B-C50C-407E-A947-70E740481C1C}">
                          <a14:useLocalDpi xmlns:a14="http://schemas.microsoft.com/office/drawing/2010/main" val="0"/>
                        </a:ext>
                      </a:extLst>
                    </a:blip>
                    <a:srcRect/>
                    <a:stretch>
                      <a:fillRect/>
                    </a:stretch>
                  </pic:blipFill>
                  <pic:spPr bwMode="auto">
                    <a:xfrm>
                      <a:off x="0" y="0"/>
                      <a:ext cx="142240" cy="175895"/>
                    </a:xfrm>
                    <a:prstGeom prst="rect">
                      <a:avLst/>
                    </a:prstGeom>
                    <a:noFill/>
                    <a:ln>
                      <a:noFill/>
                    </a:ln>
                  </pic:spPr>
                </pic:pic>
              </a:graphicData>
            </a:graphic>
          </wp:inline>
        </w:drawing>
      </w:r>
      <w:r>
        <w:t xml:space="preserve"> - удельный вес;</w:t>
      </w:r>
    </w:p>
    <w:p w:rsidR="00E35632" w:rsidRDefault="00E35632">
      <w:pPr>
        <w:pStyle w:val="ConsPlusNormal"/>
        <w:spacing w:before="220"/>
        <w:ind w:firstLine="540"/>
        <w:jc w:val="both"/>
      </w:pPr>
      <w:r>
        <w:rPr>
          <w:noProof/>
          <w:position w:val="-8"/>
        </w:rPr>
        <w:drawing>
          <wp:inline distT="0" distB="0" distL="0" distR="0">
            <wp:extent cx="219075" cy="251460"/>
            <wp:effectExtent l="0" t="0" r="0" b="0"/>
            <wp:docPr id="73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 удельный вес с учетом взвешивающего действия воды;</w:t>
      </w:r>
    </w:p>
    <w:p w:rsidR="00E35632" w:rsidRDefault="00E35632">
      <w:pPr>
        <w:pStyle w:val="ConsPlusNormal"/>
        <w:spacing w:before="220"/>
        <w:ind w:firstLine="540"/>
        <w:jc w:val="both"/>
      </w:pPr>
      <w:r>
        <w:rPr>
          <w:i/>
        </w:rPr>
        <w:t>p</w:t>
      </w:r>
      <w:r>
        <w:rPr>
          <w:i/>
          <w:vertAlign w:val="subscript"/>
        </w:rPr>
        <w:t>sl</w:t>
      </w:r>
      <w:r>
        <w:t xml:space="preserve"> - начальное просадочное давление;</w:t>
      </w:r>
    </w:p>
    <w:p w:rsidR="00E35632" w:rsidRDefault="00E35632">
      <w:pPr>
        <w:pStyle w:val="ConsPlusNormal"/>
        <w:spacing w:before="220"/>
        <w:ind w:firstLine="540"/>
        <w:jc w:val="both"/>
      </w:pPr>
      <w:r>
        <w:rPr>
          <w:i/>
        </w:rPr>
        <w:t>p</w:t>
      </w:r>
      <w:r>
        <w:rPr>
          <w:i/>
          <w:vertAlign w:val="subscript"/>
        </w:rPr>
        <w:t>sw</w:t>
      </w:r>
      <w:r>
        <w:t xml:space="preserve"> - давление набухания;</w:t>
      </w:r>
    </w:p>
    <w:p w:rsidR="00E35632" w:rsidRDefault="00E35632">
      <w:pPr>
        <w:pStyle w:val="ConsPlusNormal"/>
        <w:spacing w:before="220"/>
        <w:ind w:firstLine="540"/>
        <w:jc w:val="both"/>
      </w:pPr>
      <w:r>
        <w:rPr>
          <w:noProof/>
          <w:position w:val="-8"/>
        </w:rPr>
        <w:drawing>
          <wp:inline distT="0" distB="0" distL="0" distR="0">
            <wp:extent cx="209550" cy="251460"/>
            <wp:effectExtent l="0" t="0" r="0" b="0"/>
            <wp:docPr id="74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относительная просадочность (относительная деформация просадочности);</w:t>
      </w:r>
    </w:p>
    <w:p w:rsidR="00E35632" w:rsidRDefault="00E35632">
      <w:pPr>
        <w:pStyle w:val="ConsPlusNormal"/>
        <w:spacing w:before="220"/>
        <w:ind w:firstLine="540"/>
        <w:jc w:val="both"/>
      </w:pPr>
      <w:r>
        <w:rPr>
          <w:noProof/>
          <w:position w:val="-8"/>
        </w:rPr>
        <w:drawing>
          <wp:inline distT="0" distB="0" distL="0" distR="0">
            <wp:extent cx="241935" cy="251460"/>
            <wp:effectExtent l="0" t="0" r="0" b="0"/>
            <wp:docPr id="74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241935" cy="251460"/>
                    </a:xfrm>
                    <a:prstGeom prst="rect">
                      <a:avLst/>
                    </a:prstGeom>
                    <a:noFill/>
                    <a:ln>
                      <a:noFill/>
                    </a:ln>
                  </pic:spPr>
                </pic:pic>
              </a:graphicData>
            </a:graphic>
          </wp:inline>
        </w:drawing>
      </w:r>
      <w:r>
        <w:t xml:space="preserve"> - относительное набухание;</w:t>
      </w:r>
    </w:p>
    <w:p w:rsidR="00E35632" w:rsidRDefault="00E35632">
      <w:pPr>
        <w:pStyle w:val="ConsPlusNormal"/>
        <w:spacing w:before="220"/>
        <w:ind w:firstLine="540"/>
        <w:jc w:val="both"/>
      </w:pPr>
      <w:r>
        <w:rPr>
          <w:noProof/>
          <w:position w:val="-8"/>
        </w:rPr>
        <w:drawing>
          <wp:inline distT="0" distB="0" distL="0" distR="0">
            <wp:extent cx="200660" cy="250825"/>
            <wp:effectExtent l="0" t="0" r="0" b="0"/>
            <wp:docPr id="74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200660" cy="250825"/>
                    </a:xfrm>
                    <a:prstGeom prst="rect">
                      <a:avLst/>
                    </a:prstGeom>
                    <a:noFill/>
                    <a:ln>
                      <a:noFill/>
                    </a:ln>
                  </pic:spPr>
                </pic:pic>
              </a:graphicData>
            </a:graphic>
          </wp:inline>
        </w:drawing>
      </w:r>
      <w:r>
        <w:t xml:space="preserve"> - относительная линейная деформация виброползучести;</w:t>
      </w:r>
    </w:p>
    <w:p w:rsidR="00E35632" w:rsidRDefault="00E35632">
      <w:pPr>
        <w:pStyle w:val="ConsPlusNormal"/>
        <w:spacing w:before="220"/>
        <w:ind w:firstLine="540"/>
        <w:jc w:val="both"/>
      </w:pPr>
      <w:r>
        <w:rPr>
          <w:noProof/>
          <w:position w:val="-8"/>
        </w:rPr>
        <w:drawing>
          <wp:inline distT="0" distB="0" distL="0" distR="0">
            <wp:extent cx="219075" cy="251460"/>
            <wp:effectExtent l="0" t="0" r="0" b="0"/>
            <wp:docPr id="74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219075" cy="251460"/>
                    </a:xfrm>
                    <a:prstGeom prst="rect">
                      <a:avLst/>
                    </a:prstGeom>
                    <a:noFill/>
                    <a:ln>
                      <a:noFill/>
                    </a:ln>
                  </pic:spPr>
                </pic:pic>
              </a:graphicData>
            </a:graphic>
          </wp:inline>
        </w:drawing>
      </w:r>
      <w:r>
        <w:t xml:space="preserve"> - относительная линейная усадка;</w:t>
      </w:r>
    </w:p>
    <w:p w:rsidR="00E35632" w:rsidRDefault="00E35632">
      <w:pPr>
        <w:pStyle w:val="ConsPlusNormal"/>
        <w:spacing w:before="220"/>
        <w:ind w:firstLine="540"/>
        <w:jc w:val="both"/>
      </w:pPr>
      <w:r>
        <w:rPr>
          <w:i/>
        </w:rPr>
        <w:t>I</w:t>
      </w:r>
      <w:r>
        <w:rPr>
          <w:i/>
          <w:vertAlign w:val="subscript"/>
        </w:rPr>
        <w:t>r</w:t>
      </w:r>
      <w:r>
        <w:t xml:space="preserve"> - относительное содержание органического вещества;</w:t>
      </w:r>
    </w:p>
    <w:p w:rsidR="00E35632" w:rsidRDefault="00E35632">
      <w:pPr>
        <w:pStyle w:val="ConsPlusNormal"/>
        <w:spacing w:before="220"/>
        <w:ind w:firstLine="540"/>
        <w:jc w:val="both"/>
      </w:pPr>
      <w:r>
        <w:rPr>
          <w:noProof/>
          <w:position w:val="-10"/>
        </w:rPr>
        <w:drawing>
          <wp:inline distT="0" distB="0" distL="0" distR="0">
            <wp:extent cx="219075" cy="267970"/>
            <wp:effectExtent l="0" t="0" r="0" b="0"/>
            <wp:docPr id="74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219075" cy="267970"/>
                    </a:xfrm>
                    <a:prstGeom prst="rect">
                      <a:avLst/>
                    </a:prstGeom>
                    <a:noFill/>
                    <a:ln>
                      <a:noFill/>
                    </a:ln>
                  </pic:spPr>
                </pic:pic>
              </a:graphicData>
            </a:graphic>
          </wp:inline>
        </w:drawing>
      </w:r>
      <w:r>
        <w:t xml:space="preserve"> - относительное суффозионное сжатие;</w:t>
      </w:r>
    </w:p>
    <w:p w:rsidR="00E35632" w:rsidRDefault="00E35632">
      <w:pPr>
        <w:pStyle w:val="ConsPlusNormal"/>
        <w:spacing w:before="220"/>
        <w:ind w:firstLine="540"/>
        <w:jc w:val="both"/>
      </w:pPr>
      <w:r>
        <w:rPr>
          <w:i/>
        </w:rPr>
        <w:t>D</w:t>
      </w:r>
      <w:r>
        <w:rPr>
          <w:i/>
          <w:vertAlign w:val="subscript"/>
        </w:rPr>
        <w:t>dp</w:t>
      </w:r>
      <w:r>
        <w:t xml:space="preserve"> - степень разложения (торфа);</w:t>
      </w:r>
    </w:p>
    <w:p w:rsidR="00E35632" w:rsidRDefault="00E35632">
      <w:pPr>
        <w:pStyle w:val="ConsPlusNormal"/>
        <w:spacing w:before="220"/>
        <w:ind w:firstLine="540"/>
        <w:jc w:val="both"/>
      </w:pPr>
      <w:r>
        <w:rPr>
          <w:i/>
        </w:rPr>
        <w:t>c</w:t>
      </w:r>
      <w:r>
        <w:t xml:space="preserve"> - удельное сцепление;</w:t>
      </w:r>
    </w:p>
    <w:p w:rsidR="00E35632" w:rsidRDefault="00E35632">
      <w:pPr>
        <w:pStyle w:val="ConsPlusNormal"/>
        <w:spacing w:before="220"/>
        <w:ind w:firstLine="540"/>
        <w:jc w:val="both"/>
      </w:pPr>
      <w:r>
        <w:rPr>
          <w:noProof/>
          <w:position w:val="-2"/>
        </w:rPr>
        <w:drawing>
          <wp:inline distT="0" distB="0" distL="0" distR="0">
            <wp:extent cx="160020" cy="175895"/>
            <wp:effectExtent l="0" t="0" r="0" b="0"/>
            <wp:docPr id="74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160020" cy="175895"/>
                    </a:xfrm>
                    <a:prstGeom prst="rect">
                      <a:avLst/>
                    </a:prstGeom>
                    <a:noFill/>
                    <a:ln>
                      <a:noFill/>
                    </a:ln>
                  </pic:spPr>
                </pic:pic>
              </a:graphicData>
            </a:graphic>
          </wp:inline>
        </w:drawing>
      </w:r>
      <w:r>
        <w:t xml:space="preserve"> - угол внутреннего трения;</w:t>
      </w:r>
    </w:p>
    <w:p w:rsidR="00E35632" w:rsidRDefault="00E35632">
      <w:pPr>
        <w:pStyle w:val="ConsPlusNormal"/>
        <w:spacing w:before="220"/>
        <w:ind w:firstLine="540"/>
        <w:jc w:val="both"/>
      </w:pPr>
      <w:r>
        <w:rPr>
          <w:i/>
        </w:rPr>
        <w:t>E</w:t>
      </w:r>
      <w:r>
        <w:t xml:space="preserve"> - модуль деформации;</w:t>
      </w:r>
    </w:p>
    <w:p w:rsidR="00E35632" w:rsidRDefault="00E35632">
      <w:pPr>
        <w:pStyle w:val="ConsPlusNormal"/>
        <w:spacing w:before="220"/>
        <w:ind w:firstLine="540"/>
        <w:jc w:val="both"/>
      </w:pPr>
      <w:r>
        <w:rPr>
          <w:noProof/>
          <w:position w:val="-1"/>
        </w:rPr>
        <w:drawing>
          <wp:inline distT="0" distB="0" distL="0" distR="0">
            <wp:extent cx="142240" cy="160020"/>
            <wp:effectExtent l="0" t="0" r="0" b="0"/>
            <wp:docPr id="74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r>
        <w:t xml:space="preserve"> - коэффициент поперечной деформации;</w:t>
      </w:r>
    </w:p>
    <w:p w:rsidR="00E35632" w:rsidRDefault="00E35632">
      <w:pPr>
        <w:pStyle w:val="ConsPlusNormal"/>
        <w:spacing w:before="220"/>
        <w:ind w:firstLine="540"/>
        <w:jc w:val="both"/>
      </w:pPr>
      <w:r>
        <w:rPr>
          <w:i/>
        </w:rPr>
        <w:t>R</w:t>
      </w:r>
      <w:r>
        <w:rPr>
          <w:i/>
          <w:vertAlign w:val="subscript"/>
        </w:rPr>
        <w:t>c</w:t>
      </w:r>
      <w:r>
        <w:t xml:space="preserve"> - предел прочности на одноосное сжатие скальных грунтов;</w:t>
      </w:r>
    </w:p>
    <w:p w:rsidR="00E35632" w:rsidRDefault="00E35632">
      <w:pPr>
        <w:pStyle w:val="ConsPlusNormal"/>
        <w:spacing w:before="220"/>
        <w:ind w:firstLine="540"/>
        <w:jc w:val="both"/>
      </w:pPr>
      <w:r>
        <w:rPr>
          <w:noProof/>
          <w:position w:val="-8"/>
        </w:rPr>
        <w:drawing>
          <wp:inline distT="0" distB="0" distL="0" distR="0">
            <wp:extent cx="175895" cy="251460"/>
            <wp:effectExtent l="0" t="0" r="0" b="0"/>
            <wp:docPr id="74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175895" cy="251460"/>
                    </a:xfrm>
                    <a:prstGeom prst="rect">
                      <a:avLst/>
                    </a:prstGeom>
                    <a:noFill/>
                    <a:ln>
                      <a:noFill/>
                    </a:ln>
                  </pic:spPr>
                </pic:pic>
              </a:graphicData>
            </a:graphic>
          </wp:inline>
        </w:drawing>
      </w:r>
      <w:r>
        <w:t xml:space="preserve"> - коэффициент консолидации;</w:t>
      </w:r>
    </w:p>
    <w:p w:rsidR="00E35632" w:rsidRDefault="00E35632">
      <w:pPr>
        <w:pStyle w:val="ConsPlusNormal"/>
        <w:spacing w:before="220"/>
        <w:ind w:firstLine="540"/>
        <w:jc w:val="both"/>
      </w:pPr>
      <w:r>
        <w:rPr>
          <w:i/>
        </w:rPr>
        <w:t>c</w:t>
      </w:r>
      <w:r>
        <w:rPr>
          <w:i/>
          <w:vertAlign w:val="subscript"/>
        </w:rPr>
        <w:t>u</w:t>
      </w:r>
      <w:r>
        <w:t xml:space="preserve"> - сопротивление грунта недренированному сдвигу;</w:t>
      </w:r>
    </w:p>
    <w:p w:rsidR="00E35632" w:rsidRDefault="00E35632">
      <w:pPr>
        <w:pStyle w:val="ConsPlusNormal"/>
        <w:spacing w:before="220"/>
        <w:ind w:firstLine="540"/>
        <w:jc w:val="both"/>
      </w:pPr>
      <w:r>
        <w:rPr>
          <w:i/>
        </w:rPr>
        <w:t>K</w:t>
      </w:r>
      <w:r>
        <w:rPr>
          <w:i/>
          <w:vertAlign w:val="subscript"/>
        </w:rPr>
        <w:t>r</w:t>
      </w:r>
      <w:r>
        <w:t xml:space="preserve"> - коэффициент релаксации;</w:t>
      </w:r>
    </w:p>
    <w:p w:rsidR="00E35632" w:rsidRDefault="00E35632">
      <w:pPr>
        <w:pStyle w:val="ConsPlusNormal"/>
        <w:spacing w:before="220"/>
        <w:ind w:firstLine="540"/>
        <w:jc w:val="both"/>
      </w:pPr>
      <w:r>
        <w:rPr>
          <w:noProof/>
          <w:position w:val="-8"/>
        </w:rPr>
        <w:drawing>
          <wp:inline distT="0" distB="0" distL="0" distR="0">
            <wp:extent cx="209550" cy="251460"/>
            <wp:effectExtent l="0" t="0" r="0" b="0"/>
            <wp:docPr id="74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начальное напряжение релаксации;</w:t>
      </w:r>
    </w:p>
    <w:p w:rsidR="00E35632" w:rsidRDefault="00E35632">
      <w:pPr>
        <w:pStyle w:val="ConsPlusNormal"/>
        <w:jc w:val="both"/>
      </w:pPr>
      <w:r>
        <w:t xml:space="preserve">(в ред. </w:t>
      </w:r>
      <w:hyperlink r:id="rId1039">
        <w:r>
          <w:rPr>
            <w:color w:val="0000FF"/>
          </w:rPr>
          <w:t>Изменения N 1</w:t>
        </w:r>
      </w:hyperlink>
      <w:r>
        <w:t>, утв. Приказом Минстроя России от 20.11.2018 N 736/пр)</w:t>
      </w:r>
    </w:p>
    <w:p w:rsidR="00E35632" w:rsidRDefault="00E35632">
      <w:pPr>
        <w:pStyle w:val="ConsPlusNormal"/>
        <w:spacing w:before="220"/>
        <w:ind w:firstLine="540"/>
        <w:jc w:val="both"/>
      </w:pPr>
      <w:r>
        <w:rPr>
          <w:i/>
        </w:rPr>
        <w:t>OCR -</w:t>
      </w:r>
      <w:r>
        <w:t xml:space="preserve"> коэффициент переуплотнения.</w:t>
      </w:r>
    </w:p>
    <w:p w:rsidR="00E35632" w:rsidRDefault="00E35632">
      <w:pPr>
        <w:pStyle w:val="ConsPlusNormal"/>
        <w:jc w:val="both"/>
      </w:pPr>
      <w:r>
        <w:t xml:space="preserve">(введено </w:t>
      </w:r>
      <w:hyperlink r:id="rId1040">
        <w:r>
          <w:rPr>
            <w:color w:val="0000FF"/>
          </w:rPr>
          <w:t>Изменением N 1</w:t>
        </w:r>
      </w:hyperlink>
      <w:r>
        <w:t>, утв. Приказом Минстроя России от 20.11.2018 N 736/пр)</w:t>
      </w:r>
    </w:p>
    <w:p w:rsidR="00E35632" w:rsidRDefault="00E35632">
      <w:pPr>
        <w:pStyle w:val="ConsPlusNormal"/>
        <w:jc w:val="both"/>
      </w:pPr>
    </w:p>
    <w:p w:rsidR="00E35632" w:rsidRDefault="00E35632">
      <w:pPr>
        <w:pStyle w:val="ConsPlusNormal"/>
        <w:ind w:firstLine="540"/>
        <w:jc w:val="both"/>
      </w:pPr>
      <w:r>
        <w:rPr>
          <w:b/>
        </w:rPr>
        <w:t>Нагрузки, напряжения, сопротивления</w:t>
      </w:r>
    </w:p>
    <w:p w:rsidR="00E35632" w:rsidRDefault="00E35632">
      <w:pPr>
        <w:pStyle w:val="ConsPlusNormal"/>
        <w:jc w:val="both"/>
      </w:pPr>
    </w:p>
    <w:p w:rsidR="00E35632" w:rsidRDefault="00E35632">
      <w:pPr>
        <w:pStyle w:val="ConsPlusNormal"/>
        <w:ind w:firstLine="540"/>
        <w:jc w:val="both"/>
      </w:pPr>
      <w:r>
        <w:rPr>
          <w:i/>
        </w:rPr>
        <w:t>F</w:t>
      </w:r>
      <w:r>
        <w:t xml:space="preserve"> - сила, расчетное значение силы;</w:t>
      </w:r>
    </w:p>
    <w:p w:rsidR="00E35632" w:rsidRDefault="00E35632">
      <w:pPr>
        <w:pStyle w:val="ConsPlusNormal"/>
        <w:spacing w:before="220"/>
        <w:ind w:firstLine="540"/>
        <w:jc w:val="both"/>
      </w:pPr>
      <w:r>
        <w:rPr>
          <w:i/>
        </w:rPr>
        <w:t>f</w:t>
      </w:r>
      <w:r>
        <w:t xml:space="preserve"> - сила на единицу длины;</w:t>
      </w:r>
    </w:p>
    <w:p w:rsidR="00E35632" w:rsidRDefault="00E35632">
      <w:pPr>
        <w:pStyle w:val="ConsPlusNormal"/>
        <w:spacing w:before="220"/>
        <w:ind w:firstLine="540"/>
        <w:jc w:val="both"/>
      </w:pPr>
      <w:r>
        <w:rPr>
          <w:i/>
        </w:rPr>
        <w:t>F</w:t>
      </w:r>
      <w:r>
        <w:rPr>
          <w:i/>
          <w:vertAlign w:val="subscript"/>
        </w:rPr>
        <w:t>v</w:t>
      </w:r>
      <w:r>
        <w:t xml:space="preserve">, </w:t>
      </w:r>
      <w:r>
        <w:rPr>
          <w:i/>
        </w:rPr>
        <w:t>F</w:t>
      </w:r>
      <w:r>
        <w:rPr>
          <w:i/>
          <w:vertAlign w:val="subscript"/>
        </w:rPr>
        <w:t>h</w:t>
      </w:r>
      <w:r>
        <w:t xml:space="preserve"> - вертикальная и горизонтальная составляющие силы;</w:t>
      </w:r>
    </w:p>
    <w:p w:rsidR="00E35632" w:rsidRDefault="00E35632">
      <w:pPr>
        <w:pStyle w:val="ConsPlusNormal"/>
        <w:spacing w:before="220"/>
        <w:ind w:firstLine="540"/>
        <w:jc w:val="both"/>
      </w:pPr>
      <w:r>
        <w:rPr>
          <w:i/>
        </w:rPr>
        <w:t>F</w:t>
      </w:r>
      <w:r>
        <w:rPr>
          <w:i/>
          <w:vertAlign w:val="subscript"/>
        </w:rPr>
        <w:t>s,a</w:t>
      </w:r>
      <w:r>
        <w:t xml:space="preserve">, </w:t>
      </w:r>
      <w:r>
        <w:rPr>
          <w:i/>
        </w:rPr>
        <w:t>F</w:t>
      </w:r>
      <w:r>
        <w:rPr>
          <w:i/>
          <w:vertAlign w:val="subscript"/>
        </w:rPr>
        <w:t>s,r</w:t>
      </w:r>
      <w:r>
        <w:t xml:space="preserve"> - силы, действующие по плоскости скольжения, соответственно сдвигающие и удерживающие (активные и реактивные);</w:t>
      </w:r>
    </w:p>
    <w:p w:rsidR="00E35632" w:rsidRDefault="00E35632">
      <w:pPr>
        <w:pStyle w:val="ConsPlusNormal"/>
        <w:spacing w:before="220"/>
        <w:ind w:firstLine="540"/>
        <w:jc w:val="both"/>
      </w:pPr>
      <w:r>
        <w:rPr>
          <w:i/>
        </w:rPr>
        <w:t>N</w:t>
      </w:r>
      <w:r>
        <w:t xml:space="preserve"> - сила нормальная к подошве фундамента;</w:t>
      </w:r>
    </w:p>
    <w:p w:rsidR="00E35632" w:rsidRDefault="00E35632">
      <w:pPr>
        <w:pStyle w:val="ConsPlusNormal"/>
        <w:spacing w:before="220"/>
        <w:ind w:firstLine="540"/>
        <w:jc w:val="both"/>
      </w:pPr>
      <w:r>
        <w:rPr>
          <w:i/>
        </w:rPr>
        <w:t>n</w:t>
      </w:r>
      <w:r>
        <w:t xml:space="preserve"> - то же, на единицу длины;</w:t>
      </w:r>
    </w:p>
    <w:p w:rsidR="00E35632" w:rsidRDefault="00E35632">
      <w:pPr>
        <w:pStyle w:val="ConsPlusNormal"/>
        <w:spacing w:before="220"/>
        <w:ind w:firstLine="540"/>
        <w:jc w:val="both"/>
      </w:pPr>
      <w:r>
        <w:rPr>
          <w:i/>
        </w:rPr>
        <w:t>G</w:t>
      </w:r>
      <w:r>
        <w:t xml:space="preserve"> - собственный вес фундамента;</w:t>
      </w:r>
    </w:p>
    <w:p w:rsidR="00E35632" w:rsidRDefault="00E35632">
      <w:pPr>
        <w:pStyle w:val="ConsPlusNormal"/>
        <w:spacing w:before="220"/>
        <w:ind w:firstLine="540"/>
        <w:jc w:val="both"/>
      </w:pPr>
      <w:r>
        <w:rPr>
          <w:i/>
        </w:rPr>
        <w:t>q</w:t>
      </w:r>
      <w:r>
        <w:t xml:space="preserve"> - равномерно распределенная вертикальная пригрузка;</w:t>
      </w:r>
    </w:p>
    <w:p w:rsidR="00E35632" w:rsidRDefault="00E35632">
      <w:pPr>
        <w:pStyle w:val="ConsPlusNormal"/>
        <w:spacing w:before="220"/>
        <w:ind w:firstLine="540"/>
        <w:jc w:val="both"/>
      </w:pPr>
      <w:r>
        <w:rPr>
          <w:i/>
        </w:rPr>
        <w:t>p</w:t>
      </w:r>
      <w:r>
        <w:t xml:space="preserve"> - среднее давление под подошвой фундамента;</w:t>
      </w:r>
    </w:p>
    <w:p w:rsidR="00E35632" w:rsidRDefault="00E35632">
      <w:pPr>
        <w:pStyle w:val="ConsPlusNormal"/>
        <w:spacing w:before="220"/>
        <w:ind w:firstLine="540"/>
        <w:jc w:val="both"/>
      </w:pPr>
      <w:r>
        <w:rPr>
          <w:noProof/>
          <w:position w:val="-1"/>
        </w:rPr>
        <w:drawing>
          <wp:inline distT="0" distB="0" distL="0" distR="0">
            <wp:extent cx="167640" cy="160020"/>
            <wp:effectExtent l="0" t="0" r="0" b="0"/>
            <wp:docPr id="74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167640" cy="160020"/>
                    </a:xfrm>
                    <a:prstGeom prst="rect">
                      <a:avLst/>
                    </a:prstGeom>
                    <a:noFill/>
                    <a:ln>
                      <a:noFill/>
                    </a:ln>
                  </pic:spPr>
                </pic:pic>
              </a:graphicData>
            </a:graphic>
          </wp:inline>
        </w:drawing>
      </w:r>
      <w:r>
        <w:t xml:space="preserve"> - нормальное напряжение;</w:t>
      </w:r>
    </w:p>
    <w:p w:rsidR="00E35632" w:rsidRDefault="00E35632">
      <w:pPr>
        <w:pStyle w:val="ConsPlusNormal"/>
        <w:spacing w:before="220"/>
        <w:ind w:firstLine="540"/>
        <w:jc w:val="both"/>
      </w:pPr>
      <w:r>
        <w:rPr>
          <w:noProof/>
          <w:position w:val="-1"/>
        </w:rPr>
        <w:drawing>
          <wp:inline distT="0" distB="0" distL="0" distR="0">
            <wp:extent cx="142240" cy="160020"/>
            <wp:effectExtent l="0" t="0" r="0" b="0"/>
            <wp:docPr id="75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r>
        <w:t xml:space="preserve"> - касательное напряжение;</w:t>
      </w:r>
    </w:p>
    <w:p w:rsidR="00E35632" w:rsidRDefault="00E35632">
      <w:pPr>
        <w:pStyle w:val="ConsPlusNormal"/>
        <w:spacing w:before="220"/>
        <w:ind w:firstLine="540"/>
        <w:jc w:val="both"/>
      </w:pPr>
      <w:r>
        <w:rPr>
          <w:i/>
        </w:rPr>
        <w:t>u</w:t>
      </w:r>
      <w:r>
        <w:t xml:space="preserve"> - избыточное давление в поровой воде;</w:t>
      </w:r>
    </w:p>
    <w:p w:rsidR="00E35632" w:rsidRDefault="00E35632">
      <w:pPr>
        <w:pStyle w:val="ConsPlusNormal"/>
        <w:spacing w:before="220"/>
        <w:ind w:firstLine="540"/>
        <w:jc w:val="both"/>
      </w:pPr>
      <w:r>
        <w:rPr>
          <w:noProof/>
          <w:position w:val="-8"/>
        </w:rPr>
        <w:drawing>
          <wp:inline distT="0" distB="0" distL="0" distR="0">
            <wp:extent cx="209550" cy="251460"/>
            <wp:effectExtent l="0" t="0" r="0" b="0"/>
            <wp:docPr id="75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209550" cy="251460"/>
                    </a:xfrm>
                    <a:prstGeom prst="rect">
                      <a:avLst/>
                    </a:prstGeom>
                    <a:noFill/>
                    <a:ln>
                      <a:noFill/>
                    </a:ln>
                  </pic:spPr>
                </pic:pic>
              </a:graphicData>
            </a:graphic>
          </wp:inline>
        </w:drawing>
      </w:r>
      <w:r>
        <w:t xml:space="preserve"> - вертикальное нормальное напряжение суммарное;</w:t>
      </w:r>
    </w:p>
    <w:p w:rsidR="00E35632" w:rsidRDefault="00E35632">
      <w:pPr>
        <w:pStyle w:val="ConsPlusNormal"/>
        <w:spacing w:before="220"/>
        <w:ind w:firstLine="540"/>
        <w:jc w:val="both"/>
      </w:pPr>
      <w:r>
        <w:rPr>
          <w:noProof/>
          <w:position w:val="-10"/>
        </w:rPr>
        <w:drawing>
          <wp:inline distT="0" distB="0" distL="0" distR="0">
            <wp:extent cx="267970" cy="267970"/>
            <wp:effectExtent l="0" t="0" r="0" b="0"/>
            <wp:docPr id="75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267970" cy="267970"/>
                    </a:xfrm>
                    <a:prstGeom prst="rect">
                      <a:avLst/>
                    </a:prstGeom>
                    <a:noFill/>
                    <a:ln>
                      <a:noFill/>
                    </a:ln>
                  </pic:spPr>
                </pic:pic>
              </a:graphicData>
            </a:graphic>
          </wp:inline>
        </w:drawing>
      </w:r>
      <w:r>
        <w:t xml:space="preserve"> - то же, от собственного веса грунта;</w:t>
      </w:r>
    </w:p>
    <w:p w:rsidR="00E35632" w:rsidRDefault="00E35632">
      <w:pPr>
        <w:pStyle w:val="ConsPlusNormal"/>
        <w:spacing w:before="220"/>
        <w:ind w:firstLine="540"/>
        <w:jc w:val="both"/>
      </w:pPr>
      <w:r>
        <w:rPr>
          <w:noProof/>
          <w:position w:val="-10"/>
        </w:rPr>
        <w:drawing>
          <wp:inline distT="0" distB="0" distL="0" distR="0">
            <wp:extent cx="251460" cy="267970"/>
            <wp:effectExtent l="0" t="0" r="0" b="0"/>
            <wp:docPr id="75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r>
        <w:t xml:space="preserve"> - то же, от внешней нагрузки (давления фундамента);</w:t>
      </w:r>
    </w:p>
    <w:p w:rsidR="00E35632" w:rsidRDefault="00E35632">
      <w:pPr>
        <w:pStyle w:val="ConsPlusNormal"/>
        <w:spacing w:before="220"/>
        <w:ind w:firstLine="540"/>
        <w:jc w:val="both"/>
      </w:pPr>
      <w:r>
        <w:rPr>
          <w:i/>
        </w:rPr>
        <w:t>R</w:t>
      </w:r>
      <w:r>
        <w:t xml:space="preserve"> - расчетное сопротивление грунта основания;</w:t>
      </w:r>
    </w:p>
    <w:p w:rsidR="00E35632" w:rsidRDefault="00E35632">
      <w:pPr>
        <w:pStyle w:val="ConsPlusNormal"/>
        <w:spacing w:before="220"/>
        <w:ind w:firstLine="540"/>
        <w:jc w:val="both"/>
      </w:pPr>
      <w:r>
        <w:rPr>
          <w:i/>
        </w:rPr>
        <w:t>R</w:t>
      </w:r>
      <w:r>
        <w:rPr>
          <w:vertAlign w:val="subscript"/>
        </w:rPr>
        <w:t>0</w:t>
      </w:r>
      <w:r>
        <w:t xml:space="preserve"> - расчетное сопротивление грунта основания для предварительного назначения размеров фундаментов;</w:t>
      </w:r>
    </w:p>
    <w:p w:rsidR="00E35632" w:rsidRDefault="00E35632">
      <w:pPr>
        <w:pStyle w:val="ConsPlusNormal"/>
        <w:spacing w:before="220"/>
        <w:ind w:firstLine="540"/>
        <w:jc w:val="both"/>
      </w:pPr>
      <w:r>
        <w:rPr>
          <w:i/>
        </w:rPr>
        <w:t>F</w:t>
      </w:r>
      <w:r>
        <w:rPr>
          <w:vertAlign w:val="subscript"/>
        </w:rPr>
        <w:t>и</w:t>
      </w:r>
      <w:r>
        <w:t xml:space="preserve"> - сила предельного сопротивления основания, соответствующая исчерпанию его несущей способности.</w:t>
      </w:r>
    </w:p>
    <w:p w:rsidR="00E35632" w:rsidRDefault="00E35632">
      <w:pPr>
        <w:pStyle w:val="ConsPlusNormal"/>
        <w:jc w:val="both"/>
      </w:pPr>
    </w:p>
    <w:p w:rsidR="00E35632" w:rsidRDefault="00E35632">
      <w:pPr>
        <w:pStyle w:val="ConsPlusNormal"/>
        <w:ind w:firstLine="540"/>
        <w:jc w:val="both"/>
      </w:pPr>
      <w:r>
        <w:rPr>
          <w:b/>
        </w:rPr>
        <w:t>Деформации оснований и сооружений</w:t>
      </w:r>
    </w:p>
    <w:p w:rsidR="00E35632" w:rsidRDefault="00E35632">
      <w:pPr>
        <w:pStyle w:val="ConsPlusNormal"/>
        <w:jc w:val="both"/>
      </w:pPr>
    </w:p>
    <w:p w:rsidR="00E35632" w:rsidRDefault="00E35632">
      <w:pPr>
        <w:pStyle w:val="ConsPlusNormal"/>
        <w:ind w:firstLine="540"/>
        <w:jc w:val="both"/>
      </w:pPr>
      <w:r>
        <w:rPr>
          <w:noProof/>
          <w:position w:val="-2"/>
        </w:rPr>
        <w:drawing>
          <wp:inline distT="0" distB="0" distL="0" distR="0">
            <wp:extent cx="142240" cy="175895"/>
            <wp:effectExtent l="0" t="0" r="0" b="0"/>
            <wp:docPr id="75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142240" cy="175895"/>
                    </a:xfrm>
                    <a:prstGeom prst="rect">
                      <a:avLst/>
                    </a:prstGeom>
                    <a:noFill/>
                    <a:ln>
                      <a:noFill/>
                    </a:ln>
                  </pic:spPr>
                </pic:pic>
              </a:graphicData>
            </a:graphic>
          </wp:inline>
        </w:drawing>
      </w:r>
      <w:r>
        <w:t xml:space="preserve"> - средняя осадка основания фундамента;</w:t>
      </w:r>
    </w:p>
    <w:p w:rsidR="00E35632" w:rsidRDefault="00E35632">
      <w:pPr>
        <w:pStyle w:val="ConsPlusNormal"/>
        <w:spacing w:before="220"/>
        <w:ind w:firstLine="540"/>
        <w:jc w:val="both"/>
      </w:pPr>
      <w:r>
        <w:rPr>
          <w:i/>
        </w:rPr>
        <w:t>s</w:t>
      </w:r>
      <w:r>
        <w:rPr>
          <w:i/>
          <w:vertAlign w:val="subscript"/>
        </w:rPr>
        <w:t>sl</w:t>
      </w:r>
      <w:r>
        <w:t xml:space="preserve"> - просадка основания;</w:t>
      </w:r>
    </w:p>
    <w:p w:rsidR="00E35632" w:rsidRDefault="00E35632">
      <w:pPr>
        <w:pStyle w:val="ConsPlusNormal"/>
        <w:spacing w:before="220"/>
        <w:ind w:firstLine="540"/>
        <w:jc w:val="both"/>
      </w:pPr>
      <w:r>
        <w:rPr>
          <w:i/>
        </w:rPr>
        <w:t>h</w:t>
      </w:r>
      <w:r>
        <w:rPr>
          <w:i/>
          <w:vertAlign w:val="subscript"/>
        </w:rPr>
        <w:t>sw</w:t>
      </w:r>
      <w:r>
        <w:t xml:space="preserve"> - подъем основания при набухании грунта;</w:t>
      </w:r>
    </w:p>
    <w:p w:rsidR="00E35632" w:rsidRDefault="00E35632">
      <w:pPr>
        <w:pStyle w:val="ConsPlusNormal"/>
        <w:spacing w:before="220"/>
        <w:ind w:firstLine="540"/>
        <w:jc w:val="both"/>
      </w:pPr>
      <w:r>
        <w:rPr>
          <w:i/>
        </w:rPr>
        <w:t>s</w:t>
      </w:r>
      <w:r>
        <w:rPr>
          <w:i/>
          <w:vertAlign w:val="subscript"/>
        </w:rPr>
        <w:t>sh</w:t>
      </w:r>
      <w:r>
        <w:t xml:space="preserve"> - осадка основания в результате высыхания набухшего грунта;</w:t>
      </w:r>
    </w:p>
    <w:p w:rsidR="00E35632" w:rsidRDefault="00E35632">
      <w:pPr>
        <w:pStyle w:val="ConsPlusNormal"/>
        <w:spacing w:before="220"/>
        <w:ind w:firstLine="540"/>
        <w:jc w:val="both"/>
      </w:pPr>
      <w:r>
        <w:rPr>
          <w:i/>
        </w:rPr>
        <w:t>s</w:t>
      </w:r>
      <w:r>
        <w:rPr>
          <w:i/>
          <w:vertAlign w:val="subscript"/>
        </w:rPr>
        <w:t>sf</w:t>
      </w:r>
      <w:r>
        <w:t xml:space="preserve"> - суффозионная осадка;</w:t>
      </w:r>
    </w:p>
    <w:p w:rsidR="00E35632" w:rsidRDefault="00E35632">
      <w:pPr>
        <w:pStyle w:val="ConsPlusNormal"/>
        <w:spacing w:before="220"/>
        <w:ind w:firstLine="540"/>
        <w:jc w:val="both"/>
      </w:pPr>
      <w:r>
        <w:rPr>
          <w:noProof/>
          <w:position w:val="-4"/>
        </w:rPr>
        <w:drawing>
          <wp:inline distT="0" distB="0" distL="0" distR="0">
            <wp:extent cx="219075" cy="200660"/>
            <wp:effectExtent l="0" t="0" r="0" b="0"/>
            <wp:docPr id="75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219075" cy="200660"/>
                    </a:xfrm>
                    <a:prstGeom prst="rect">
                      <a:avLst/>
                    </a:prstGeom>
                    <a:noFill/>
                    <a:ln>
                      <a:noFill/>
                    </a:ln>
                  </pic:spPr>
                </pic:pic>
              </a:graphicData>
            </a:graphic>
          </wp:inline>
        </w:drawing>
      </w:r>
      <w:r>
        <w:t xml:space="preserve"> - разность осадок (просадок) фундаментов;</w:t>
      </w:r>
    </w:p>
    <w:p w:rsidR="00E35632" w:rsidRDefault="00E35632">
      <w:pPr>
        <w:pStyle w:val="ConsPlusNormal"/>
        <w:spacing w:before="220"/>
        <w:ind w:firstLine="540"/>
        <w:jc w:val="both"/>
      </w:pPr>
      <w:r>
        <w:rPr>
          <w:i/>
        </w:rPr>
        <w:t>i</w:t>
      </w:r>
      <w:r>
        <w:t xml:space="preserve"> - крен фундамента (сооружения);</w:t>
      </w:r>
    </w:p>
    <w:p w:rsidR="00E35632" w:rsidRDefault="00E35632">
      <w:pPr>
        <w:pStyle w:val="ConsPlusNormal"/>
        <w:spacing w:before="220"/>
        <w:ind w:firstLine="540"/>
        <w:jc w:val="both"/>
      </w:pPr>
      <w:r>
        <w:rPr>
          <w:noProof/>
          <w:position w:val="-1"/>
        </w:rPr>
        <w:drawing>
          <wp:inline distT="0" distB="0" distL="0" distR="0">
            <wp:extent cx="142240" cy="160020"/>
            <wp:effectExtent l="0" t="0" r="0" b="0"/>
            <wp:docPr id="75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r>
        <w:t xml:space="preserve"> - относительный угол закручивания;</w:t>
      </w:r>
    </w:p>
    <w:p w:rsidR="00E35632" w:rsidRDefault="00E35632">
      <w:pPr>
        <w:pStyle w:val="ConsPlusNormal"/>
        <w:spacing w:before="220"/>
        <w:ind w:firstLine="540"/>
        <w:jc w:val="both"/>
      </w:pPr>
      <w:r>
        <w:rPr>
          <w:i/>
        </w:rPr>
        <w:t>u</w:t>
      </w:r>
      <w:r>
        <w:rPr>
          <w:i/>
          <w:vertAlign w:val="subscript"/>
        </w:rPr>
        <w:t>h</w:t>
      </w:r>
      <w:r>
        <w:t xml:space="preserve"> - горизонтальное перемещение;</w:t>
      </w:r>
    </w:p>
    <w:p w:rsidR="00E35632" w:rsidRDefault="00E35632">
      <w:pPr>
        <w:pStyle w:val="ConsPlusNormal"/>
        <w:spacing w:before="220"/>
        <w:ind w:firstLine="540"/>
        <w:jc w:val="both"/>
      </w:pPr>
      <w:r>
        <w:rPr>
          <w:i/>
        </w:rPr>
        <w:t>s</w:t>
      </w:r>
      <w:r>
        <w:rPr>
          <w:i/>
          <w:vertAlign w:val="subscript"/>
        </w:rPr>
        <w:t>u</w:t>
      </w:r>
      <w:r>
        <w:t xml:space="preserve"> - предельное значение деформации основания фундаментов;</w:t>
      </w:r>
    </w:p>
    <w:p w:rsidR="00E35632" w:rsidRDefault="00E35632">
      <w:pPr>
        <w:pStyle w:val="ConsPlusNormal"/>
        <w:spacing w:before="220"/>
        <w:ind w:firstLine="540"/>
        <w:jc w:val="both"/>
      </w:pPr>
      <w:r>
        <w:rPr>
          <w:i/>
        </w:rPr>
        <w:t>s</w:t>
      </w:r>
      <w:r>
        <w:rPr>
          <w:i/>
          <w:vertAlign w:val="subscript"/>
        </w:rPr>
        <w:t>u,s</w:t>
      </w:r>
      <w:r>
        <w:t xml:space="preserve"> - то же, по технологическим требованиям;</w:t>
      </w:r>
    </w:p>
    <w:p w:rsidR="00E35632" w:rsidRDefault="00E35632">
      <w:pPr>
        <w:pStyle w:val="ConsPlusNormal"/>
        <w:spacing w:before="220"/>
        <w:ind w:firstLine="540"/>
        <w:jc w:val="both"/>
      </w:pPr>
      <w:r>
        <w:rPr>
          <w:i/>
        </w:rPr>
        <w:t>s</w:t>
      </w:r>
      <w:r>
        <w:rPr>
          <w:i/>
          <w:vertAlign w:val="subscript"/>
        </w:rPr>
        <w:t>u,f</w:t>
      </w:r>
      <w:r>
        <w:t xml:space="preserve"> - то же, по условиям прочности, устойчивости и трещиностойкости конструкций.</w:t>
      </w:r>
    </w:p>
    <w:p w:rsidR="00E35632" w:rsidRDefault="00E35632">
      <w:pPr>
        <w:pStyle w:val="ConsPlusNormal"/>
        <w:jc w:val="both"/>
      </w:pPr>
    </w:p>
    <w:p w:rsidR="00E35632" w:rsidRDefault="00E35632">
      <w:pPr>
        <w:pStyle w:val="ConsPlusNormal"/>
        <w:ind w:firstLine="540"/>
        <w:jc w:val="both"/>
      </w:pPr>
      <w:r>
        <w:rPr>
          <w:b/>
        </w:rPr>
        <w:t>Геометрические характеристики</w:t>
      </w:r>
    </w:p>
    <w:p w:rsidR="00E35632" w:rsidRDefault="00E35632">
      <w:pPr>
        <w:pStyle w:val="ConsPlusNormal"/>
        <w:jc w:val="both"/>
      </w:pPr>
    </w:p>
    <w:p w:rsidR="00E35632" w:rsidRDefault="00E35632">
      <w:pPr>
        <w:pStyle w:val="ConsPlusNormal"/>
        <w:ind w:firstLine="540"/>
        <w:jc w:val="both"/>
      </w:pPr>
      <w:r>
        <w:rPr>
          <w:i/>
        </w:rPr>
        <w:t>b</w:t>
      </w:r>
      <w:r>
        <w:t xml:space="preserve"> - ширина подошвы фундамента;</w:t>
      </w:r>
    </w:p>
    <w:p w:rsidR="00E35632" w:rsidRDefault="00E35632">
      <w:pPr>
        <w:pStyle w:val="ConsPlusNormal"/>
        <w:spacing w:before="220"/>
        <w:ind w:firstLine="540"/>
        <w:jc w:val="both"/>
      </w:pPr>
      <w:r>
        <w:rPr>
          <w:i/>
        </w:rPr>
        <w:t>B</w:t>
      </w:r>
      <w:r>
        <w:t xml:space="preserve"> - ширина подвала;</w:t>
      </w:r>
    </w:p>
    <w:p w:rsidR="00E35632" w:rsidRDefault="00E35632">
      <w:pPr>
        <w:pStyle w:val="ConsPlusNormal"/>
        <w:spacing w:before="220"/>
        <w:ind w:firstLine="540"/>
        <w:jc w:val="both"/>
      </w:pPr>
      <w:r>
        <w:rPr>
          <w:i/>
        </w:rPr>
        <w:t>B</w:t>
      </w:r>
      <w:r>
        <w:rPr>
          <w:i/>
          <w:vertAlign w:val="subscript"/>
        </w:rPr>
        <w:t>w</w:t>
      </w:r>
      <w:r>
        <w:t xml:space="preserve"> - ширина источника замачивания (замачиваемой площади);</w:t>
      </w:r>
    </w:p>
    <w:p w:rsidR="00E35632" w:rsidRDefault="00E35632">
      <w:pPr>
        <w:pStyle w:val="ConsPlusNormal"/>
        <w:spacing w:before="220"/>
        <w:ind w:firstLine="540"/>
        <w:jc w:val="both"/>
      </w:pPr>
      <w:r>
        <w:rPr>
          <w:i/>
        </w:rPr>
        <w:t>l</w:t>
      </w:r>
      <w:r>
        <w:t xml:space="preserve"> - длина подошвы фундамента;</w:t>
      </w:r>
    </w:p>
    <w:p w:rsidR="00E35632" w:rsidRDefault="00E35632">
      <w:pPr>
        <w:pStyle w:val="ConsPlusNormal"/>
        <w:spacing w:before="220"/>
        <w:ind w:firstLine="540"/>
        <w:jc w:val="both"/>
      </w:pPr>
      <w:r>
        <w:rPr>
          <w:noProof/>
          <w:position w:val="-6"/>
        </w:rPr>
        <w:drawing>
          <wp:inline distT="0" distB="0" distL="0" distR="0">
            <wp:extent cx="544830" cy="219075"/>
            <wp:effectExtent l="0" t="0" r="0" b="0"/>
            <wp:docPr id="75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544830" cy="219075"/>
                    </a:xfrm>
                    <a:prstGeom prst="rect">
                      <a:avLst/>
                    </a:prstGeom>
                    <a:noFill/>
                    <a:ln>
                      <a:noFill/>
                    </a:ln>
                  </pic:spPr>
                </pic:pic>
              </a:graphicData>
            </a:graphic>
          </wp:inline>
        </w:drawing>
      </w:r>
      <w:r>
        <w:t xml:space="preserve"> - соотношение сторон подошвы фундамента;</w:t>
      </w:r>
    </w:p>
    <w:p w:rsidR="00E35632" w:rsidRDefault="00E35632">
      <w:pPr>
        <w:pStyle w:val="ConsPlusNormal"/>
        <w:spacing w:before="220"/>
        <w:ind w:firstLine="540"/>
        <w:jc w:val="both"/>
      </w:pPr>
      <w:r>
        <w:rPr>
          <w:i/>
        </w:rPr>
        <w:t>A</w:t>
      </w:r>
      <w:r>
        <w:t xml:space="preserve"> - площадь подошвы фундамента;</w:t>
      </w:r>
    </w:p>
    <w:p w:rsidR="00E35632" w:rsidRDefault="00E35632">
      <w:pPr>
        <w:pStyle w:val="ConsPlusNormal"/>
        <w:spacing w:before="220"/>
        <w:ind w:firstLine="540"/>
        <w:jc w:val="both"/>
      </w:pPr>
      <w:r>
        <w:rPr>
          <w:i/>
        </w:rPr>
        <w:t>L</w:t>
      </w:r>
      <w:r>
        <w:t xml:space="preserve"> - длина здания;</w:t>
      </w:r>
    </w:p>
    <w:p w:rsidR="00E35632" w:rsidRDefault="00E35632">
      <w:pPr>
        <w:pStyle w:val="ConsPlusNormal"/>
        <w:spacing w:before="220"/>
        <w:ind w:firstLine="540"/>
        <w:jc w:val="both"/>
      </w:pPr>
      <w:r>
        <w:rPr>
          <w:i/>
        </w:rPr>
        <w:t>d</w:t>
      </w:r>
      <w:r>
        <w:t xml:space="preserve">, </w:t>
      </w:r>
      <w:r>
        <w:rPr>
          <w:i/>
        </w:rPr>
        <w:t>d</w:t>
      </w:r>
      <w:r>
        <w:rPr>
          <w:i/>
          <w:vertAlign w:val="subscript"/>
        </w:rPr>
        <w:t>n</w:t>
      </w:r>
      <w:r>
        <w:t xml:space="preserve">, </w:t>
      </w:r>
      <w:r>
        <w:rPr>
          <w:i/>
        </w:rPr>
        <w:t>d</w:t>
      </w:r>
      <w:r>
        <w:rPr>
          <w:vertAlign w:val="subscript"/>
        </w:rPr>
        <w:t>1</w:t>
      </w:r>
      <w:r>
        <w:t xml:space="preserve"> - глубина заложения фундамента соответственно от уровня планировки, от поверхности природного рельефа и приведенная от пола подвала;</w:t>
      </w:r>
    </w:p>
    <w:p w:rsidR="00E35632" w:rsidRDefault="00E35632">
      <w:pPr>
        <w:pStyle w:val="ConsPlusNormal"/>
        <w:spacing w:before="220"/>
        <w:ind w:firstLine="540"/>
        <w:jc w:val="both"/>
      </w:pPr>
      <w:r>
        <w:rPr>
          <w:i/>
        </w:rPr>
        <w:t>d</w:t>
      </w:r>
      <w:r>
        <w:rPr>
          <w:i/>
          <w:vertAlign w:val="subscript"/>
        </w:rPr>
        <w:t>b</w:t>
      </w:r>
      <w:r>
        <w:t xml:space="preserve"> - глубина подвала от уровня планировки;</w:t>
      </w:r>
    </w:p>
    <w:p w:rsidR="00E35632" w:rsidRDefault="00E35632">
      <w:pPr>
        <w:pStyle w:val="ConsPlusNormal"/>
        <w:spacing w:before="220"/>
        <w:ind w:firstLine="540"/>
        <w:jc w:val="both"/>
      </w:pPr>
      <w:r>
        <w:rPr>
          <w:i/>
        </w:rPr>
        <w:t>d</w:t>
      </w:r>
      <w:r>
        <w:rPr>
          <w:i/>
          <w:vertAlign w:val="subscript"/>
        </w:rPr>
        <w:t>f</w:t>
      </w:r>
      <w:r>
        <w:t xml:space="preserve">, </w:t>
      </w:r>
      <w:r>
        <w:rPr>
          <w:i/>
        </w:rPr>
        <w:t>d</w:t>
      </w:r>
      <w:r>
        <w:rPr>
          <w:i/>
          <w:vertAlign w:val="subscript"/>
        </w:rPr>
        <w:t>fn</w:t>
      </w:r>
      <w:r>
        <w:t xml:space="preserve"> - глубина сезонного промерзания грунта соответственно расчетная и нормативная;</w:t>
      </w:r>
    </w:p>
    <w:p w:rsidR="00E35632" w:rsidRDefault="00E35632">
      <w:pPr>
        <w:pStyle w:val="ConsPlusNormal"/>
        <w:spacing w:before="220"/>
        <w:ind w:firstLine="540"/>
        <w:jc w:val="both"/>
      </w:pPr>
      <w:r>
        <w:rPr>
          <w:i/>
        </w:rPr>
        <w:t>d</w:t>
      </w:r>
      <w:r>
        <w:rPr>
          <w:i/>
          <w:vertAlign w:val="subscript"/>
        </w:rPr>
        <w:t>w</w:t>
      </w:r>
      <w:r>
        <w:t xml:space="preserve"> - глубина расположения уровня подземных вод;</w:t>
      </w:r>
    </w:p>
    <w:p w:rsidR="00E35632" w:rsidRDefault="00E35632">
      <w:pPr>
        <w:pStyle w:val="ConsPlusNormal"/>
        <w:spacing w:before="220"/>
        <w:ind w:firstLine="540"/>
        <w:jc w:val="both"/>
      </w:pPr>
      <w:r>
        <w:rPr>
          <w:noProof/>
          <w:position w:val="-4"/>
        </w:rPr>
        <w:drawing>
          <wp:inline distT="0" distB="0" distL="0" distR="0">
            <wp:extent cx="593725" cy="200660"/>
            <wp:effectExtent l="0" t="0" r="0" b="0"/>
            <wp:docPr id="75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593725" cy="200660"/>
                    </a:xfrm>
                    <a:prstGeom prst="rect">
                      <a:avLst/>
                    </a:prstGeom>
                    <a:noFill/>
                    <a:ln>
                      <a:noFill/>
                    </a:ln>
                  </pic:spPr>
                </pic:pic>
              </a:graphicData>
            </a:graphic>
          </wp:inline>
        </w:drawing>
      </w:r>
      <w:r>
        <w:t xml:space="preserve"> - относительное заглубление фундамента;</w:t>
      </w:r>
    </w:p>
    <w:p w:rsidR="00E35632" w:rsidRDefault="00E35632">
      <w:pPr>
        <w:pStyle w:val="ConsPlusNormal"/>
        <w:spacing w:before="220"/>
        <w:ind w:firstLine="540"/>
        <w:jc w:val="both"/>
      </w:pPr>
      <w:r>
        <w:rPr>
          <w:i/>
        </w:rPr>
        <w:t>h</w:t>
      </w:r>
      <w:r>
        <w:t xml:space="preserve"> - толщина слоя грунта;</w:t>
      </w:r>
    </w:p>
    <w:p w:rsidR="00E35632" w:rsidRDefault="00E35632">
      <w:pPr>
        <w:pStyle w:val="ConsPlusNormal"/>
        <w:spacing w:before="220"/>
        <w:ind w:firstLine="540"/>
        <w:jc w:val="both"/>
      </w:pPr>
      <w:r>
        <w:rPr>
          <w:i/>
        </w:rPr>
        <w:t>H</w:t>
      </w:r>
      <w:r>
        <w:rPr>
          <w:i/>
          <w:vertAlign w:val="subscript"/>
        </w:rPr>
        <w:t>c</w:t>
      </w:r>
      <w:r>
        <w:t xml:space="preserve"> - глубина сжимаемой толщи;</w:t>
      </w:r>
    </w:p>
    <w:p w:rsidR="00E35632" w:rsidRDefault="00E35632">
      <w:pPr>
        <w:pStyle w:val="ConsPlusNormal"/>
        <w:spacing w:before="220"/>
        <w:ind w:firstLine="540"/>
        <w:jc w:val="both"/>
      </w:pPr>
      <w:r>
        <w:rPr>
          <w:i/>
        </w:rPr>
        <w:t>H</w:t>
      </w:r>
      <w:r>
        <w:rPr>
          <w:i/>
          <w:vertAlign w:val="subscript"/>
        </w:rPr>
        <w:t>sl</w:t>
      </w:r>
      <w:r>
        <w:t xml:space="preserve"> - толщина слоя просадочных грунтов (просадочная толща);</w:t>
      </w:r>
    </w:p>
    <w:p w:rsidR="00E35632" w:rsidRDefault="00E35632">
      <w:pPr>
        <w:pStyle w:val="ConsPlusNormal"/>
        <w:spacing w:before="220"/>
        <w:ind w:firstLine="540"/>
        <w:jc w:val="both"/>
      </w:pPr>
      <w:r>
        <w:rPr>
          <w:i/>
        </w:rPr>
        <w:t>h</w:t>
      </w:r>
      <w:r>
        <w:rPr>
          <w:i/>
          <w:vertAlign w:val="subscript"/>
        </w:rPr>
        <w:t>sl</w:t>
      </w:r>
      <w:r>
        <w:t xml:space="preserve"> - толщина зоны просадки;</w:t>
      </w:r>
    </w:p>
    <w:p w:rsidR="00E35632" w:rsidRDefault="00E35632">
      <w:pPr>
        <w:pStyle w:val="ConsPlusNormal"/>
        <w:spacing w:before="220"/>
        <w:ind w:firstLine="540"/>
        <w:jc w:val="both"/>
      </w:pPr>
      <w:r>
        <w:rPr>
          <w:i/>
        </w:rPr>
        <w:t>h</w:t>
      </w:r>
      <w:r>
        <w:rPr>
          <w:i/>
          <w:vertAlign w:val="subscript"/>
        </w:rPr>
        <w:t>sl,p</w:t>
      </w:r>
      <w:r>
        <w:t xml:space="preserve"> - то же, от внешней нагрузки;</w:t>
      </w:r>
    </w:p>
    <w:p w:rsidR="00E35632" w:rsidRDefault="00E35632">
      <w:pPr>
        <w:pStyle w:val="ConsPlusNormal"/>
        <w:spacing w:before="220"/>
        <w:ind w:firstLine="540"/>
        <w:jc w:val="both"/>
      </w:pPr>
      <w:r>
        <w:rPr>
          <w:i/>
        </w:rPr>
        <w:t>h</w:t>
      </w:r>
      <w:r>
        <w:rPr>
          <w:i/>
          <w:vertAlign w:val="subscript"/>
        </w:rPr>
        <w:t>sl,g</w:t>
      </w:r>
      <w:r>
        <w:t xml:space="preserve"> - то же, от собственного веса грунта;</w:t>
      </w:r>
    </w:p>
    <w:p w:rsidR="00E35632" w:rsidRDefault="00E35632">
      <w:pPr>
        <w:pStyle w:val="ConsPlusNormal"/>
        <w:spacing w:before="220"/>
        <w:ind w:firstLine="540"/>
        <w:jc w:val="both"/>
      </w:pPr>
      <w:r>
        <w:rPr>
          <w:i/>
        </w:rPr>
        <w:t>H</w:t>
      </w:r>
      <w:r>
        <w:rPr>
          <w:i/>
          <w:vertAlign w:val="subscript"/>
        </w:rPr>
        <w:t>sw</w:t>
      </w:r>
      <w:r>
        <w:t xml:space="preserve"> - толщина зоны набухания;</w:t>
      </w:r>
    </w:p>
    <w:p w:rsidR="00E35632" w:rsidRDefault="00E35632">
      <w:pPr>
        <w:pStyle w:val="ConsPlusNormal"/>
        <w:spacing w:before="220"/>
        <w:ind w:firstLine="540"/>
        <w:jc w:val="both"/>
      </w:pPr>
      <w:r>
        <w:rPr>
          <w:i/>
        </w:rPr>
        <w:t>H</w:t>
      </w:r>
      <w:r>
        <w:rPr>
          <w:i/>
          <w:vertAlign w:val="subscript"/>
        </w:rPr>
        <w:t>sh</w:t>
      </w:r>
      <w:r>
        <w:t xml:space="preserve"> - то же, усадки;</w:t>
      </w:r>
    </w:p>
    <w:p w:rsidR="00E35632" w:rsidRDefault="00E35632">
      <w:pPr>
        <w:pStyle w:val="ConsPlusNormal"/>
        <w:spacing w:before="220"/>
        <w:ind w:firstLine="540"/>
        <w:jc w:val="both"/>
      </w:pPr>
      <w:r>
        <w:rPr>
          <w:i/>
        </w:rPr>
        <w:t>H</w:t>
      </w:r>
      <w:r>
        <w:rPr>
          <w:i/>
          <w:vertAlign w:val="subscript"/>
        </w:rPr>
        <w:t>l</w:t>
      </w:r>
      <w:r>
        <w:t xml:space="preserve"> - толщина выщелачиваемой зоны;</w:t>
      </w:r>
    </w:p>
    <w:p w:rsidR="00E35632" w:rsidRDefault="00E35632">
      <w:pPr>
        <w:pStyle w:val="ConsPlusNormal"/>
        <w:spacing w:before="220"/>
        <w:ind w:firstLine="540"/>
        <w:jc w:val="both"/>
      </w:pPr>
      <w:r>
        <w:rPr>
          <w:i/>
        </w:rPr>
        <w:t>z</w:t>
      </w:r>
      <w:r>
        <w:t xml:space="preserve"> - глубина (расстояние) от подошвы фундамента;</w:t>
      </w:r>
    </w:p>
    <w:p w:rsidR="00E35632" w:rsidRDefault="00E35632">
      <w:pPr>
        <w:pStyle w:val="ConsPlusNormal"/>
        <w:spacing w:before="220"/>
        <w:ind w:firstLine="540"/>
        <w:jc w:val="both"/>
      </w:pPr>
      <w:r>
        <w:rPr>
          <w:noProof/>
          <w:position w:val="-6"/>
        </w:rPr>
        <w:drawing>
          <wp:inline distT="0" distB="0" distL="0" distR="0">
            <wp:extent cx="684530" cy="219075"/>
            <wp:effectExtent l="0" t="0" r="0" b="0"/>
            <wp:docPr id="75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684530" cy="219075"/>
                    </a:xfrm>
                    <a:prstGeom prst="rect">
                      <a:avLst/>
                    </a:prstGeom>
                    <a:noFill/>
                    <a:ln>
                      <a:noFill/>
                    </a:ln>
                  </pic:spPr>
                </pic:pic>
              </a:graphicData>
            </a:graphic>
          </wp:inline>
        </w:drawing>
      </w:r>
      <w:r>
        <w:t xml:space="preserve"> - относительная глубина;</w:t>
      </w:r>
    </w:p>
    <w:p w:rsidR="00E35632" w:rsidRDefault="00E35632">
      <w:pPr>
        <w:pStyle w:val="ConsPlusNormal"/>
        <w:spacing w:before="220"/>
        <w:ind w:firstLine="540"/>
        <w:jc w:val="both"/>
      </w:pPr>
      <w:r>
        <w:rPr>
          <w:i/>
        </w:rPr>
        <w:t>DL</w:t>
      </w:r>
      <w:r>
        <w:t xml:space="preserve"> - отметка планировки;</w:t>
      </w:r>
    </w:p>
    <w:p w:rsidR="00E35632" w:rsidRDefault="00E35632">
      <w:pPr>
        <w:pStyle w:val="ConsPlusNormal"/>
        <w:spacing w:before="220"/>
        <w:ind w:firstLine="540"/>
        <w:jc w:val="both"/>
      </w:pPr>
      <w:r>
        <w:rPr>
          <w:i/>
        </w:rPr>
        <w:t>NL</w:t>
      </w:r>
      <w:r>
        <w:t xml:space="preserve"> - отметка поверхности природного рельефа;</w:t>
      </w:r>
    </w:p>
    <w:p w:rsidR="00E35632" w:rsidRDefault="00E35632">
      <w:pPr>
        <w:pStyle w:val="ConsPlusNormal"/>
        <w:spacing w:before="220"/>
        <w:ind w:firstLine="540"/>
        <w:jc w:val="both"/>
      </w:pPr>
      <w:r>
        <w:rPr>
          <w:i/>
        </w:rPr>
        <w:t>FL</w:t>
      </w:r>
      <w:r>
        <w:t xml:space="preserve"> - отметка подошвы фундамента;</w:t>
      </w:r>
    </w:p>
    <w:p w:rsidR="00E35632" w:rsidRDefault="00E35632">
      <w:pPr>
        <w:pStyle w:val="ConsPlusNormal"/>
        <w:spacing w:before="220"/>
        <w:ind w:firstLine="540"/>
        <w:jc w:val="both"/>
      </w:pPr>
      <w:r>
        <w:rPr>
          <w:i/>
        </w:rPr>
        <w:t>B.C</w:t>
      </w:r>
      <w:r>
        <w:t xml:space="preserve"> - нижняя граница сжимаемой толщи;</w:t>
      </w:r>
    </w:p>
    <w:p w:rsidR="00E35632" w:rsidRDefault="00E35632">
      <w:pPr>
        <w:pStyle w:val="ConsPlusNormal"/>
        <w:spacing w:before="220"/>
        <w:ind w:firstLine="540"/>
        <w:jc w:val="both"/>
      </w:pPr>
      <w:r>
        <w:rPr>
          <w:i/>
        </w:rPr>
        <w:t>B.SL</w:t>
      </w:r>
      <w:r>
        <w:t xml:space="preserve"> - то же, просадочной толщи;</w:t>
      </w:r>
    </w:p>
    <w:p w:rsidR="00E35632" w:rsidRDefault="00E35632">
      <w:pPr>
        <w:pStyle w:val="ConsPlusNormal"/>
        <w:spacing w:before="220"/>
        <w:ind w:firstLine="540"/>
        <w:jc w:val="both"/>
      </w:pPr>
      <w:r>
        <w:rPr>
          <w:i/>
        </w:rPr>
        <w:t>B.SW</w:t>
      </w:r>
      <w:r>
        <w:t xml:space="preserve"> - нижняя граница зоны набухания;</w:t>
      </w:r>
    </w:p>
    <w:p w:rsidR="00E35632" w:rsidRDefault="00E35632">
      <w:pPr>
        <w:pStyle w:val="ConsPlusNormal"/>
        <w:spacing w:before="220"/>
        <w:ind w:firstLine="540"/>
        <w:jc w:val="both"/>
      </w:pPr>
      <w:r>
        <w:rPr>
          <w:i/>
        </w:rPr>
        <w:t>B.SH</w:t>
      </w:r>
      <w:r>
        <w:t xml:space="preserve"> - то же, зоны усадки;</w:t>
      </w:r>
    </w:p>
    <w:p w:rsidR="00E35632" w:rsidRDefault="00E35632">
      <w:pPr>
        <w:pStyle w:val="ConsPlusNormal"/>
        <w:spacing w:before="220"/>
        <w:ind w:firstLine="540"/>
        <w:jc w:val="both"/>
      </w:pPr>
      <w:r>
        <w:rPr>
          <w:i/>
        </w:rPr>
        <w:t>WL</w:t>
      </w:r>
      <w:r>
        <w:t xml:space="preserve"> - уровень подземных вод.</w:t>
      </w: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right"/>
        <w:outlineLvl w:val="0"/>
      </w:pPr>
      <w:r>
        <w:rPr>
          <w:b/>
        </w:rPr>
        <w:t>Приложение Н</w:t>
      </w:r>
    </w:p>
    <w:p w:rsidR="00E35632" w:rsidRDefault="00E35632">
      <w:pPr>
        <w:pStyle w:val="ConsPlusNormal"/>
        <w:jc w:val="both"/>
      </w:pPr>
    </w:p>
    <w:p w:rsidR="00E35632" w:rsidRDefault="00E35632">
      <w:pPr>
        <w:pStyle w:val="ConsPlusTitle"/>
        <w:jc w:val="center"/>
      </w:pPr>
      <w:bookmarkStart w:id="340" w:name="P7977"/>
      <w:bookmarkEnd w:id="340"/>
      <w:r>
        <w:t>МЕТОДИКА ОПРЕДЕЛЕНИЯ ЭКВИВАЛЕНТНОЙ ЖЕСТКОСТИ КАРКАСА ЗДАНИЯ</w:t>
      </w:r>
    </w:p>
    <w:p w:rsidR="00E35632" w:rsidRDefault="00E35632">
      <w:pPr>
        <w:pStyle w:val="ConsPlusNormal"/>
        <w:jc w:val="center"/>
      </w:pPr>
      <w:r>
        <w:t xml:space="preserve">(приложение Н введено </w:t>
      </w:r>
      <w:hyperlink r:id="rId1052">
        <w:r>
          <w:rPr>
            <w:color w:val="0000FF"/>
          </w:rPr>
          <w:t>Изменением N 1</w:t>
        </w:r>
      </w:hyperlink>
      <w:r>
        <w:t>, утв. Приказом</w:t>
      </w:r>
    </w:p>
    <w:p w:rsidR="00E35632" w:rsidRDefault="00E35632">
      <w:pPr>
        <w:pStyle w:val="ConsPlusNormal"/>
        <w:jc w:val="center"/>
      </w:pPr>
      <w:r>
        <w:t>Минстроя России от 20.11.2018 N 736/пр)</w:t>
      </w:r>
    </w:p>
    <w:p w:rsidR="00E35632" w:rsidRDefault="00E35632">
      <w:pPr>
        <w:pStyle w:val="ConsPlusNormal"/>
        <w:jc w:val="both"/>
      </w:pPr>
    </w:p>
    <w:p w:rsidR="00E35632" w:rsidRDefault="00E35632">
      <w:pPr>
        <w:pStyle w:val="ConsPlusNormal"/>
        <w:ind w:firstLine="540"/>
        <w:jc w:val="both"/>
      </w:pPr>
      <w:r>
        <w:t>Н.1 Для выполнения совместных расчетов системы "основание-фундамент-сооружение" для зданий с полным каркасом геотехнической категории 1, предварительных расчетов для зданий геотехнических категорий 2 и 3, на стадии разработки концептуальных предложений, а также при выполнении расчетов по оценке влияния допускается моделирование каркаса сооружения с использованием упрощенных расчетных схем.</w:t>
      </w:r>
    </w:p>
    <w:p w:rsidR="00E35632" w:rsidRDefault="00E35632">
      <w:pPr>
        <w:pStyle w:val="ConsPlusNormal"/>
        <w:spacing w:before="220"/>
        <w:ind w:firstLine="540"/>
        <w:jc w:val="both"/>
      </w:pPr>
      <w:r>
        <w:t>Примечание - Для выполнения совместных расчетов системы "основание-фундамент-сооружение" допускается использование иных способов, основанных на использовании усилий на границе фундамента и надфундаментной конструкции.</w:t>
      </w:r>
    </w:p>
    <w:p w:rsidR="00E35632" w:rsidRDefault="00E35632">
      <w:pPr>
        <w:pStyle w:val="ConsPlusNormal"/>
        <w:jc w:val="both"/>
      </w:pPr>
      <w:r>
        <w:t xml:space="preserve">(примечание введено </w:t>
      </w:r>
      <w:hyperlink r:id="rId1053">
        <w:r>
          <w:rPr>
            <w:color w:val="0000FF"/>
          </w:rPr>
          <w:t>Изменением N 4</w:t>
        </w:r>
      </w:hyperlink>
      <w:r>
        <w:t>, утв. Приказом Минстроя России от 27.12.2021 N 1022/пр)</w:t>
      </w:r>
    </w:p>
    <w:p w:rsidR="00E35632" w:rsidRDefault="00E35632">
      <w:pPr>
        <w:pStyle w:val="ConsPlusNormal"/>
        <w:ind w:firstLine="540"/>
        <w:jc w:val="both"/>
      </w:pPr>
    </w:p>
    <w:p w:rsidR="00E35632" w:rsidRDefault="00E35632">
      <w:pPr>
        <w:pStyle w:val="ConsPlusNormal"/>
        <w:ind w:firstLine="540"/>
        <w:jc w:val="both"/>
      </w:pPr>
      <w:r>
        <w:t>Н.2 В качестве упрощенной расчетной схемы может использоваться методика эквивалентной замены всего каркаса здания одним этажом приведенной жесткости.</w:t>
      </w:r>
    </w:p>
    <w:p w:rsidR="00E35632" w:rsidRDefault="00E35632">
      <w:pPr>
        <w:pStyle w:val="ConsPlusNormal"/>
        <w:spacing w:before="220"/>
        <w:ind w:firstLine="540"/>
        <w:jc w:val="both"/>
      </w:pPr>
      <w:r>
        <w:t>Н.3 Методика определения эквивалентной жесткости разделена на четыре этапа: сбор информации, определение жесткостных параметров, разработка модели и выполнение расчета и может применяться при расчетах каркаса с шагом колонн от 3 до 9 м при числе этажей от 3 до 40.</w:t>
      </w:r>
    </w:p>
    <w:p w:rsidR="00E35632" w:rsidRDefault="00E35632">
      <w:pPr>
        <w:pStyle w:val="ConsPlusNormal"/>
        <w:spacing w:before="220"/>
        <w:ind w:firstLine="540"/>
        <w:jc w:val="both"/>
      </w:pPr>
      <w:r>
        <w:t>Н.4 На первом этапе осуществляются сбор всей необходимой информации, назначение проектного решения для фундаментных конструкций (или нескольких проектных решений в случае вариантного проектирования) и выбор модели основания для будущего расчета.</w:t>
      </w:r>
    </w:p>
    <w:p w:rsidR="00E35632" w:rsidRDefault="00E35632">
      <w:pPr>
        <w:pStyle w:val="ConsPlusNormal"/>
        <w:spacing w:before="220"/>
        <w:ind w:firstLine="540"/>
        <w:jc w:val="both"/>
      </w:pPr>
      <w:r>
        <w:t>Н.5 На втором этапе осуществляется определение жесткостных параметров эквивалентного этажа. В качестве эквивалентного перекрытия следует выбирать ближайшую к фундаменту сплошную плиту.</w:t>
      </w:r>
    </w:p>
    <w:p w:rsidR="00E35632" w:rsidRDefault="00E35632">
      <w:pPr>
        <w:pStyle w:val="ConsPlusNormal"/>
        <w:spacing w:before="220"/>
        <w:ind w:firstLine="540"/>
        <w:jc w:val="both"/>
      </w:pPr>
      <w:r>
        <w:t>Н.6 Для назначения жесткости эквивалентной плиты перекрытия здание по высоте следует разделить на участки, соответствующие изменению его высотности в плане (в случае однородности здания по высоте принимается один участок). Границы каждого из высотных участков проецируются на плиту перекрытия. Для каждого участка плиты производится определение жесткостных характеристик (для удобства представленных через толщину плиты) в соответствии с формулой</w:t>
      </w:r>
    </w:p>
    <w:p w:rsidR="00E35632" w:rsidRDefault="00E35632">
      <w:pPr>
        <w:pStyle w:val="ConsPlusNormal"/>
        <w:jc w:val="both"/>
      </w:pPr>
    </w:p>
    <w:p w:rsidR="00E35632" w:rsidRDefault="00E35632">
      <w:pPr>
        <w:pStyle w:val="ConsPlusNormal"/>
        <w:jc w:val="center"/>
      </w:pPr>
      <w:r>
        <w:rPr>
          <w:noProof/>
          <w:position w:val="-18"/>
        </w:rPr>
        <w:drawing>
          <wp:inline distT="0" distB="0" distL="0" distR="0">
            <wp:extent cx="3300730" cy="370205"/>
            <wp:effectExtent l="0" t="0" r="0" b="0"/>
            <wp:docPr id="76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3300730" cy="370205"/>
                    </a:xfrm>
                    <a:prstGeom prst="rect">
                      <a:avLst/>
                    </a:prstGeom>
                    <a:noFill/>
                    <a:ln>
                      <a:noFill/>
                    </a:ln>
                  </pic:spPr>
                </pic:pic>
              </a:graphicData>
            </a:graphic>
          </wp:inline>
        </w:drawing>
      </w:r>
      <w:r>
        <w:t xml:space="preserve"> (Н.1)</w:t>
      </w:r>
    </w:p>
    <w:p w:rsidR="00E35632" w:rsidRDefault="00E35632">
      <w:pPr>
        <w:pStyle w:val="ConsPlusNormal"/>
        <w:jc w:val="both"/>
      </w:pPr>
    </w:p>
    <w:p w:rsidR="00E35632" w:rsidRDefault="00E35632">
      <w:pPr>
        <w:pStyle w:val="ConsPlusNormal"/>
        <w:ind w:firstLine="540"/>
        <w:jc w:val="both"/>
      </w:pPr>
      <w:r>
        <w:t xml:space="preserve">где </w:t>
      </w:r>
      <w:r>
        <w:rPr>
          <w:noProof/>
          <w:position w:val="-10"/>
        </w:rPr>
        <w:drawing>
          <wp:inline distT="0" distB="0" distL="0" distR="0">
            <wp:extent cx="243205" cy="267335"/>
            <wp:effectExtent l="0" t="0" r="0" b="0"/>
            <wp:docPr id="76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0"/>
                      <a:ext cx="243205" cy="267335"/>
                    </a:xfrm>
                    <a:prstGeom prst="rect">
                      <a:avLst/>
                    </a:prstGeom>
                    <a:noFill/>
                    <a:ln>
                      <a:noFill/>
                    </a:ln>
                  </pic:spPr>
                </pic:pic>
              </a:graphicData>
            </a:graphic>
          </wp:inline>
        </w:drawing>
      </w:r>
      <w:r>
        <w:t xml:space="preserve"> - приведенная толщина участка плиты перекрытия, </w:t>
      </w:r>
      <w:r>
        <w:rPr>
          <w:i/>
        </w:rPr>
        <w:t>D</w:t>
      </w:r>
      <w:r>
        <w:rPr>
          <w:vertAlign w:val="subscript"/>
        </w:rPr>
        <w:t>0</w:t>
      </w:r>
      <w:r>
        <w:t xml:space="preserve"> = 10</w:t>
      </w:r>
      <w:r>
        <w:rPr>
          <w:vertAlign w:val="superscript"/>
        </w:rPr>
        <w:t>-4</w:t>
      </w:r>
      <w:r>
        <w:t xml:space="preserve"> м</w:t>
      </w:r>
      <w:r>
        <w:rPr>
          <w:vertAlign w:val="superscript"/>
        </w:rPr>
        <w:t>3</w:t>
      </w:r>
      <w:r>
        <w:t xml:space="preserve">, </w:t>
      </w:r>
      <w:r>
        <w:rPr>
          <w:i/>
        </w:rPr>
        <w:t>N -</w:t>
      </w:r>
      <w:r>
        <w:t xml:space="preserve"> параметр, отвечающий за учет процесса возведения здания, связанный с числом этажей исходного здания следующей зависимостью (в случае выполнения расчета без учета процесса возведения конструкций здания </w:t>
      </w:r>
      <w:r>
        <w:rPr>
          <w:i/>
        </w:rPr>
        <w:t>N -</w:t>
      </w:r>
      <w:r>
        <w:t xml:space="preserve"> число этажей исходного здания для рассматриваемой площади)</w:t>
      </w:r>
    </w:p>
    <w:p w:rsidR="00E35632" w:rsidRDefault="00E35632">
      <w:pPr>
        <w:pStyle w:val="ConsPlusNormal"/>
        <w:jc w:val="both"/>
      </w:pPr>
    </w:p>
    <w:p w:rsidR="00E35632" w:rsidRDefault="00E35632">
      <w:pPr>
        <w:pStyle w:val="ConsPlusNormal"/>
        <w:jc w:val="center"/>
      </w:pPr>
      <w:r>
        <w:rPr>
          <w:i/>
        </w:rPr>
        <w:t>N</w:t>
      </w:r>
      <w:r>
        <w:t xml:space="preserve"> = 0,6·</w:t>
      </w:r>
      <w:r>
        <w:rPr>
          <w:i/>
        </w:rPr>
        <w:t>n</w:t>
      </w:r>
      <w:r>
        <w:t xml:space="preserve"> - 1, (Н.2)</w:t>
      </w:r>
    </w:p>
    <w:p w:rsidR="00E35632" w:rsidRDefault="00E35632">
      <w:pPr>
        <w:pStyle w:val="ConsPlusNormal"/>
        <w:jc w:val="both"/>
      </w:pPr>
    </w:p>
    <w:p w:rsidR="00E35632" w:rsidRDefault="00E35632">
      <w:pPr>
        <w:pStyle w:val="ConsPlusNormal"/>
        <w:ind w:firstLine="540"/>
        <w:jc w:val="both"/>
      </w:pPr>
      <w:r>
        <w:t xml:space="preserve">здесь </w:t>
      </w:r>
      <w:r>
        <w:rPr>
          <w:i/>
        </w:rPr>
        <w:t>n</w:t>
      </w:r>
      <w:r>
        <w:t xml:space="preserve"> - число этажей исходного здания для рассматриваемой площади,</w:t>
      </w:r>
    </w:p>
    <w:p w:rsidR="00E35632" w:rsidRDefault="00E35632">
      <w:pPr>
        <w:pStyle w:val="ConsPlusNormal"/>
        <w:spacing w:before="220"/>
        <w:ind w:firstLine="540"/>
        <w:jc w:val="both"/>
      </w:pPr>
      <w:r>
        <w:rPr>
          <w:i/>
        </w:rPr>
        <w:t>a</w:t>
      </w:r>
      <w:r>
        <w:t xml:space="preserve"> - коэффициент, зависящий от приведенной толщины плит перекрытия исходного здания, определяемый по формуле</w:t>
      </w:r>
    </w:p>
    <w:p w:rsidR="00E35632" w:rsidRDefault="00E35632">
      <w:pPr>
        <w:pStyle w:val="ConsPlusNormal"/>
        <w:jc w:val="both"/>
      </w:pPr>
    </w:p>
    <w:p w:rsidR="00E35632" w:rsidRDefault="00E35632">
      <w:pPr>
        <w:pStyle w:val="ConsPlusNormal"/>
        <w:jc w:val="center"/>
      </w:pPr>
      <w:r>
        <w:rPr>
          <w:noProof/>
          <w:position w:val="-10"/>
        </w:rPr>
        <w:drawing>
          <wp:inline distT="0" distB="0" distL="0" distR="0">
            <wp:extent cx="869950" cy="267335"/>
            <wp:effectExtent l="0" t="0" r="0" b="0"/>
            <wp:docPr id="76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869950" cy="267335"/>
                    </a:xfrm>
                    <a:prstGeom prst="rect">
                      <a:avLst/>
                    </a:prstGeom>
                    <a:noFill/>
                    <a:ln>
                      <a:noFill/>
                    </a:ln>
                  </pic:spPr>
                </pic:pic>
              </a:graphicData>
            </a:graphic>
          </wp:inline>
        </w:drawing>
      </w:r>
      <w:r>
        <w:t xml:space="preserve"> (Н.3)</w:t>
      </w:r>
    </w:p>
    <w:p w:rsidR="00E35632" w:rsidRDefault="00E35632">
      <w:pPr>
        <w:pStyle w:val="ConsPlusNormal"/>
        <w:jc w:val="both"/>
      </w:pPr>
    </w:p>
    <w:p w:rsidR="00E35632" w:rsidRDefault="00E35632">
      <w:pPr>
        <w:pStyle w:val="ConsPlusNormal"/>
        <w:ind w:firstLine="540"/>
        <w:jc w:val="both"/>
      </w:pPr>
      <w:r>
        <w:t xml:space="preserve">где </w:t>
      </w:r>
      <w:r>
        <w:rPr>
          <w:noProof/>
          <w:position w:val="-4"/>
        </w:rPr>
        <w:drawing>
          <wp:inline distT="0" distB="0" distL="0" distR="0">
            <wp:extent cx="158750" cy="201295"/>
            <wp:effectExtent l="0" t="0" r="0" b="0"/>
            <wp:docPr id="76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158750" cy="201295"/>
                    </a:xfrm>
                    <a:prstGeom prst="rect">
                      <a:avLst/>
                    </a:prstGeom>
                    <a:noFill/>
                    <a:ln>
                      <a:noFill/>
                    </a:ln>
                  </pic:spPr>
                </pic:pic>
              </a:graphicData>
            </a:graphic>
          </wp:inline>
        </w:drawing>
      </w:r>
      <w:r>
        <w:t xml:space="preserve"> - осредненная эквивалентная толщина плит перекрытия исходного здания, м, определяемая по формуле</w:t>
      </w:r>
    </w:p>
    <w:p w:rsidR="00E35632" w:rsidRDefault="00E35632">
      <w:pPr>
        <w:pStyle w:val="ConsPlusNormal"/>
        <w:jc w:val="both"/>
      </w:pPr>
    </w:p>
    <w:p w:rsidR="00E35632" w:rsidRDefault="00E35632">
      <w:pPr>
        <w:pStyle w:val="ConsPlusNormal"/>
        <w:jc w:val="center"/>
      </w:pPr>
      <w:r>
        <w:rPr>
          <w:noProof/>
          <w:position w:val="-27"/>
        </w:rPr>
        <w:drawing>
          <wp:inline distT="0" distB="0" distL="0" distR="0">
            <wp:extent cx="1111250" cy="492760"/>
            <wp:effectExtent l="0" t="0" r="0" b="0"/>
            <wp:docPr id="76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1111250" cy="492760"/>
                    </a:xfrm>
                    <a:prstGeom prst="rect">
                      <a:avLst/>
                    </a:prstGeom>
                    <a:noFill/>
                    <a:ln>
                      <a:noFill/>
                    </a:ln>
                  </pic:spPr>
                </pic:pic>
              </a:graphicData>
            </a:graphic>
          </wp:inline>
        </w:drawing>
      </w:r>
      <w:r>
        <w:t xml:space="preserve"> (Н.4)</w:t>
      </w:r>
    </w:p>
    <w:p w:rsidR="00E35632" w:rsidRDefault="00E35632">
      <w:pPr>
        <w:pStyle w:val="ConsPlusNormal"/>
        <w:jc w:val="both"/>
      </w:pPr>
    </w:p>
    <w:p w:rsidR="00E35632" w:rsidRDefault="00E35632">
      <w:pPr>
        <w:pStyle w:val="ConsPlusNormal"/>
        <w:ind w:firstLine="540"/>
        <w:jc w:val="both"/>
      </w:pPr>
      <w:r>
        <w:t xml:space="preserve">здесь </w:t>
      </w:r>
      <w:r>
        <w:rPr>
          <w:noProof/>
          <w:position w:val="-8"/>
        </w:rPr>
        <w:drawing>
          <wp:inline distT="0" distB="0" distL="0" distR="0">
            <wp:extent cx="251460" cy="251460"/>
            <wp:effectExtent l="0" t="0" r="0" b="0"/>
            <wp:docPr id="76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251460" cy="251460"/>
                    </a:xfrm>
                    <a:prstGeom prst="rect">
                      <a:avLst/>
                    </a:prstGeom>
                    <a:noFill/>
                    <a:ln>
                      <a:noFill/>
                    </a:ln>
                  </pic:spPr>
                </pic:pic>
              </a:graphicData>
            </a:graphic>
          </wp:inline>
        </w:drawing>
      </w:r>
      <w:r>
        <w:t xml:space="preserve"> - толщина перекрытия </w:t>
      </w:r>
      <w:r>
        <w:rPr>
          <w:i/>
        </w:rPr>
        <w:t>n</w:t>
      </w:r>
      <w:r>
        <w:t>-го этажа, м.</w:t>
      </w:r>
    </w:p>
    <w:p w:rsidR="00E35632" w:rsidRDefault="00E35632">
      <w:pPr>
        <w:pStyle w:val="ConsPlusNormal"/>
        <w:spacing w:before="220"/>
        <w:ind w:firstLine="540"/>
        <w:jc w:val="both"/>
      </w:pPr>
      <w:r>
        <w:t>Н.7 В качестве вертикальных несущих конструкций используются колонны исходного здания, опирающиеся непосредственно на фундаментную плиту с жесткостью, равной средней среди вышележащих. С целью учета податливости колонн, а также для корректировки перераспределения усилий между колоннами с увеличением высоты здания при определении жесткости эквивалентного этажа вводится следующее условие. При высоте здания от 45 до 90 м осевая жесткость каждой из колонн эквивалентного этажа снижается на четверть, при высоте здания более 90 м уменьшается вдвое.</w:t>
      </w:r>
    </w:p>
    <w:p w:rsidR="00E35632" w:rsidRDefault="00E35632">
      <w:pPr>
        <w:pStyle w:val="ConsPlusNormal"/>
        <w:jc w:val="both"/>
      </w:pPr>
      <w:r>
        <w:t xml:space="preserve">(в ред. </w:t>
      </w:r>
      <w:hyperlink r:id="rId1060">
        <w:r>
          <w:rPr>
            <w:color w:val="0000FF"/>
          </w:rPr>
          <w:t>Изменения N 4</w:t>
        </w:r>
      </w:hyperlink>
      <w:r>
        <w:t>, утв. Приказом Минстроя России от 27.12.2021 N 1022/пр)</w:t>
      </w:r>
    </w:p>
    <w:p w:rsidR="00E35632" w:rsidRDefault="00E35632">
      <w:pPr>
        <w:pStyle w:val="ConsPlusNormal"/>
        <w:spacing w:before="220"/>
        <w:ind w:firstLine="540"/>
        <w:jc w:val="both"/>
      </w:pPr>
      <w:r>
        <w:t xml:space="preserve">Н.8 На третьем этапе выполняется моделирование основания, фундамента и каркаса здания приведенной жесткости </w:t>
      </w:r>
      <w:hyperlink w:anchor="P8023">
        <w:r>
          <w:rPr>
            <w:color w:val="0000FF"/>
          </w:rPr>
          <w:t>(рисунок Н.1)</w:t>
        </w:r>
      </w:hyperlink>
      <w:r>
        <w:t xml:space="preserve">. Каркас здания моделируется одним этажом с плитой перекрытия толщиной, равной </w:t>
      </w:r>
      <w:r>
        <w:rPr>
          <w:noProof/>
          <w:position w:val="-10"/>
        </w:rPr>
        <w:drawing>
          <wp:inline distT="0" distB="0" distL="0" distR="0">
            <wp:extent cx="243205" cy="267335"/>
            <wp:effectExtent l="0" t="0" r="0" b="0"/>
            <wp:docPr id="76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243205" cy="267335"/>
                    </a:xfrm>
                    <a:prstGeom prst="rect">
                      <a:avLst/>
                    </a:prstGeom>
                    <a:noFill/>
                    <a:ln>
                      <a:noFill/>
                    </a:ln>
                  </pic:spPr>
                </pic:pic>
              </a:graphicData>
            </a:graphic>
          </wp:inline>
        </w:drawing>
      </w:r>
      <w:r>
        <w:t xml:space="preserve"> для каждого участка плиты. Сопряжения колонн с фундаментной плитой и плитой перекрытия осуществляется через жесткие вставки. Нагрузка задается равномерно распределенной по поверхности плиты. При этом для каждого участка плиты она должна определяться отдельно с учетом числа этажей и действующей на нее средней нагрузки.</w:t>
      </w:r>
    </w:p>
    <w:p w:rsidR="00E35632" w:rsidRDefault="00E35632">
      <w:pPr>
        <w:pStyle w:val="ConsPlusNormal"/>
        <w:spacing w:before="220"/>
        <w:ind w:firstLine="540"/>
        <w:jc w:val="both"/>
      </w:pPr>
      <w:r>
        <w:t>Примечание - В случае расположения в плане здания участков с повышенными значениями нагрузки, превышающими 30% среднего значения, ее следует назначать отдельно.</w:t>
      </w:r>
    </w:p>
    <w:p w:rsidR="00E35632" w:rsidRDefault="00E35632">
      <w:pPr>
        <w:pStyle w:val="ConsPlusNormal"/>
        <w:jc w:val="both"/>
      </w:pPr>
    </w:p>
    <w:p w:rsidR="00E35632" w:rsidRDefault="00E35632">
      <w:pPr>
        <w:pStyle w:val="ConsPlusNormal"/>
        <w:ind w:firstLine="540"/>
        <w:jc w:val="both"/>
      </w:pPr>
      <w:r>
        <w:t>Н.9 На четвертом этапе выполняется расчет фундамента и проверяется обеспечение конструктивных требований с учетом предельных состояний первой и второй групп. При необходимости конструктивные решения фундамента корректируют и расчет повторяют.</w:t>
      </w:r>
    </w:p>
    <w:p w:rsidR="00E35632" w:rsidRDefault="00E35632">
      <w:pPr>
        <w:pStyle w:val="ConsPlusNormal"/>
        <w:jc w:val="both"/>
      </w:pPr>
    </w:p>
    <w:p w:rsidR="00E35632" w:rsidRDefault="00E35632">
      <w:pPr>
        <w:pStyle w:val="ConsPlusNormal"/>
        <w:jc w:val="center"/>
      </w:pPr>
      <w:r>
        <w:rPr>
          <w:noProof/>
          <w:position w:val="-274"/>
        </w:rPr>
        <w:drawing>
          <wp:inline distT="0" distB="0" distL="0" distR="0">
            <wp:extent cx="5471795" cy="3620770"/>
            <wp:effectExtent l="0" t="0" r="0" b="0"/>
            <wp:docPr id="76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5471795" cy="362077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r>
        <w:rPr>
          <w:i/>
        </w:rPr>
        <w:t>а</w:t>
      </w:r>
      <w:r>
        <w:t xml:space="preserve"> - исходное здание с </w:t>
      </w:r>
      <w:r>
        <w:rPr>
          <w:i/>
        </w:rPr>
        <w:t>n</w:t>
      </w:r>
      <w:r>
        <w:t xml:space="preserve">-м числом этажей; </w:t>
      </w:r>
      <w:r>
        <w:rPr>
          <w:i/>
        </w:rPr>
        <w:t>б -</w:t>
      </w:r>
      <w:r>
        <w:t xml:space="preserve"> план здания,</w:t>
      </w:r>
    </w:p>
    <w:p w:rsidR="00E35632" w:rsidRDefault="00E35632">
      <w:pPr>
        <w:pStyle w:val="ConsPlusNormal"/>
        <w:jc w:val="center"/>
      </w:pPr>
      <w:r>
        <w:t xml:space="preserve">разбитый на высотные участки; </w:t>
      </w:r>
      <w:r>
        <w:rPr>
          <w:i/>
        </w:rPr>
        <w:t>в -</w:t>
      </w:r>
      <w:r>
        <w:t xml:space="preserve"> вид эквивалентного</w:t>
      </w:r>
    </w:p>
    <w:p w:rsidR="00E35632" w:rsidRDefault="00E35632">
      <w:pPr>
        <w:pStyle w:val="ConsPlusNormal"/>
        <w:jc w:val="center"/>
      </w:pPr>
      <w:r>
        <w:t>по жесткости этажа для выполнения расчетов</w:t>
      </w:r>
    </w:p>
    <w:p w:rsidR="00E35632" w:rsidRDefault="00E35632">
      <w:pPr>
        <w:pStyle w:val="ConsPlusNormal"/>
        <w:jc w:val="center"/>
      </w:pPr>
      <w:r>
        <w:rPr>
          <w:i/>
        </w:rPr>
        <w:t>n -</w:t>
      </w:r>
      <w:r>
        <w:t xml:space="preserve"> число этажей со средней толщиной плиты перекрытия </w:t>
      </w:r>
      <w:r>
        <w:rPr>
          <w:noProof/>
          <w:position w:val="-10"/>
        </w:rPr>
        <w:drawing>
          <wp:inline distT="0" distB="0" distL="0" distR="0">
            <wp:extent cx="243205" cy="267335"/>
            <wp:effectExtent l="0" t="0" r="0" b="0"/>
            <wp:docPr id="76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43205" cy="267335"/>
                    </a:xfrm>
                    <a:prstGeom prst="rect">
                      <a:avLst/>
                    </a:prstGeom>
                    <a:noFill/>
                    <a:ln>
                      <a:noFill/>
                    </a:ln>
                  </pic:spPr>
                </pic:pic>
              </a:graphicData>
            </a:graphic>
          </wp:inline>
        </w:drawing>
      </w:r>
      <w:r>
        <w:t>;</w:t>
      </w:r>
    </w:p>
    <w:p w:rsidR="00E35632" w:rsidRDefault="00E35632">
      <w:pPr>
        <w:pStyle w:val="ConsPlusNormal"/>
        <w:jc w:val="center"/>
      </w:pPr>
      <w:r>
        <w:rPr>
          <w:noProof/>
          <w:position w:val="-10"/>
        </w:rPr>
        <w:drawing>
          <wp:inline distT="0" distB="0" distL="0" distR="0">
            <wp:extent cx="243205" cy="267335"/>
            <wp:effectExtent l="0" t="0" r="0" b="0"/>
            <wp:docPr id="76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43205" cy="267335"/>
                    </a:xfrm>
                    <a:prstGeom prst="rect">
                      <a:avLst/>
                    </a:prstGeom>
                    <a:noFill/>
                    <a:ln>
                      <a:noFill/>
                    </a:ln>
                  </pic:spPr>
                </pic:pic>
              </a:graphicData>
            </a:graphic>
          </wp:inline>
        </w:drawing>
      </w:r>
      <w:r>
        <w:t xml:space="preserve"> - приведенная толщина плиты перекрытия; </w:t>
      </w:r>
      <w:r>
        <w:rPr>
          <w:noProof/>
          <w:position w:val="-5"/>
        </w:rPr>
        <w:drawing>
          <wp:inline distT="0" distB="0" distL="0" distR="0">
            <wp:extent cx="309880" cy="209550"/>
            <wp:effectExtent l="0" t="0" r="0" b="0"/>
            <wp:docPr id="77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309880" cy="209550"/>
                    </a:xfrm>
                    <a:prstGeom prst="rect">
                      <a:avLst/>
                    </a:prstGeom>
                    <a:noFill/>
                    <a:ln>
                      <a:noFill/>
                    </a:ln>
                  </pic:spPr>
                </pic:pic>
              </a:graphicData>
            </a:graphic>
          </wp:inline>
        </w:drawing>
      </w:r>
      <w:r>
        <w:t xml:space="preserve"> - сумма сил,</w:t>
      </w:r>
    </w:p>
    <w:p w:rsidR="00E35632" w:rsidRDefault="00E35632">
      <w:pPr>
        <w:pStyle w:val="ConsPlusNormal"/>
        <w:jc w:val="center"/>
      </w:pPr>
      <w:r>
        <w:t xml:space="preserve">действующих на участок площадью </w:t>
      </w:r>
      <w:r>
        <w:rPr>
          <w:i/>
        </w:rPr>
        <w:t>A</w:t>
      </w:r>
    </w:p>
    <w:p w:rsidR="00E35632" w:rsidRDefault="00E35632">
      <w:pPr>
        <w:pStyle w:val="ConsPlusNormal"/>
        <w:jc w:val="both"/>
      </w:pPr>
    </w:p>
    <w:p w:rsidR="00E35632" w:rsidRDefault="00E35632">
      <w:pPr>
        <w:pStyle w:val="ConsPlusNormal"/>
        <w:jc w:val="center"/>
      </w:pPr>
      <w:bookmarkStart w:id="341" w:name="P8023"/>
      <w:bookmarkEnd w:id="341"/>
      <w:r>
        <w:rPr>
          <w:b/>
          <w:i/>
        </w:rPr>
        <w:t>Рисунок Н.1 -</w:t>
      </w:r>
      <w:r>
        <w:t xml:space="preserve"> </w:t>
      </w:r>
      <w:r>
        <w:rPr>
          <w:b/>
        </w:rPr>
        <w:t>Моделирование каркаса здания</w:t>
      </w: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center"/>
      </w:pPr>
      <w:r>
        <w:rPr>
          <w:noProof/>
          <w:position w:val="-616"/>
        </w:rPr>
        <w:drawing>
          <wp:inline distT="0" distB="0" distL="0" distR="0">
            <wp:extent cx="4946015" cy="7974330"/>
            <wp:effectExtent l="0" t="0" r="0" b="0"/>
            <wp:docPr id="77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4946015" cy="797433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ind w:firstLine="540"/>
        <w:jc w:val="both"/>
      </w:pPr>
      <w:r>
        <w:t>--------------------------------</w:t>
      </w:r>
    </w:p>
    <w:p w:rsidR="00E35632" w:rsidRDefault="00E35632">
      <w:pPr>
        <w:pStyle w:val="ConsPlusNormal"/>
        <w:spacing w:before="220"/>
        <w:ind w:firstLine="540"/>
        <w:jc w:val="both"/>
      </w:pPr>
      <w:r>
        <w:t>&lt;*&gt; Конструктивные требования с учетом предельных состояний первой и второй группы.</w:t>
      </w:r>
    </w:p>
    <w:p w:rsidR="00E35632" w:rsidRDefault="00E35632">
      <w:pPr>
        <w:pStyle w:val="ConsPlusNormal"/>
        <w:spacing w:before="220"/>
        <w:ind w:firstLine="540"/>
        <w:jc w:val="both"/>
      </w:pPr>
      <w:r>
        <w:t>&lt;**&gt; Расчеты выполняются конструкторами каркаса здания.</w:t>
      </w:r>
    </w:p>
    <w:p w:rsidR="00E35632" w:rsidRDefault="00E35632">
      <w:pPr>
        <w:pStyle w:val="ConsPlusNormal"/>
        <w:spacing w:before="220"/>
        <w:ind w:firstLine="540"/>
        <w:jc w:val="both"/>
      </w:pPr>
      <w:r>
        <w:t>&lt;***&gt; Сопоставление результатов расчета здания с полной и эквивалентной жесткостью.</w:t>
      </w:r>
    </w:p>
    <w:p w:rsidR="00E35632" w:rsidRDefault="00E35632">
      <w:pPr>
        <w:pStyle w:val="ConsPlusNormal"/>
        <w:jc w:val="both"/>
      </w:pPr>
    </w:p>
    <w:p w:rsidR="00E35632" w:rsidRDefault="00E35632">
      <w:pPr>
        <w:pStyle w:val="ConsPlusNormal"/>
        <w:jc w:val="center"/>
      </w:pPr>
      <w:r>
        <w:rPr>
          <w:b/>
          <w:i/>
        </w:rPr>
        <w:t>Рисунок Н.2 -</w:t>
      </w:r>
      <w:r>
        <w:t xml:space="preserve"> </w:t>
      </w:r>
      <w:r>
        <w:rPr>
          <w:b/>
        </w:rPr>
        <w:t>Алгоритм выполнения совместных расчетов</w:t>
      </w:r>
    </w:p>
    <w:p w:rsidR="00E35632" w:rsidRDefault="00E35632">
      <w:pPr>
        <w:pStyle w:val="ConsPlusNormal"/>
        <w:jc w:val="center"/>
      </w:pPr>
      <w:r>
        <w:rPr>
          <w:b/>
        </w:rPr>
        <w:t>по разработанной методике</w:t>
      </w: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right"/>
        <w:outlineLvl w:val="0"/>
      </w:pPr>
      <w:r>
        <w:rPr>
          <w:b/>
        </w:rPr>
        <w:t>Приложение П</w:t>
      </w:r>
    </w:p>
    <w:p w:rsidR="00E35632" w:rsidRDefault="00E35632">
      <w:pPr>
        <w:pStyle w:val="ConsPlusNormal"/>
        <w:ind w:firstLine="540"/>
        <w:jc w:val="both"/>
      </w:pPr>
    </w:p>
    <w:p w:rsidR="00E35632" w:rsidRDefault="00E35632">
      <w:pPr>
        <w:pStyle w:val="ConsPlusTitle"/>
        <w:jc w:val="center"/>
      </w:pPr>
      <w:bookmarkStart w:id="342" w:name="P8043"/>
      <w:bookmarkEnd w:id="342"/>
      <w:r>
        <w:t>МЕТОДИЧЕСКИЕ РЕКОМЕНДАЦИИ ПО ОПРЕДЕЛЕНИЮ</w:t>
      </w:r>
    </w:p>
    <w:p w:rsidR="00E35632" w:rsidRDefault="00E35632">
      <w:pPr>
        <w:pStyle w:val="ConsPlusTitle"/>
        <w:jc w:val="center"/>
      </w:pPr>
      <w:r>
        <w:t>НОРМАТИВНЫХ ЗНАЧЕНИЙ МОДУЛЯ ДЕФОРМАЦИИ НА ОСНОВЕ</w:t>
      </w:r>
    </w:p>
    <w:p w:rsidR="00E35632" w:rsidRDefault="00E35632">
      <w:pPr>
        <w:pStyle w:val="ConsPlusTitle"/>
        <w:jc w:val="center"/>
      </w:pPr>
      <w:r>
        <w:t>КОМПРЕССИОННЫХ ИСПЫТАНИЙ ГРУНТОВ</w:t>
      </w:r>
    </w:p>
    <w:p w:rsidR="00E35632" w:rsidRDefault="00E35632">
      <w:pPr>
        <w:pStyle w:val="ConsPlusNormal"/>
        <w:jc w:val="center"/>
      </w:pPr>
      <w:r>
        <w:t xml:space="preserve">(приложение П введено </w:t>
      </w:r>
      <w:hyperlink r:id="rId1067">
        <w:r>
          <w:rPr>
            <w:color w:val="0000FF"/>
          </w:rPr>
          <w:t>Изменением N 2</w:t>
        </w:r>
      </w:hyperlink>
      <w:r>
        <w:t>, утв. Приказом</w:t>
      </w:r>
    </w:p>
    <w:p w:rsidR="00E35632" w:rsidRDefault="00E35632">
      <w:pPr>
        <w:pStyle w:val="ConsPlusNormal"/>
        <w:jc w:val="center"/>
      </w:pPr>
      <w:r>
        <w:t>Минстроя России от 24.01.2019 N 43/пр)</w:t>
      </w:r>
    </w:p>
    <w:p w:rsidR="00E35632" w:rsidRDefault="00E35632">
      <w:pPr>
        <w:pStyle w:val="ConsPlusNormal"/>
        <w:ind w:firstLine="540"/>
        <w:jc w:val="both"/>
      </w:pPr>
    </w:p>
    <w:p w:rsidR="00E35632" w:rsidRDefault="00E35632">
      <w:pPr>
        <w:pStyle w:val="ConsPlusNormal"/>
        <w:ind w:firstLine="540"/>
        <w:jc w:val="both"/>
      </w:pPr>
      <w:r>
        <w:t>П.1 Методические рекомендации по определению нормативных (штамповых) значений модуля деформации на основе компрессионных испытаний распространяются на неспецифические глинистые грунты четвертичных отложений.</w:t>
      </w:r>
    </w:p>
    <w:p w:rsidR="00E35632" w:rsidRDefault="00E35632">
      <w:pPr>
        <w:pStyle w:val="ConsPlusNormal"/>
        <w:spacing w:before="220"/>
        <w:ind w:firstLine="540"/>
        <w:jc w:val="both"/>
      </w:pPr>
      <w:r>
        <w:t xml:space="preserve">П.2 Настоящие рекомендации распространяются на предварительные расчеты оснований сооружений геотехнических категорий 2 и 3 в соответствии с требованиями </w:t>
      </w:r>
      <w:hyperlink w:anchor="P526">
        <w:r>
          <w:rPr>
            <w:color w:val="0000FF"/>
          </w:rPr>
          <w:t>5.3.7</w:t>
        </w:r>
      </w:hyperlink>
      <w:r>
        <w:t>.</w:t>
      </w:r>
    </w:p>
    <w:p w:rsidR="00E35632" w:rsidRDefault="00E35632">
      <w:pPr>
        <w:pStyle w:val="ConsPlusNormal"/>
        <w:spacing w:before="220"/>
        <w:ind w:firstLine="540"/>
        <w:jc w:val="both"/>
      </w:pPr>
      <w:r>
        <w:t xml:space="preserve">П.3 По результатам компрессионных испытаний, выполненных в соответствии с требованиями </w:t>
      </w:r>
      <w:hyperlink r:id="rId1068">
        <w:r>
          <w:rPr>
            <w:color w:val="0000FF"/>
          </w:rPr>
          <w:t>ГОСТ 12248.4</w:t>
        </w:r>
      </w:hyperlink>
      <w:r>
        <w:t xml:space="preserve">, строится график зависимости деформации от вертикального напряжения. Из данного графика определяется касательный одометрический модуль деформации </w:t>
      </w:r>
      <w:r>
        <w:rPr>
          <w:noProof/>
          <w:position w:val="-10"/>
        </w:rPr>
        <w:drawing>
          <wp:inline distT="0" distB="0" distL="0" distR="0">
            <wp:extent cx="309880" cy="267970"/>
            <wp:effectExtent l="0" t="0" r="0" b="0"/>
            <wp:docPr id="77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309880" cy="267970"/>
                    </a:xfrm>
                    <a:prstGeom prst="rect">
                      <a:avLst/>
                    </a:prstGeom>
                    <a:noFill/>
                    <a:ln>
                      <a:noFill/>
                    </a:ln>
                  </pic:spPr>
                </pic:pic>
              </a:graphicData>
            </a:graphic>
          </wp:inline>
        </w:drawing>
      </w:r>
      <w:r>
        <w:t xml:space="preserve">, соответствующий величине природного вертикального эффективного напряжения. Данная характеристика определяется по касательной, проведенной к точке компрессионной кривой, соответствующей величине природного вертикального эффективного напряжения </w:t>
      </w:r>
      <w:r>
        <w:rPr>
          <w:noProof/>
          <w:position w:val="-10"/>
        </w:rPr>
        <w:drawing>
          <wp:inline distT="0" distB="0" distL="0" distR="0">
            <wp:extent cx="251460" cy="267970"/>
            <wp:effectExtent l="0" t="0" r="0" b="0"/>
            <wp:docPr id="77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r>
        <w:t xml:space="preserve"> </w:t>
      </w:r>
      <w:hyperlink w:anchor="P8065">
        <w:r>
          <w:rPr>
            <w:color w:val="0000FF"/>
          </w:rPr>
          <w:t>(рисунок П.1)</w:t>
        </w:r>
      </w:hyperlink>
      <w:r>
        <w:t>.</w:t>
      </w:r>
    </w:p>
    <w:p w:rsidR="00E35632" w:rsidRDefault="00E35632">
      <w:pPr>
        <w:pStyle w:val="ConsPlusNormal"/>
        <w:jc w:val="both"/>
      </w:pPr>
      <w:r>
        <w:t xml:space="preserve">(в ред. </w:t>
      </w:r>
      <w:hyperlink r:id="rId1071">
        <w:r>
          <w:rPr>
            <w:color w:val="0000FF"/>
          </w:rPr>
          <w:t>Изменения N 4</w:t>
        </w:r>
      </w:hyperlink>
      <w:r>
        <w:t>, утв. Приказом Минстроя России от 27.12.2021 N 1022/пр)</w:t>
      </w:r>
    </w:p>
    <w:p w:rsidR="00E35632" w:rsidRDefault="00E35632">
      <w:pPr>
        <w:pStyle w:val="ConsPlusNormal"/>
        <w:ind w:firstLine="540"/>
        <w:jc w:val="both"/>
      </w:pPr>
    </w:p>
    <w:p w:rsidR="00E35632" w:rsidRDefault="00E35632">
      <w:pPr>
        <w:pStyle w:val="ConsPlusNormal"/>
        <w:jc w:val="center"/>
      </w:pPr>
      <w:r>
        <w:rPr>
          <w:noProof/>
          <w:position w:val="-211"/>
        </w:rPr>
        <w:drawing>
          <wp:inline distT="0" distB="0" distL="0" distR="0">
            <wp:extent cx="3064510" cy="2823210"/>
            <wp:effectExtent l="0" t="0" r="0" b="0"/>
            <wp:docPr id="77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3064510" cy="2823210"/>
                    </a:xfrm>
                    <a:prstGeom prst="rect">
                      <a:avLst/>
                    </a:prstGeom>
                    <a:noFill/>
                    <a:ln>
                      <a:noFill/>
                    </a:ln>
                  </pic:spPr>
                </pic:pic>
              </a:graphicData>
            </a:graphic>
          </wp:inline>
        </w:drawing>
      </w:r>
    </w:p>
    <w:p w:rsidR="00E35632" w:rsidRDefault="00E35632">
      <w:pPr>
        <w:pStyle w:val="ConsPlusNormal"/>
        <w:ind w:firstLine="540"/>
        <w:jc w:val="both"/>
      </w:pPr>
    </w:p>
    <w:p w:rsidR="00E35632" w:rsidRDefault="00E35632">
      <w:pPr>
        <w:pStyle w:val="ConsPlusNormal"/>
        <w:jc w:val="center"/>
      </w:pPr>
      <w:r>
        <w:rPr>
          <w:noProof/>
        </w:rPr>
        <w:drawing>
          <wp:inline distT="0" distB="0" distL="0" distR="0">
            <wp:extent cx="142240" cy="151130"/>
            <wp:effectExtent l="0" t="0" r="0" b="0"/>
            <wp:docPr id="77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142240" cy="151130"/>
                    </a:xfrm>
                    <a:prstGeom prst="rect">
                      <a:avLst/>
                    </a:prstGeom>
                    <a:noFill/>
                    <a:ln>
                      <a:noFill/>
                    </a:ln>
                  </pic:spPr>
                </pic:pic>
              </a:graphicData>
            </a:graphic>
          </wp:inline>
        </w:drawing>
      </w:r>
      <w:r>
        <w:t xml:space="preserve"> - вертикальное напряжение, МПа;</w:t>
      </w:r>
    </w:p>
    <w:p w:rsidR="00E35632" w:rsidRDefault="00E35632">
      <w:pPr>
        <w:pStyle w:val="ConsPlusNormal"/>
        <w:jc w:val="center"/>
      </w:pPr>
      <w:r>
        <w:rPr>
          <w:noProof/>
        </w:rPr>
        <w:drawing>
          <wp:inline distT="0" distB="0" distL="0" distR="0">
            <wp:extent cx="125730" cy="151130"/>
            <wp:effectExtent l="0" t="0" r="0" b="0"/>
            <wp:docPr id="77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25730" cy="151130"/>
                    </a:xfrm>
                    <a:prstGeom prst="rect">
                      <a:avLst/>
                    </a:prstGeom>
                    <a:noFill/>
                    <a:ln>
                      <a:noFill/>
                    </a:ln>
                  </pic:spPr>
                </pic:pic>
              </a:graphicData>
            </a:graphic>
          </wp:inline>
        </w:drawing>
      </w:r>
      <w:r>
        <w:t xml:space="preserve"> - относительная деформация;</w:t>
      </w:r>
    </w:p>
    <w:p w:rsidR="00E35632" w:rsidRDefault="00E35632">
      <w:pPr>
        <w:pStyle w:val="ConsPlusNormal"/>
        <w:jc w:val="center"/>
      </w:pPr>
      <w:r>
        <w:rPr>
          <w:noProof/>
          <w:position w:val="-10"/>
        </w:rPr>
        <w:drawing>
          <wp:inline distT="0" distB="0" distL="0" distR="0">
            <wp:extent cx="251460" cy="267970"/>
            <wp:effectExtent l="0" t="0" r="0" b="0"/>
            <wp:docPr id="77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r>
        <w:t xml:space="preserve"> - природное вертикальное эффективное напряжение, МПа;</w:t>
      </w:r>
    </w:p>
    <w:p w:rsidR="00E35632" w:rsidRDefault="00E35632">
      <w:pPr>
        <w:pStyle w:val="ConsPlusNormal"/>
        <w:jc w:val="center"/>
      </w:pPr>
      <w:r>
        <w:rPr>
          <w:noProof/>
          <w:position w:val="-8"/>
        </w:rPr>
        <w:drawing>
          <wp:inline distT="0" distB="0" distL="0" distR="0">
            <wp:extent cx="193040" cy="251460"/>
            <wp:effectExtent l="0" t="0" r="0" b="0"/>
            <wp:docPr id="77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193040" cy="251460"/>
                    </a:xfrm>
                    <a:prstGeom prst="rect">
                      <a:avLst/>
                    </a:prstGeom>
                    <a:noFill/>
                    <a:ln>
                      <a:noFill/>
                    </a:ln>
                  </pic:spPr>
                </pic:pic>
              </a:graphicData>
            </a:graphic>
          </wp:inline>
        </w:drawing>
      </w:r>
      <w:r>
        <w:t xml:space="preserve"> - условная величина относительной деформации,</w:t>
      </w:r>
    </w:p>
    <w:p w:rsidR="00E35632" w:rsidRDefault="00E35632">
      <w:pPr>
        <w:pStyle w:val="ConsPlusNormal"/>
        <w:jc w:val="center"/>
      </w:pPr>
      <w:r>
        <w:t>соответствующая точке пересечения касательной</w:t>
      </w:r>
    </w:p>
    <w:p w:rsidR="00E35632" w:rsidRDefault="00E35632">
      <w:pPr>
        <w:pStyle w:val="ConsPlusNormal"/>
        <w:jc w:val="center"/>
      </w:pPr>
      <w:r>
        <w:t xml:space="preserve">к компрессионной кривой в точке A с осью </w:t>
      </w:r>
      <w:r>
        <w:rPr>
          <w:noProof/>
        </w:rPr>
        <w:drawing>
          <wp:inline distT="0" distB="0" distL="0" distR="0">
            <wp:extent cx="125730" cy="151130"/>
            <wp:effectExtent l="0" t="0" r="0" b="0"/>
            <wp:docPr id="77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125730" cy="151130"/>
                    </a:xfrm>
                    <a:prstGeom prst="rect">
                      <a:avLst/>
                    </a:prstGeom>
                    <a:noFill/>
                    <a:ln>
                      <a:noFill/>
                    </a:ln>
                  </pic:spPr>
                </pic:pic>
              </a:graphicData>
            </a:graphic>
          </wp:inline>
        </w:drawing>
      </w:r>
      <w:r>
        <w:t>;</w:t>
      </w:r>
    </w:p>
    <w:p w:rsidR="00E35632" w:rsidRDefault="00E35632">
      <w:pPr>
        <w:pStyle w:val="ConsPlusNormal"/>
        <w:jc w:val="center"/>
      </w:pPr>
      <w:r>
        <w:rPr>
          <w:noProof/>
          <w:position w:val="-10"/>
        </w:rPr>
        <w:drawing>
          <wp:inline distT="0" distB="0" distL="0" distR="0">
            <wp:extent cx="226060" cy="267970"/>
            <wp:effectExtent l="0" t="0" r="0" b="0"/>
            <wp:docPr id="78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226060" cy="267970"/>
                    </a:xfrm>
                    <a:prstGeom prst="rect">
                      <a:avLst/>
                    </a:prstGeom>
                    <a:noFill/>
                    <a:ln>
                      <a:noFill/>
                    </a:ln>
                  </pic:spPr>
                </pic:pic>
              </a:graphicData>
            </a:graphic>
          </wp:inline>
        </w:drawing>
      </w:r>
      <w:r>
        <w:t xml:space="preserve"> - величина относительной деформации,</w:t>
      </w:r>
    </w:p>
    <w:p w:rsidR="00E35632" w:rsidRDefault="00E35632">
      <w:pPr>
        <w:pStyle w:val="ConsPlusNormal"/>
        <w:jc w:val="center"/>
      </w:pPr>
      <w:r>
        <w:t>соответствующая </w:t>
      </w:r>
      <w:r>
        <w:rPr>
          <w:noProof/>
          <w:position w:val="-10"/>
        </w:rPr>
        <w:drawing>
          <wp:inline distT="0" distB="0" distL="0" distR="0">
            <wp:extent cx="251460" cy="267970"/>
            <wp:effectExtent l="0" t="0" r="0" b="0"/>
            <wp:docPr id="78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p>
    <w:p w:rsidR="00E35632" w:rsidRDefault="00E35632">
      <w:pPr>
        <w:pStyle w:val="ConsPlusNormal"/>
        <w:ind w:firstLine="540"/>
        <w:jc w:val="both"/>
      </w:pPr>
    </w:p>
    <w:p w:rsidR="00E35632" w:rsidRDefault="00E35632">
      <w:pPr>
        <w:pStyle w:val="ConsPlusNormal"/>
        <w:jc w:val="center"/>
      </w:pPr>
      <w:bookmarkStart w:id="343" w:name="P8065"/>
      <w:bookmarkEnd w:id="343"/>
      <w:r>
        <w:rPr>
          <w:b/>
          <w:i/>
        </w:rPr>
        <w:t>Рисунок П.1</w:t>
      </w:r>
      <w:r>
        <w:t xml:space="preserve"> </w:t>
      </w:r>
      <w:r>
        <w:rPr>
          <w:b/>
        </w:rPr>
        <w:t>- Определение касательного одометрического</w:t>
      </w:r>
    </w:p>
    <w:p w:rsidR="00E35632" w:rsidRDefault="00E35632">
      <w:pPr>
        <w:pStyle w:val="ConsPlusNormal"/>
        <w:jc w:val="center"/>
      </w:pPr>
      <w:r>
        <w:rPr>
          <w:b/>
        </w:rPr>
        <w:t xml:space="preserve">модуля деформации </w:t>
      </w:r>
      <w:r>
        <w:rPr>
          <w:noProof/>
          <w:position w:val="-10"/>
        </w:rPr>
        <w:drawing>
          <wp:inline distT="0" distB="0" distL="0" distR="0">
            <wp:extent cx="309880" cy="267970"/>
            <wp:effectExtent l="0" t="0" r="0" b="0"/>
            <wp:docPr id="78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309880" cy="267970"/>
                    </a:xfrm>
                    <a:prstGeom prst="rect">
                      <a:avLst/>
                    </a:prstGeom>
                    <a:noFill/>
                    <a:ln>
                      <a:noFill/>
                    </a:ln>
                  </pic:spPr>
                </pic:pic>
              </a:graphicData>
            </a:graphic>
          </wp:inline>
        </w:drawing>
      </w:r>
      <w:r>
        <w:rPr>
          <w:b/>
        </w:rPr>
        <w:t xml:space="preserve"> по компрессионной кривой</w:t>
      </w:r>
    </w:p>
    <w:p w:rsidR="00E35632" w:rsidRDefault="00E35632">
      <w:pPr>
        <w:pStyle w:val="ConsPlusNormal"/>
        <w:ind w:firstLine="540"/>
        <w:jc w:val="both"/>
      </w:pPr>
    </w:p>
    <w:tbl>
      <w:tblPr>
        <w:tblW w:w="5000" w:type="pct"/>
        <w:tblBorders>
          <w:top w:val="nil"/>
          <w:left w:val="nil"/>
          <w:bottom w:val="nil"/>
          <w:right w:val="nil"/>
          <w:insideH w:val="nil"/>
          <w:insideV w:val="nil"/>
        </w:tblBorders>
        <w:tblCellMar>
          <w:left w:w="10" w:type="dxa"/>
          <w:right w:w="10" w:type="dxa"/>
        </w:tblCellMar>
        <w:tblLook w:val="0000" w:firstRow="0" w:lastRow="0" w:firstColumn="0" w:lastColumn="0" w:noHBand="0" w:noVBand="0"/>
      </w:tblPr>
      <w:tblGrid>
        <w:gridCol w:w="60"/>
        <w:gridCol w:w="113"/>
        <w:gridCol w:w="9068"/>
        <w:gridCol w:w="113"/>
      </w:tblGrid>
      <w:tr w:rsidR="00E35632">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E35632" w:rsidRDefault="00E35632">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E35632" w:rsidRDefault="00E35632">
            <w:pPr>
              <w:pStyle w:val="ConsPlusNormal"/>
              <w:jc w:val="both"/>
            </w:pPr>
            <w:r>
              <w:rPr>
                <w:color w:val="392C69"/>
              </w:rPr>
              <w:t>КонсультантПлюс: примечание.</w:t>
            </w:r>
          </w:p>
          <w:p w:rsidR="00E35632" w:rsidRDefault="00E35632">
            <w:pPr>
              <w:pStyle w:val="ConsPlusNormal"/>
              <w:jc w:val="both"/>
            </w:pPr>
            <w:r>
              <w:rPr>
                <w:color w:val="392C69"/>
              </w:rPr>
              <w:t>Нумерация пунктов дана в соответствии с официальным текстом документа.</w:t>
            </w: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r>
    </w:tbl>
    <w:p w:rsidR="00E35632" w:rsidRDefault="00E35632">
      <w:pPr>
        <w:pStyle w:val="ConsPlusNormal"/>
        <w:spacing w:before="280"/>
        <w:ind w:firstLine="540"/>
        <w:jc w:val="both"/>
      </w:pPr>
      <w:r>
        <w:t>П.3 Касательный одометрический модуль деформации определяется по формуле</w:t>
      </w:r>
    </w:p>
    <w:p w:rsidR="00E35632" w:rsidRDefault="00E35632">
      <w:pPr>
        <w:pStyle w:val="ConsPlusNormal"/>
        <w:ind w:firstLine="540"/>
        <w:jc w:val="both"/>
      </w:pPr>
    </w:p>
    <w:p w:rsidR="00E35632" w:rsidRDefault="00E35632">
      <w:pPr>
        <w:pStyle w:val="ConsPlusNormal"/>
        <w:jc w:val="center"/>
      </w:pPr>
      <w:r>
        <w:rPr>
          <w:noProof/>
          <w:position w:val="-13"/>
        </w:rPr>
        <w:drawing>
          <wp:inline distT="0" distB="0" distL="0" distR="0">
            <wp:extent cx="1383030" cy="309880"/>
            <wp:effectExtent l="0" t="0" r="0" b="0"/>
            <wp:docPr id="78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383030" cy="309880"/>
                    </a:xfrm>
                    <a:prstGeom prst="rect">
                      <a:avLst/>
                    </a:prstGeom>
                    <a:noFill/>
                    <a:ln>
                      <a:noFill/>
                    </a:ln>
                  </pic:spPr>
                </pic:pic>
              </a:graphicData>
            </a:graphic>
          </wp:inline>
        </w:drawing>
      </w:r>
      <w:r>
        <w:t>, (П.1)</w:t>
      </w:r>
    </w:p>
    <w:p w:rsidR="00E35632" w:rsidRDefault="00E35632">
      <w:pPr>
        <w:pStyle w:val="ConsPlusNormal"/>
        <w:ind w:firstLine="540"/>
        <w:jc w:val="both"/>
      </w:pPr>
    </w:p>
    <w:p w:rsidR="00E35632" w:rsidRDefault="00E35632">
      <w:pPr>
        <w:pStyle w:val="ConsPlusNormal"/>
        <w:ind w:firstLine="540"/>
        <w:jc w:val="both"/>
      </w:pPr>
      <w:r>
        <w:t xml:space="preserve">П.4 Величина природного вертикального бытового давления </w:t>
      </w:r>
      <w:r>
        <w:rPr>
          <w:noProof/>
          <w:position w:val="-10"/>
        </w:rPr>
        <w:drawing>
          <wp:inline distT="0" distB="0" distL="0" distR="0">
            <wp:extent cx="251460" cy="267970"/>
            <wp:effectExtent l="0" t="0" r="0" b="0"/>
            <wp:docPr id="78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251460" cy="267970"/>
                    </a:xfrm>
                    <a:prstGeom prst="rect">
                      <a:avLst/>
                    </a:prstGeom>
                    <a:noFill/>
                    <a:ln>
                      <a:noFill/>
                    </a:ln>
                  </pic:spPr>
                </pic:pic>
              </a:graphicData>
            </a:graphic>
          </wp:inline>
        </w:drawing>
      </w:r>
      <w:r>
        <w:t xml:space="preserve"> определяется в соответствии с требованиями </w:t>
      </w:r>
      <w:hyperlink w:anchor="P1685">
        <w:r>
          <w:rPr>
            <w:color w:val="0000FF"/>
          </w:rPr>
          <w:t>5.6.40</w:t>
        </w:r>
      </w:hyperlink>
      <w:r>
        <w:t xml:space="preserve"> настоящего свода правил.</w:t>
      </w:r>
    </w:p>
    <w:p w:rsidR="00E35632" w:rsidRDefault="00E35632">
      <w:pPr>
        <w:pStyle w:val="ConsPlusNormal"/>
        <w:spacing w:before="220"/>
        <w:ind w:firstLine="540"/>
        <w:jc w:val="both"/>
      </w:pPr>
      <w:r>
        <w:t xml:space="preserve">П.5 Значение переходного коэффициента </w:t>
      </w:r>
      <w:r>
        <w:rPr>
          <w:i/>
        </w:rPr>
        <w:t>m</w:t>
      </w:r>
      <w:r>
        <w:rPr>
          <w:i/>
          <w:vertAlign w:val="subscript"/>
        </w:rPr>
        <w:t>ko</w:t>
      </w:r>
      <w:r>
        <w:t xml:space="preserve"> определяют по </w:t>
      </w:r>
      <w:hyperlink w:anchor="P8079">
        <w:r>
          <w:rPr>
            <w:color w:val="0000FF"/>
          </w:rPr>
          <w:t>таблицам П.1</w:t>
        </w:r>
      </w:hyperlink>
      <w:r>
        <w:t xml:space="preserve">, </w:t>
      </w:r>
      <w:hyperlink w:anchor="P8135">
        <w:r>
          <w:rPr>
            <w:color w:val="0000FF"/>
          </w:rPr>
          <w:t>П.2</w:t>
        </w:r>
      </w:hyperlink>
      <w:r>
        <w:t xml:space="preserve"> и </w:t>
      </w:r>
      <w:hyperlink w:anchor="P8191">
        <w:r>
          <w:rPr>
            <w:color w:val="0000FF"/>
          </w:rPr>
          <w:t>П.3</w:t>
        </w:r>
      </w:hyperlink>
      <w:r>
        <w:t xml:space="preserve"> в зависимости от разновидности исследуемого грунта, коэффициента пористости и показателя текучести.</w:t>
      </w:r>
    </w:p>
    <w:p w:rsidR="00E35632" w:rsidRDefault="00E35632">
      <w:pPr>
        <w:pStyle w:val="ConsPlusNormal"/>
        <w:ind w:firstLine="540"/>
        <w:jc w:val="both"/>
      </w:pPr>
    </w:p>
    <w:p w:rsidR="00E35632" w:rsidRDefault="00E35632">
      <w:pPr>
        <w:pStyle w:val="ConsPlusNormal"/>
        <w:jc w:val="right"/>
      </w:pPr>
      <w:r>
        <w:t>Таблица П.1</w:t>
      </w:r>
    </w:p>
    <w:p w:rsidR="00E35632" w:rsidRDefault="00E35632">
      <w:pPr>
        <w:pStyle w:val="ConsPlusNormal"/>
        <w:ind w:firstLine="540"/>
        <w:jc w:val="both"/>
      </w:pPr>
    </w:p>
    <w:p w:rsidR="00E35632" w:rsidRDefault="00E35632">
      <w:pPr>
        <w:pStyle w:val="ConsPlusNormal"/>
        <w:jc w:val="center"/>
      </w:pPr>
      <w:bookmarkStart w:id="344" w:name="P8079"/>
      <w:bookmarkEnd w:id="344"/>
      <w:r>
        <w:rPr>
          <w:b/>
        </w:rPr>
        <w:t>Коэффициенты перехода от касательного одометрического</w:t>
      </w:r>
    </w:p>
    <w:p w:rsidR="00E35632" w:rsidRDefault="00E35632">
      <w:pPr>
        <w:pStyle w:val="ConsPlusNormal"/>
        <w:jc w:val="center"/>
      </w:pPr>
      <w:r>
        <w:rPr>
          <w:b/>
        </w:rPr>
        <w:t>модуля к штамповому модулю для глин</w:t>
      </w:r>
    </w:p>
    <w:p w:rsidR="00E35632" w:rsidRDefault="00E35632">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438"/>
        <w:gridCol w:w="680"/>
        <w:gridCol w:w="680"/>
        <w:gridCol w:w="737"/>
        <w:gridCol w:w="680"/>
        <w:gridCol w:w="680"/>
        <w:gridCol w:w="680"/>
        <w:gridCol w:w="680"/>
        <w:gridCol w:w="1814"/>
      </w:tblGrid>
      <w:tr w:rsidR="00E35632">
        <w:tc>
          <w:tcPr>
            <w:tcW w:w="2438" w:type="dxa"/>
            <w:vMerge w:val="restart"/>
            <w:vAlign w:val="center"/>
          </w:tcPr>
          <w:p w:rsidR="00E35632" w:rsidRDefault="00E35632">
            <w:pPr>
              <w:pStyle w:val="ConsPlusNormal"/>
              <w:jc w:val="center"/>
            </w:pPr>
            <w:r>
              <w:t xml:space="preserve">Разновидности глин (показатель текучести </w:t>
            </w:r>
            <w:r>
              <w:rPr>
                <w:i/>
              </w:rPr>
              <w:t>I</w:t>
            </w:r>
            <w:r>
              <w:rPr>
                <w:i/>
                <w:vertAlign w:val="subscript"/>
              </w:rPr>
              <w:t>L</w:t>
            </w:r>
            <w:r>
              <w:t>, д.е.)</w:t>
            </w:r>
          </w:p>
        </w:tc>
        <w:tc>
          <w:tcPr>
            <w:tcW w:w="4817" w:type="dxa"/>
            <w:gridSpan w:val="7"/>
            <w:vAlign w:val="center"/>
          </w:tcPr>
          <w:p w:rsidR="00E35632" w:rsidRDefault="00E35632">
            <w:pPr>
              <w:pStyle w:val="ConsPlusNormal"/>
              <w:jc w:val="center"/>
            </w:pPr>
            <w:r>
              <w:t xml:space="preserve">Значение коэффициента перехода </w:t>
            </w:r>
            <w:r>
              <w:rPr>
                <w:i/>
              </w:rPr>
              <w:t>m</w:t>
            </w:r>
            <w:r>
              <w:rPr>
                <w:i/>
                <w:vertAlign w:val="subscript"/>
              </w:rPr>
              <w:t>ko</w:t>
            </w:r>
            <w:r>
              <w:t xml:space="preserve"> при коэффициенте пористости </w:t>
            </w:r>
            <w:r>
              <w:rPr>
                <w:i/>
              </w:rPr>
              <w:t>e</w:t>
            </w:r>
            <w:r>
              <w:t>, равном</w:t>
            </w:r>
          </w:p>
        </w:tc>
        <w:tc>
          <w:tcPr>
            <w:tcW w:w="1814" w:type="dxa"/>
            <w:vMerge w:val="restart"/>
            <w:vAlign w:val="center"/>
          </w:tcPr>
          <w:p w:rsidR="00E35632" w:rsidRDefault="00E35632">
            <w:pPr>
              <w:pStyle w:val="ConsPlusNormal"/>
              <w:jc w:val="center"/>
            </w:pPr>
            <w:r>
              <w:rPr>
                <w:i/>
              </w:rPr>
              <w:t>m</w:t>
            </w:r>
            <w:r>
              <w:rPr>
                <w:i/>
                <w:vertAlign w:val="subscript"/>
              </w:rPr>
              <w:t>ko</w:t>
            </w:r>
            <w:r>
              <w:t xml:space="preserve"> = </w:t>
            </w:r>
            <w:r>
              <w:rPr>
                <w:i/>
              </w:rPr>
              <w:t>f</w:t>
            </w:r>
            <w:r>
              <w:t>(</w:t>
            </w:r>
            <w:r>
              <w:rPr>
                <w:i/>
              </w:rPr>
              <w:t>e</w:t>
            </w:r>
            <w:r>
              <w:t>)</w:t>
            </w:r>
          </w:p>
        </w:tc>
      </w:tr>
      <w:tr w:rsidR="00E35632">
        <w:tc>
          <w:tcPr>
            <w:tcW w:w="0" w:type="auto"/>
            <w:vMerge/>
          </w:tcPr>
          <w:p w:rsidR="00E35632" w:rsidRDefault="00E35632">
            <w:pPr>
              <w:pStyle w:val="ConsPlusNormal"/>
            </w:pPr>
          </w:p>
        </w:tc>
        <w:tc>
          <w:tcPr>
            <w:tcW w:w="680" w:type="dxa"/>
            <w:vAlign w:val="center"/>
          </w:tcPr>
          <w:p w:rsidR="00E35632" w:rsidRDefault="00E35632">
            <w:pPr>
              <w:pStyle w:val="ConsPlusNormal"/>
              <w:jc w:val="center"/>
            </w:pPr>
            <w:r>
              <w:t>0,45</w:t>
            </w:r>
          </w:p>
        </w:tc>
        <w:tc>
          <w:tcPr>
            <w:tcW w:w="680" w:type="dxa"/>
            <w:vAlign w:val="center"/>
          </w:tcPr>
          <w:p w:rsidR="00E35632" w:rsidRDefault="00E35632">
            <w:pPr>
              <w:pStyle w:val="ConsPlusNormal"/>
              <w:jc w:val="center"/>
            </w:pPr>
            <w:r>
              <w:t>0,55</w:t>
            </w:r>
          </w:p>
        </w:tc>
        <w:tc>
          <w:tcPr>
            <w:tcW w:w="737" w:type="dxa"/>
            <w:vAlign w:val="center"/>
          </w:tcPr>
          <w:p w:rsidR="00E35632" w:rsidRDefault="00E35632">
            <w:pPr>
              <w:pStyle w:val="ConsPlusNormal"/>
              <w:jc w:val="center"/>
            </w:pPr>
            <w:r>
              <w:t>0,65</w:t>
            </w:r>
          </w:p>
        </w:tc>
        <w:tc>
          <w:tcPr>
            <w:tcW w:w="680" w:type="dxa"/>
            <w:vAlign w:val="center"/>
          </w:tcPr>
          <w:p w:rsidR="00E35632" w:rsidRDefault="00E35632">
            <w:pPr>
              <w:pStyle w:val="ConsPlusNormal"/>
              <w:jc w:val="center"/>
            </w:pPr>
            <w:r>
              <w:t>0,75</w:t>
            </w:r>
          </w:p>
        </w:tc>
        <w:tc>
          <w:tcPr>
            <w:tcW w:w="680" w:type="dxa"/>
            <w:vAlign w:val="center"/>
          </w:tcPr>
          <w:p w:rsidR="00E35632" w:rsidRDefault="00E35632">
            <w:pPr>
              <w:pStyle w:val="ConsPlusNormal"/>
              <w:jc w:val="center"/>
            </w:pPr>
            <w:r>
              <w:t>0,85</w:t>
            </w:r>
          </w:p>
        </w:tc>
        <w:tc>
          <w:tcPr>
            <w:tcW w:w="680" w:type="dxa"/>
            <w:vAlign w:val="center"/>
          </w:tcPr>
          <w:p w:rsidR="00E35632" w:rsidRDefault="00E35632">
            <w:pPr>
              <w:pStyle w:val="ConsPlusNormal"/>
              <w:jc w:val="center"/>
            </w:pPr>
            <w:r>
              <w:t>0,95</w:t>
            </w:r>
          </w:p>
        </w:tc>
        <w:tc>
          <w:tcPr>
            <w:tcW w:w="680" w:type="dxa"/>
            <w:vAlign w:val="center"/>
          </w:tcPr>
          <w:p w:rsidR="00E35632" w:rsidRDefault="00E35632">
            <w:pPr>
              <w:pStyle w:val="ConsPlusNormal"/>
              <w:jc w:val="center"/>
            </w:pPr>
            <w:r>
              <w:t>1,05</w:t>
            </w:r>
          </w:p>
        </w:tc>
        <w:tc>
          <w:tcPr>
            <w:tcW w:w="0" w:type="auto"/>
            <w:vMerge/>
          </w:tcPr>
          <w:p w:rsidR="00E35632" w:rsidRDefault="00E35632">
            <w:pPr>
              <w:pStyle w:val="ConsPlusNormal"/>
            </w:pPr>
          </w:p>
        </w:tc>
      </w:tr>
      <w:tr w:rsidR="00E35632">
        <w:tc>
          <w:tcPr>
            <w:tcW w:w="2438" w:type="dxa"/>
            <w:vAlign w:val="center"/>
          </w:tcPr>
          <w:p w:rsidR="00E35632" w:rsidRDefault="00E35632">
            <w:pPr>
              <w:pStyle w:val="ConsPlusNormal"/>
              <w:jc w:val="center"/>
            </w:pPr>
            <w:r>
              <w:t>Мягкопластичные</w:t>
            </w:r>
          </w:p>
          <w:p w:rsidR="00E35632" w:rsidRDefault="00E35632">
            <w:pPr>
              <w:pStyle w:val="ConsPlusNormal"/>
              <w:jc w:val="center"/>
            </w:pPr>
            <w:r>
              <w:t xml:space="preserve">0,50 &lt; </w:t>
            </w:r>
            <w:r>
              <w:rPr>
                <w:i/>
              </w:rPr>
              <w:t>I</w:t>
            </w:r>
            <w:r>
              <w:rPr>
                <w:i/>
                <w:vertAlign w:val="subscript"/>
              </w:rPr>
              <w:t>L</w:t>
            </w:r>
            <w:r>
              <w:t xml:space="preserve"> &lt;= 0,75</w:t>
            </w:r>
          </w:p>
        </w:tc>
        <w:tc>
          <w:tcPr>
            <w:tcW w:w="680" w:type="dxa"/>
            <w:vAlign w:val="center"/>
          </w:tcPr>
          <w:p w:rsidR="00E35632" w:rsidRDefault="00E35632">
            <w:pPr>
              <w:pStyle w:val="ConsPlusNormal"/>
              <w:jc w:val="center"/>
            </w:pPr>
          </w:p>
        </w:tc>
        <w:tc>
          <w:tcPr>
            <w:tcW w:w="680" w:type="dxa"/>
            <w:vAlign w:val="center"/>
          </w:tcPr>
          <w:p w:rsidR="00E35632" w:rsidRDefault="00E35632">
            <w:pPr>
              <w:pStyle w:val="ConsPlusNormal"/>
              <w:jc w:val="center"/>
            </w:pPr>
          </w:p>
        </w:tc>
        <w:tc>
          <w:tcPr>
            <w:tcW w:w="737" w:type="dxa"/>
            <w:vAlign w:val="center"/>
          </w:tcPr>
          <w:p w:rsidR="00E35632" w:rsidRDefault="00E35632">
            <w:pPr>
              <w:pStyle w:val="ConsPlusNormal"/>
              <w:jc w:val="center"/>
            </w:pPr>
            <w:r>
              <w:t>1,5</w:t>
            </w:r>
          </w:p>
        </w:tc>
        <w:tc>
          <w:tcPr>
            <w:tcW w:w="680" w:type="dxa"/>
            <w:vAlign w:val="center"/>
          </w:tcPr>
          <w:p w:rsidR="00E35632" w:rsidRDefault="00E35632">
            <w:pPr>
              <w:pStyle w:val="ConsPlusNormal"/>
              <w:jc w:val="center"/>
            </w:pPr>
            <w:r>
              <w:t>1,6</w:t>
            </w:r>
          </w:p>
        </w:tc>
        <w:tc>
          <w:tcPr>
            <w:tcW w:w="680" w:type="dxa"/>
            <w:vAlign w:val="center"/>
          </w:tcPr>
          <w:p w:rsidR="00E35632" w:rsidRDefault="00E35632">
            <w:pPr>
              <w:pStyle w:val="ConsPlusNormal"/>
              <w:jc w:val="center"/>
            </w:pPr>
            <w:r>
              <w:t>1,6</w:t>
            </w:r>
          </w:p>
        </w:tc>
        <w:tc>
          <w:tcPr>
            <w:tcW w:w="680" w:type="dxa"/>
            <w:vAlign w:val="center"/>
          </w:tcPr>
          <w:p w:rsidR="00E35632" w:rsidRDefault="00E35632">
            <w:pPr>
              <w:pStyle w:val="ConsPlusNormal"/>
              <w:jc w:val="center"/>
            </w:pPr>
            <w:r>
              <w:t>1,7</w:t>
            </w:r>
          </w:p>
        </w:tc>
        <w:tc>
          <w:tcPr>
            <w:tcW w:w="680" w:type="dxa"/>
            <w:vAlign w:val="center"/>
          </w:tcPr>
          <w:p w:rsidR="00E35632" w:rsidRDefault="00E35632">
            <w:pPr>
              <w:pStyle w:val="ConsPlusNormal"/>
              <w:jc w:val="center"/>
            </w:pPr>
            <w:r>
              <w:t>1,8</w:t>
            </w:r>
          </w:p>
        </w:tc>
        <w:tc>
          <w:tcPr>
            <w:tcW w:w="1814" w:type="dxa"/>
            <w:vAlign w:val="center"/>
          </w:tcPr>
          <w:p w:rsidR="00E35632" w:rsidRDefault="00E35632">
            <w:pPr>
              <w:pStyle w:val="ConsPlusNormal"/>
              <w:jc w:val="center"/>
            </w:pPr>
            <w:r>
              <w:rPr>
                <w:i/>
              </w:rPr>
              <w:t>m</w:t>
            </w:r>
            <w:r>
              <w:rPr>
                <w:i/>
                <w:vertAlign w:val="subscript"/>
              </w:rPr>
              <w:t>ko</w:t>
            </w:r>
            <w:r>
              <w:t xml:space="preserve"> = 0,6</w:t>
            </w:r>
            <w:r>
              <w:rPr>
                <w:i/>
              </w:rPr>
              <w:t>e</w:t>
            </w:r>
            <w:r>
              <w:t xml:space="preserve"> + 1,2</w:t>
            </w:r>
          </w:p>
        </w:tc>
      </w:tr>
      <w:tr w:rsidR="00E35632">
        <w:tc>
          <w:tcPr>
            <w:tcW w:w="2438" w:type="dxa"/>
            <w:vAlign w:val="center"/>
          </w:tcPr>
          <w:p w:rsidR="00E35632" w:rsidRDefault="00E35632">
            <w:pPr>
              <w:pStyle w:val="ConsPlusNormal"/>
              <w:jc w:val="center"/>
            </w:pPr>
            <w:r>
              <w:t>Тугопластичные</w:t>
            </w:r>
          </w:p>
          <w:p w:rsidR="00E35632" w:rsidRDefault="00E35632">
            <w:pPr>
              <w:pStyle w:val="ConsPlusNormal"/>
              <w:jc w:val="center"/>
            </w:pPr>
            <w:r>
              <w:t xml:space="preserve">0,25 &lt; </w:t>
            </w:r>
            <w:r>
              <w:rPr>
                <w:i/>
              </w:rPr>
              <w:t>I</w:t>
            </w:r>
            <w:r>
              <w:rPr>
                <w:i/>
                <w:vertAlign w:val="subscript"/>
              </w:rPr>
              <w:t>L</w:t>
            </w:r>
            <w:r>
              <w:t xml:space="preserve"> &lt;= 0,50</w:t>
            </w:r>
          </w:p>
        </w:tc>
        <w:tc>
          <w:tcPr>
            <w:tcW w:w="680" w:type="dxa"/>
            <w:vAlign w:val="center"/>
          </w:tcPr>
          <w:p w:rsidR="00E35632" w:rsidRDefault="00E35632">
            <w:pPr>
              <w:pStyle w:val="ConsPlusNormal"/>
              <w:jc w:val="center"/>
            </w:pPr>
          </w:p>
        </w:tc>
        <w:tc>
          <w:tcPr>
            <w:tcW w:w="680" w:type="dxa"/>
            <w:vAlign w:val="center"/>
          </w:tcPr>
          <w:p w:rsidR="00E35632" w:rsidRDefault="00E35632">
            <w:pPr>
              <w:pStyle w:val="ConsPlusNormal"/>
              <w:jc w:val="center"/>
            </w:pPr>
            <w:r>
              <w:t>1,9</w:t>
            </w:r>
          </w:p>
        </w:tc>
        <w:tc>
          <w:tcPr>
            <w:tcW w:w="737" w:type="dxa"/>
            <w:vAlign w:val="center"/>
          </w:tcPr>
          <w:p w:rsidR="00E35632" w:rsidRDefault="00E35632">
            <w:pPr>
              <w:pStyle w:val="ConsPlusNormal"/>
              <w:jc w:val="center"/>
            </w:pPr>
            <w:r>
              <w:t>2,0</w:t>
            </w:r>
          </w:p>
        </w:tc>
        <w:tc>
          <w:tcPr>
            <w:tcW w:w="680" w:type="dxa"/>
            <w:vAlign w:val="center"/>
          </w:tcPr>
          <w:p w:rsidR="00E35632" w:rsidRDefault="00E35632">
            <w:pPr>
              <w:pStyle w:val="ConsPlusNormal"/>
              <w:jc w:val="center"/>
            </w:pPr>
            <w:r>
              <w:t>2,1</w:t>
            </w:r>
          </w:p>
        </w:tc>
        <w:tc>
          <w:tcPr>
            <w:tcW w:w="680" w:type="dxa"/>
            <w:vAlign w:val="center"/>
          </w:tcPr>
          <w:p w:rsidR="00E35632" w:rsidRDefault="00E35632">
            <w:pPr>
              <w:pStyle w:val="ConsPlusNormal"/>
              <w:jc w:val="center"/>
            </w:pPr>
            <w:r>
              <w:t>2,2</w:t>
            </w:r>
          </w:p>
        </w:tc>
        <w:tc>
          <w:tcPr>
            <w:tcW w:w="680" w:type="dxa"/>
            <w:vAlign w:val="center"/>
          </w:tcPr>
          <w:p w:rsidR="00E35632" w:rsidRDefault="00E35632">
            <w:pPr>
              <w:pStyle w:val="ConsPlusNormal"/>
              <w:jc w:val="center"/>
            </w:pPr>
            <w:r>
              <w:t>2,3</w:t>
            </w:r>
          </w:p>
        </w:tc>
        <w:tc>
          <w:tcPr>
            <w:tcW w:w="680" w:type="dxa"/>
            <w:vAlign w:val="center"/>
          </w:tcPr>
          <w:p w:rsidR="00E35632" w:rsidRDefault="00E35632">
            <w:pPr>
              <w:pStyle w:val="ConsPlusNormal"/>
              <w:jc w:val="center"/>
            </w:pPr>
            <w:r>
              <w:t>2,4</w:t>
            </w:r>
          </w:p>
        </w:tc>
        <w:tc>
          <w:tcPr>
            <w:tcW w:w="1814" w:type="dxa"/>
            <w:vAlign w:val="center"/>
          </w:tcPr>
          <w:p w:rsidR="00E35632" w:rsidRDefault="00E35632">
            <w:pPr>
              <w:pStyle w:val="ConsPlusNormal"/>
              <w:jc w:val="center"/>
            </w:pPr>
            <w:r>
              <w:rPr>
                <w:i/>
              </w:rPr>
              <w:t>m</w:t>
            </w:r>
            <w:r>
              <w:rPr>
                <w:i/>
                <w:vertAlign w:val="subscript"/>
              </w:rPr>
              <w:t>ko</w:t>
            </w:r>
            <w:r>
              <w:t xml:space="preserve"> = 0,9</w:t>
            </w:r>
            <w:r>
              <w:rPr>
                <w:i/>
              </w:rPr>
              <w:t>e</w:t>
            </w:r>
            <w:r>
              <w:t xml:space="preserve"> + 1,4</w:t>
            </w:r>
          </w:p>
        </w:tc>
      </w:tr>
      <w:tr w:rsidR="00E35632">
        <w:tc>
          <w:tcPr>
            <w:tcW w:w="2438" w:type="dxa"/>
            <w:vAlign w:val="center"/>
          </w:tcPr>
          <w:p w:rsidR="00E35632" w:rsidRDefault="00E35632">
            <w:pPr>
              <w:pStyle w:val="ConsPlusNormal"/>
              <w:jc w:val="center"/>
            </w:pPr>
            <w:r>
              <w:t>Полутвердые</w:t>
            </w:r>
          </w:p>
          <w:p w:rsidR="00E35632" w:rsidRDefault="00E35632">
            <w:pPr>
              <w:pStyle w:val="ConsPlusNormal"/>
              <w:jc w:val="center"/>
            </w:pPr>
            <w:r>
              <w:t xml:space="preserve">0 &lt;= </w:t>
            </w:r>
            <w:r>
              <w:rPr>
                <w:i/>
              </w:rPr>
              <w:t>I</w:t>
            </w:r>
            <w:r>
              <w:rPr>
                <w:i/>
                <w:vertAlign w:val="subscript"/>
              </w:rPr>
              <w:t>L</w:t>
            </w:r>
            <w:r>
              <w:t xml:space="preserve"> &lt;= 0,25</w:t>
            </w:r>
          </w:p>
        </w:tc>
        <w:tc>
          <w:tcPr>
            <w:tcW w:w="680" w:type="dxa"/>
            <w:vAlign w:val="center"/>
          </w:tcPr>
          <w:p w:rsidR="00E35632" w:rsidRDefault="00E35632">
            <w:pPr>
              <w:pStyle w:val="ConsPlusNormal"/>
              <w:jc w:val="center"/>
            </w:pPr>
          </w:p>
        </w:tc>
        <w:tc>
          <w:tcPr>
            <w:tcW w:w="680" w:type="dxa"/>
            <w:vAlign w:val="center"/>
          </w:tcPr>
          <w:p w:rsidR="00E35632" w:rsidRDefault="00E35632">
            <w:pPr>
              <w:pStyle w:val="ConsPlusNormal"/>
              <w:jc w:val="center"/>
            </w:pPr>
            <w:r>
              <w:t>2,4</w:t>
            </w:r>
          </w:p>
        </w:tc>
        <w:tc>
          <w:tcPr>
            <w:tcW w:w="737" w:type="dxa"/>
            <w:vAlign w:val="center"/>
          </w:tcPr>
          <w:p w:rsidR="00E35632" w:rsidRDefault="00E35632">
            <w:pPr>
              <w:pStyle w:val="ConsPlusNormal"/>
              <w:jc w:val="center"/>
            </w:pPr>
            <w:r>
              <w:t>2,5</w:t>
            </w:r>
          </w:p>
        </w:tc>
        <w:tc>
          <w:tcPr>
            <w:tcW w:w="680" w:type="dxa"/>
            <w:vAlign w:val="center"/>
          </w:tcPr>
          <w:p w:rsidR="00E35632" w:rsidRDefault="00E35632">
            <w:pPr>
              <w:pStyle w:val="ConsPlusNormal"/>
              <w:jc w:val="center"/>
            </w:pPr>
            <w:r>
              <w:t>2,6</w:t>
            </w:r>
          </w:p>
        </w:tc>
        <w:tc>
          <w:tcPr>
            <w:tcW w:w="680" w:type="dxa"/>
            <w:vAlign w:val="center"/>
          </w:tcPr>
          <w:p w:rsidR="00E35632" w:rsidRDefault="00E35632">
            <w:pPr>
              <w:pStyle w:val="ConsPlusNormal"/>
              <w:jc w:val="center"/>
            </w:pPr>
            <w:r>
              <w:t>2,7</w:t>
            </w:r>
          </w:p>
        </w:tc>
        <w:tc>
          <w:tcPr>
            <w:tcW w:w="680" w:type="dxa"/>
            <w:vAlign w:val="center"/>
          </w:tcPr>
          <w:p w:rsidR="00E35632" w:rsidRDefault="00E35632">
            <w:pPr>
              <w:pStyle w:val="ConsPlusNormal"/>
              <w:jc w:val="center"/>
            </w:pPr>
            <w:r>
              <w:t>2,8</w:t>
            </w:r>
          </w:p>
        </w:tc>
        <w:tc>
          <w:tcPr>
            <w:tcW w:w="680" w:type="dxa"/>
            <w:vAlign w:val="center"/>
          </w:tcPr>
          <w:p w:rsidR="00E35632" w:rsidRDefault="00E35632">
            <w:pPr>
              <w:pStyle w:val="ConsPlusNormal"/>
              <w:jc w:val="center"/>
            </w:pPr>
            <w:r>
              <w:t>2,9</w:t>
            </w:r>
          </w:p>
        </w:tc>
        <w:tc>
          <w:tcPr>
            <w:tcW w:w="1814" w:type="dxa"/>
            <w:vAlign w:val="center"/>
          </w:tcPr>
          <w:p w:rsidR="00E35632" w:rsidRDefault="00E35632">
            <w:pPr>
              <w:pStyle w:val="ConsPlusNormal"/>
              <w:jc w:val="center"/>
            </w:pPr>
            <w:r>
              <w:rPr>
                <w:i/>
              </w:rPr>
              <w:t>m</w:t>
            </w:r>
            <w:r>
              <w:rPr>
                <w:i/>
                <w:vertAlign w:val="subscript"/>
              </w:rPr>
              <w:t>ko</w:t>
            </w:r>
            <w:r>
              <w:t xml:space="preserve"> = 1,1</w:t>
            </w:r>
            <w:r>
              <w:rPr>
                <w:i/>
              </w:rPr>
              <w:t>e</w:t>
            </w:r>
            <w:r>
              <w:t xml:space="preserve"> + 1,7</w:t>
            </w:r>
          </w:p>
        </w:tc>
      </w:tr>
      <w:tr w:rsidR="00E35632">
        <w:tc>
          <w:tcPr>
            <w:tcW w:w="2438" w:type="dxa"/>
            <w:vAlign w:val="center"/>
          </w:tcPr>
          <w:p w:rsidR="00E35632" w:rsidRDefault="00E35632">
            <w:pPr>
              <w:pStyle w:val="ConsPlusNormal"/>
              <w:jc w:val="center"/>
            </w:pPr>
            <w:r>
              <w:t>Твердые</w:t>
            </w:r>
          </w:p>
          <w:p w:rsidR="00E35632" w:rsidRDefault="00E35632">
            <w:pPr>
              <w:pStyle w:val="ConsPlusNormal"/>
              <w:jc w:val="center"/>
            </w:pPr>
            <w:r>
              <w:rPr>
                <w:i/>
              </w:rPr>
              <w:t>I</w:t>
            </w:r>
            <w:r>
              <w:rPr>
                <w:i/>
                <w:vertAlign w:val="subscript"/>
              </w:rPr>
              <w:t>L</w:t>
            </w:r>
            <w:r>
              <w:t xml:space="preserve"> &lt; 0</w:t>
            </w:r>
          </w:p>
        </w:tc>
        <w:tc>
          <w:tcPr>
            <w:tcW w:w="680" w:type="dxa"/>
            <w:vAlign w:val="center"/>
          </w:tcPr>
          <w:p w:rsidR="00E35632" w:rsidRDefault="00E35632">
            <w:pPr>
              <w:pStyle w:val="ConsPlusNormal"/>
              <w:jc w:val="center"/>
            </w:pPr>
            <w:r>
              <w:t>1,5</w:t>
            </w:r>
          </w:p>
        </w:tc>
        <w:tc>
          <w:tcPr>
            <w:tcW w:w="680" w:type="dxa"/>
            <w:vAlign w:val="center"/>
          </w:tcPr>
          <w:p w:rsidR="00E35632" w:rsidRDefault="00E35632">
            <w:pPr>
              <w:pStyle w:val="ConsPlusNormal"/>
              <w:jc w:val="center"/>
            </w:pPr>
            <w:r>
              <w:t>1,6</w:t>
            </w:r>
          </w:p>
        </w:tc>
        <w:tc>
          <w:tcPr>
            <w:tcW w:w="737" w:type="dxa"/>
            <w:vAlign w:val="center"/>
          </w:tcPr>
          <w:p w:rsidR="00E35632" w:rsidRDefault="00E35632">
            <w:pPr>
              <w:pStyle w:val="ConsPlusNormal"/>
              <w:jc w:val="center"/>
            </w:pPr>
            <w:r>
              <w:t>1,8</w:t>
            </w:r>
          </w:p>
        </w:tc>
        <w:tc>
          <w:tcPr>
            <w:tcW w:w="680" w:type="dxa"/>
            <w:vAlign w:val="center"/>
          </w:tcPr>
          <w:p w:rsidR="00E35632" w:rsidRDefault="00E35632">
            <w:pPr>
              <w:pStyle w:val="ConsPlusNormal"/>
              <w:jc w:val="center"/>
            </w:pPr>
            <w:r>
              <w:t>2,0</w:t>
            </w:r>
          </w:p>
        </w:tc>
        <w:tc>
          <w:tcPr>
            <w:tcW w:w="680" w:type="dxa"/>
            <w:vAlign w:val="center"/>
          </w:tcPr>
          <w:p w:rsidR="00E35632" w:rsidRDefault="00E35632">
            <w:pPr>
              <w:pStyle w:val="ConsPlusNormal"/>
              <w:jc w:val="center"/>
            </w:pPr>
            <w:r>
              <w:t>2,2</w:t>
            </w:r>
          </w:p>
        </w:tc>
        <w:tc>
          <w:tcPr>
            <w:tcW w:w="680" w:type="dxa"/>
            <w:vAlign w:val="center"/>
          </w:tcPr>
          <w:p w:rsidR="00E35632" w:rsidRDefault="00E35632">
            <w:pPr>
              <w:pStyle w:val="ConsPlusNormal"/>
              <w:jc w:val="center"/>
            </w:pPr>
            <w:r>
              <w:t>2,6</w:t>
            </w:r>
          </w:p>
        </w:tc>
        <w:tc>
          <w:tcPr>
            <w:tcW w:w="680" w:type="dxa"/>
            <w:vAlign w:val="center"/>
          </w:tcPr>
          <w:p w:rsidR="00E35632" w:rsidRDefault="00E35632">
            <w:pPr>
              <w:pStyle w:val="ConsPlusNormal"/>
              <w:jc w:val="center"/>
            </w:pPr>
            <w:r>
              <w:t>3,1</w:t>
            </w:r>
          </w:p>
        </w:tc>
        <w:tc>
          <w:tcPr>
            <w:tcW w:w="1814" w:type="dxa"/>
            <w:vAlign w:val="center"/>
          </w:tcPr>
          <w:p w:rsidR="00E35632" w:rsidRDefault="00E35632">
            <w:pPr>
              <w:pStyle w:val="ConsPlusNormal"/>
              <w:jc w:val="center"/>
            </w:pPr>
            <w:r>
              <w:rPr>
                <w:i/>
              </w:rPr>
              <w:t>m</w:t>
            </w:r>
            <w:r>
              <w:rPr>
                <w:i/>
                <w:vertAlign w:val="subscript"/>
              </w:rPr>
              <w:t>ko</w:t>
            </w:r>
            <w:r>
              <w:t xml:space="preserve"> = 2,6</w:t>
            </w:r>
            <w:r>
              <w:rPr>
                <w:i/>
              </w:rPr>
              <w:t>e</w:t>
            </w:r>
            <w:r>
              <w:t xml:space="preserve"> + 0,2</w:t>
            </w:r>
          </w:p>
        </w:tc>
      </w:tr>
    </w:tbl>
    <w:p w:rsidR="00E35632" w:rsidRDefault="00E35632">
      <w:pPr>
        <w:pStyle w:val="ConsPlusNormal"/>
        <w:ind w:firstLine="540"/>
        <w:jc w:val="both"/>
      </w:pPr>
    </w:p>
    <w:p w:rsidR="00E35632" w:rsidRDefault="00E35632">
      <w:pPr>
        <w:pStyle w:val="ConsPlusNormal"/>
        <w:jc w:val="right"/>
      </w:pPr>
      <w:r>
        <w:t>Таблица П.2</w:t>
      </w:r>
    </w:p>
    <w:p w:rsidR="00E35632" w:rsidRDefault="00E35632">
      <w:pPr>
        <w:pStyle w:val="ConsPlusNormal"/>
        <w:ind w:firstLine="540"/>
        <w:jc w:val="both"/>
      </w:pPr>
    </w:p>
    <w:p w:rsidR="00E35632" w:rsidRDefault="00E35632">
      <w:pPr>
        <w:pStyle w:val="ConsPlusNormal"/>
        <w:jc w:val="center"/>
      </w:pPr>
      <w:bookmarkStart w:id="345" w:name="P8135"/>
      <w:bookmarkEnd w:id="345"/>
      <w:r>
        <w:rPr>
          <w:b/>
        </w:rPr>
        <w:t>Коэффициенты перехода от касательного одометрического</w:t>
      </w:r>
    </w:p>
    <w:p w:rsidR="00E35632" w:rsidRDefault="00E35632">
      <w:pPr>
        <w:pStyle w:val="ConsPlusNormal"/>
        <w:jc w:val="center"/>
      </w:pPr>
      <w:r>
        <w:rPr>
          <w:b/>
        </w:rPr>
        <w:t>модуля к штамповому модулю для суглинков</w:t>
      </w:r>
    </w:p>
    <w:p w:rsidR="00E35632" w:rsidRDefault="00E35632">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438"/>
        <w:gridCol w:w="680"/>
        <w:gridCol w:w="680"/>
        <w:gridCol w:w="737"/>
        <w:gridCol w:w="680"/>
        <w:gridCol w:w="680"/>
        <w:gridCol w:w="680"/>
        <w:gridCol w:w="680"/>
        <w:gridCol w:w="1814"/>
      </w:tblGrid>
      <w:tr w:rsidR="00E35632">
        <w:tc>
          <w:tcPr>
            <w:tcW w:w="2438" w:type="dxa"/>
            <w:vMerge w:val="restart"/>
            <w:vAlign w:val="center"/>
          </w:tcPr>
          <w:p w:rsidR="00E35632" w:rsidRDefault="00E35632">
            <w:pPr>
              <w:pStyle w:val="ConsPlusNormal"/>
              <w:jc w:val="center"/>
            </w:pPr>
            <w:r>
              <w:t xml:space="preserve">Разновидности суглинков (показатель текучести </w:t>
            </w:r>
            <w:r>
              <w:rPr>
                <w:i/>
              </w:rPr>
              <w:t>I</w:t>
            </w:r>
            <w:r>
              <w:rPr>
                <w:i/>
                <w:vertAlign w:val="subscript"/>
              </w:rPr>
              <w:t>L</w:t>
            </w:r>
            <w:r>
              <w:t>, д.е.)</w:t>
            </w:r>
          </w:p>
        </w:tc>
        <w:tc>
          <w:tcPr>
            <w:tcW w:w="4817" w:type="dxa"/>
            <w:gridSpan w:val="7"/>
            <w:vAlign w:val="center"/>
          </w:tcPr>
          <w:p w:rsidR="00E35632" w:rsidRDefault="00E35632">
            <w:pPr>
              <w:pStyle w:val="ConsPlusNormal"/>
              <w:jc w:val="center"/>
            </w:pPr>
            <w:r>
              <w:t xml:space="preserve">Значение коэффициента перехода </w:t>
            </w:r>
            <w:r>
              <w:rPr>
                <w:i/>
              </w:rPr>
              <w:t>m</w:t>
            </w:r>
            <w:r>
              <w:rPr>
                <w:i/>
                <w:vertAlign w:val="subscript"/>
              </w:rPr>
              <w:t>ko</w:t>
            </w:r>
            <w:r>
              <w:t xml:space="preserve"> при коэффициенте пористости </w:t>
            </w:r>
            <w:r>
              <w:rPr>
                <w:i/>
              </w:rPr>
              <w:t>e</w:t>
            </w:r>
            <w:r>
              <w:t>, равном</w:t>
            </w:r>
          </w:p>
        </w:tc>
        <w:tc>
          <w:tcPr>
            <w:tcW w:w="1814" w:type="dxa"/>
            <w:vMerge w:val="restart"/>
            <w:vAlign w:val="center"/>
          </w:tcPr>
          <w:p w:rsidR="00E35632" w:rsidRDefault="00E35632">
            <w:pPr>
              <w:pStyle w:val="ConsPlusNormal"/>
              <w:jc w:val="center"/>
            </w:pPr>
            <w:r>
              <w:rPr>
                <w:i/>
              </w:rPr>
              <w:t>m</w:t>
            </w:r>
            <w:r>
              <w:rPr>
                <w:i/>
                <w:vertAlign w:val="subscript"/>
              </w:rPr>
              <w:t>ko</w:t>
            </w:r>
            <w:r>
              <w:t xml:space="preserve"> = </w:t>
            </w:r>
            <w:r>
              <w:rPr>
                <w:i/>
              </w:rPr>
              <w:t>f</w:t>
            </w:r>
            <w:r>
              <w:t>(</w:t>
            </w:r>
            <w:r>
              <w:rPr>
                <w:i/>
              </w:rPr>
              <w:t>e</w:t>
            </w:r>
            <w:r>
              <w:t>)</w:t>
            </w:r>
          </w:p>
        </w:tc>
      </w:tr>
      <w:tr w:rsidR="00E35632">
        <w:tc>
          <w:tcPr>
            <w:tcW w:w="0" w:type="auto"/>
            <w:vMerge/>
          </w:tcPr>
          <w:p w:rsidR="00E35632" w:rsidRDefault="00E35632">
            <w:pPr>
              <w:pStyle w:val="ConsPlusNormal"/>
            </w:pPr>
          </w:p>
        </w:tc>
        <w:tc>
          <w:tcPr>
            <w:tcW w:w="680" w:type="dxa"/>
            <w:vAlign w:val="center"/>
          </w:tcPr>
          <w:p w:rsidR="00E35632" w:rsidRDefault="00E35632">
            <w:pPr>
              <w:pStyle w:val="ConsPlusNormal"/>
              <w:jc w:val="center"/>
            </w:pPr>
            <w:r>
              <w:t>0,45</w:t>
            </w:r>
          </w:p>
        </w:tc>
        <w:tc>
          <w:tcPr>
            <w:tcW w:w="680" w:type="dxa"/>
            <w:vAlign w:val="center"/>
          </w:tcPr>
          <w:p w:rsidR="00E35632" w:rsidRDefault="00E35632">
            <w:pPr>
              <w:pStyle w:val="ConsPlusNormal"/>
              <w:jc w:val="center"/>
            </w:pPr>
            <w:r>
              <w:t>0,55</w:t>
            </w:r>
          </w:p>
        </w:tc>
        <w:tc>
          <w:tcPr>
            <w:tcW w:w="737" w:type="dxa"/>
            <w:vAlign w:val="center"/>
          </w:tcPr>
          <w:p w:rsidR="00E35632" w:rsidRDefault="00E35632">
            <w:pPr>
              <w:pStyle w:val="ConsPlusNormal"/>
              <w:jc w:val="center"/>
            </w:pPr>
            <w:r>
              <w:t>0,65</w:t>
            </w:r>
          </w:p>
        </w:tc>
        <w:tc>
          <w:tcPr>
            <w:tcW w:w="680" w:type="dxa"/>
            <w:vAlign w:val="center"/>
          </w:tcPr>
          <w:p w:rsidR="00E35632" w:rsidRDefault="00E35632">
            <w:pPr>
              <w:pStyle w:val="ConsPlusNormal"/>
              <w:jc w:val="center"/>
            </w:pPr>
            <w:r>
              <w:t>0,75</w:t>
            </w:r>
          </w:p>
        </w:tc>
        <w:tc>
          <w:tcPr>
            <w:tcW w:w="680" w:type="dxa"/>
            <w:vAlign w:val="center"/>
          </w:tcPr>
          <w:p w:rsidR="00E35632" w:rsidRDefault="00E35632">
            <w:pPr>
              <w:pStyle w:val="ConsPlusNormal"/>
              <w:jc w:val="center"/>
            </w:pPr>
            <w:r>
              <w:t>0,85</w:t>
            </w:r>
          </w:p>
        </w:tc>
        <w:tc>
          <w:tcPr>
            <w:tcW w:w="680" w:type="dxa"/>
            <w:vAlign w:val="center"/>
          </w:tcPr>
          <w:p w:rsidR="00E35632" w:rsidRDefault="00E35632">
            <w:pPr>
              <w:pStyle w:val="ConsPlusNormal"/>
              <w:jc w:val="center"/>
            </w:pPr>
            <w:r>
              <w:t>0,95</w:t>
            </w:r>
          </w:p>
        </w:tc>
        <w:tc>
          <w:tcPr>
            <w:tcW w:w="680" w:type="dxa"/>
            <w:vAlign w:val="center"/>
          </w:tcPr>
          <w:p w:rsidR="00E35632" w:rsidRDefault="00E35632">
            <w:pPr>
              <w:pStyle w:val="ConsPlusNormal"/>
              <w:jc w:val="center"/>
            </w:pPr>
            <w:r>
              <w:t>1,05</w:t>
            </w:r>
          </w:p>
        </w:tc>
        <w:tc>
          <w:tcPr>
            <w:tcW w:w="0" w:type="auto"/>
            <w:vMerge/>
          </w:tcPr>
          <w:p w:rsidR="00E35632" w:rsidRDefault="00E35632">
            <w:pPr>
              <w:pStyle w:val="ConsPlusNormal"/>
            </w:pPr>
          </w:p>
        </w:tc>
      </w:tr>
      <w:tr w:rsidR="00E35632">
        <w:tc>
          <w:tcPr>
            <w:tcW w:w="2438" w:type="dxa"/>
            <w:vAlign w:val="center"/>
          </w:tcPr>
          <w:p w:rsidR="00E35632" w:rsidRDefault="00E35632">
            <w:pPr>
              <w:pStyle w:val="ConsPlusNormal"/>
              <w:jc w:val="center"/>
            </w:pPr>
            <w:r>
              <w:t>Мягкопластичные</w:t>
            </w:r>
          </w:p>
          <w:p w:rsidR="00E35632" w:rsidRDefault="00E35632">
            <w:pPr>
              <w:pStyle w:val="ConsPlusNormal"/>
              <w:jc w:val="center"/>
            </w:pPr>
            <w:r>
              <w:t xml:space="preserve">0,50 &lt; </w:t>
            </w:r>
            <w:r>
              <w:rPr>
                <w:i/>
              </w:rPr>
              <w:t>I</w:t>
            </w:r>
            <w:r>
              <w:rPr>
                <w:i/>
                <w:vertAlign w:val="subscript"/>
              </w:rPr>
              <w:t>L</w:t>
            </w:r>
            <w:r>
              <w:t xml:space="preserve"> &lt;= 0,75</w:t>
            </w:r>
          </w:p>
        </w:tc>
        <w:tc>
          <w:tcPr>
            <w:tcW w:w="680" w:type="dxa"/>
            <w:vAlign w:val="center"/>
          </w:tcPr>
          <w:p w:rsidR="00E35632" w:rsidRDefault="00E35632">
            <w:pPr>
              <w:pStyle w:val="ConsPlusNormal"/>
              <w:jc w:val="center"/>
            </w:pPr>
            <w:r>
              <w:t>2,2</w:t>
            </w:r>
          </w:p>
        </w:tc>
        <w:tc>
          <w:tcPr>
            <w:tcW w:w="680" w:type="dxa"/>
            <w:vAlign w:val="center"/>
          </w:tcPr>
          <w:p w:rsidR="00E35632" w:rsidRDefault="00E35632">
            <w:pPr>
              <w:pStyle w:val="ConsPlusNormal"/>
              <w:jc w:val="center"/>
            </w:pPr>
            <w:r>
              <w:t>2,2</w:t>
            </w:r>
          </w:p>
        </w:tc>
        <w:tc>
          <w:tcPr>
            <w:tcW w:w="737" w:type="dxa"/>
            <w:vAlign w:val="center"/>
          </w:tcPr>
          <w:p w:rsidR="00E35632" w:rsidRDefault="00E35632">
            <w:pPr>
              <w:pStyle w:val="ConsPlusNormal"/>
              <w:jc w:val="center"/>
            </w:pPr>
            <w:r>
              <w:t>2,1</w:t>
            </w:r>
          </w:p>
        </w:tc>
        <w:tc>
          <w:tcPr>
            <w:tcW w:w="680" w:type="dxa"/>
            <w:vAlign w:val="center"/>
          </w:tcPr>
          <w:p w:rsidR="00E35632" w:rsidRDefault="00E35632">
            <w:pPr>
              <w:pStyle w:val="ConsPlusNormal"/>
              <w:jc w:val="center"/>
            </w:pPr>
            <w:r>
              <w:t>2,0</w:t>
            </w:r>
          </w:p>
        </w:tc>
        <w:tc>
          <w:tcPr>
            <w:tcW w:w="680" w:type="dxa"/>
            <w:vAlign w:val="center"/>
          </w:tcPr>
          <w:p w:rsidR="00E35632" w:rsidRDefault="00E35632">
            <w:pPr>
              <w:pStyle w:val="ConsPlusNormal"/>
              <w:jc w:val="center"/>
            </w:pPr>
            <w:r>
              <w:t>2,0</w:t>
            </w:r>
          </w:p>
        </w:tc>
        <w:tc>
          <w:tcPr>
            <w:tcW w:w="680" w:type="dxa"/>
            <w:vAlign w:val="center"/>
          </w:tcPr>
          <w:p w:rsidR="00E35632" w:rsidRDefault="00E35632">
            <w:pPr>
              <w:pStyle w:val="ConsPlusNormal"/>
              <w:jc w:val="center"/>
            </w:pPr>
            <w:r>
              <w:t>1,9</w:t>
            </w:r>
          </w:p>
        </w:tc>
        <w:tc>
          <w:tcPr>
            <w:tcW w:w="680" w:type="dxa"/>
            <w:vAlign w:val="center"/>
          </w:tcPr>
          <w:p w:rsidR="00E35632" w:rsidRDefault="00E35632">
            <w:pPr>
              <w:pStyle w:val="ConsPlusNormal"/>
              <w:jc w:val="center"/>
            </w:pPr>
            <w:r>
              <w:t>1,8</w:t>
            </w:r>
          </w:p>
        </w:tc>
        <w:tc>
          <w:tcPr>
            <w:tcW w:w="1814" w:type="dxa"/>
            <w:vAlign w:val="center"/>
          </w:tcPr>
          <w:p w:rsidR="00E35632" w:rsidRDefault="00E35632">
            <w:pPr>
              <w:pStyle w:val="ConsPlusNormal"/>
              <w:jc w:val="center"/>
            </w:pPr>
            <w:r>
              <w:rPr>
                <w:i/>
              </w:rPr>
              <w:t>m</w:t>
            </w:r>
            <w:r>
              <w:rPr>
                <w:i/>
                <w:vertAlign w:val="subscript"/>
              </w:rPr>
              <w:t>ko</w:t>
            </w:r>
            <w:r>
              <w:t xml:space="preserve"> = -0,6</w:t>
            </w:r>
            <w:r>
              <w:rPr>
                <w:i/>
              </w:rPr>
              <w:t>e</w:t>
            </w:r>
            <w:r>
              <w:t xml:space="preserve"> + 2,5</w:t>
            </w:r>
          </w:p>
        </w:tc>
      </w:tr>
      <w:tr w:rsidR="00E35632">
        <w:tc>
          <w:tcPr>
            <w:tcW w:w="2438" w:type="dxa"/>
            <w:vAlign w:val="center"/>
          </w:tcPr>
          <w:p w:rsidR="00E35632" w:rsidRDefault="00E35632">
            <w:pPr>
              <w:pStyle w:val="ConsPlusNormal"/>
              <w:jc w:val="center"/>
            </w:pPr>
            <w:r>
              <w:t>Тугопластичные</w:t>
            </w:r>
          </w:p>
          <w:p w:rsidR="00E35632" w:rsidRDefault="00E35632">
            <w:pPr>
              <w:pStyle w:val="ConsPlusNormal"/>
              <w:jc w:val="center"/>
            </w:pPr>
            <w:r>
              <w:t xml:space="preserve">0,25 &lt; </w:t>
            </w:r>
            <w:r>
              <w:rPr>
                <w:i/>
              </w:rPr>
              <w:t>I</w:t>
            </w:r>
            <w:r>
              <w:rPr>
                <w:i/>
                <w:vertAlign w:val="subscript"/>
              </w:rPr>
              <w:t>L</w:t>
            </w:r>
            <w:r>
              <w:t xml:space="preserve"> &lt;= 0,50</w:t>
            </w:r>
          </w:p>
        </w:tc>
        <w:tc>
          <w:tcPr>
            <w:tcW w:w="680" w:type="dxa"/>
            <w:vAlign w:val="center"/>
          </w:tcPr>
          <w:p w:rsidR="00E35632" w:rsidRDefault="00E35632">
            <w:pPr>
              <w:pStyle w:val="ConsPlusNormal"/>
              <w:jc w:val="center"/>
            </w:pPr>
            <w:r>
              <w:t>2,4</w:t>
            </w:r>
          </w:p>
        </w:tc>
        <w:tc>
          <w:tcPr>
            <w:tcW w:w="680" w:type="dxa"/>
            <w:vAlign w:val="center"/>
          </w:tcPr>
          <w:p w:rsidR="00E35632" w:rsidRDefault="00E35632">
            <w:pPr>
              <w:pStyle w:val="ConsPlusNormal"/>
              <w:jc w:val="center"/>
            </w:pPr>
            <w:r>
              <w:t>2,4</w:t>
            </w:r>
          </w:p>
        </w:tc>
        <w:tc>
          <w:tcPr>
            <w:tcW w:w="737" w:type="dxa"/>
            <w:vAlign w:val="center"/>
          </w:tcPr>
          <w:p w:rsidR="00E35632" w:rsidRDefault="00E35632">
            <w:pPr>
              <w:pStyle w:val="ConsPlusNormal"/>
              <w:jc w:val="center"/>
            </w:pPr>
            <w:r>
              <w:t>2,4</w:t>
            </w:r>
          </w:p>
        </w:tc>
        <w:tc>
          <w:tcPr>
            <w:tcW w:w="680" w:type="dxa"/>
            <w:vAlign w:val="center"/>
          </w:tcPr>
          <w:p w:rsidR="00E35632" w:rsidRDefault="00E35632">
            <w:pPr>
              <w:pStyle w:val="ConsPlusNormal"/>
              <w:jc w:val="center"/>
            </w:pPr>
            <w:r>
              <w:t>2,5</w:t>
            </w:r>
          </w:p>
        </w:tc>
        <w:tc>
          <w:tcPr>
            <w:tcW w:w="680" w:type="dxa"/>
            <w:vAlign w:val="center"/>
          </w:tcPr>
          <w:p w:rsidR="00E35632" w:rsidRDefault="00E35632">
            <w:pPr>
              <w:pStyle w:val="ConsPlusNormal"/>
              <w:jc w:val="center"/>
            </w:pPr>
            <w:r>
              <w:t>2,5</w:t>
            </w:r>
          </w:p>
        </w:tc>
        <w:tc>
          <w:tcPr>
            <w:tcW w:w="680" w:type="dxa"/>
            <w:vAlign w:val="center"/>
          </w:tcPr>
          <w:p w:rsidR="00E35632" w:rsidRDefault="00E35632">
            <w:pPr>
              <w:pStyle w:val="ConsPlusNormal"/>
              <w:jc w:val="center"/>
            </w:pPr>
            <w:r>
              <w:t>2,5</w:t>
            </w:r>
          </w:p>
        </w:tc>
        <w:tc>
          <w:tcPr>
            <w:tcW w:w="680" w:type="dxa"/>
            <w:vAlign w:val="center"/>
          </w:tcPr>
          <w:p w:rsidR="00E35632" w:rsidRDefault="00E35632">
            <w:pPr>
              <w:pStyle w:val="ConsPlusNormal"/>
              <w:jc w:val="center"/>
            </w:pPr>
            <w:r>
              <w:t>2,6</w:t>
            </w:r>
          </w:p>
        </w:tc>
        <w:tc>
          <w:tcPr>
            <w:tcW w:w="1814" w:type="dxa"/>
            <w:vAlign w:val="center"/>
          </w:tcPr>
          <w:p w:rsidR="00E35632" w:rsidRDefault="00E35632">
            <w:pPr>
              <w:pStyle w:val="ConsPlusNormal"/>
              <w:jc w:val="center"/>
            </w:pPr>
            <w:r>
              <w:rPr>
                <w:i/>
              </w:rPr>
              <w:t>m</w:t>
            </w:r>
            <w:r>
              <w:rPr>
                <w:i/>
                <w:vertAlign w:val="subscript"/>
              </w:rPr>
              <w:t>ko</w:t>
            </w:r>
            <w:r>
              <w:t xml:space="preserve"> = 0,4</w:t>
            </w:r>
            <w:r>
              <w:rPr>
                <w:i/>
              </w:rPr>
              <w:t>e</w:t>
            </w:r>
            <w:r>
              <w:t xml:space="preserve"> + 2,2</w:t>
            </w:r>
          </w:p>
        </w:tc>
      </w:tr>
      <w:tr w:rsidR="00E35632">
        <w:tc>
          <w:tcPr>
            <w:tcW w:w="2438" w:type="dxa"/>
            <w:vAlign w:val="center"/>
          </w:tcPr>
          <w:p w:rsidR="00E35632" w:rsidRDefault="00E35632">
            <w:pPr>
              <w:pStyle w:val="ConsPlusNormal"/>
              <w:jc w:val="center"/>
            </w:pPr>
            <w:r>
              <w:t>Полутвердые</w:t>
            </w:r>
          </w:p>
          <w:p w:rsidR="00E35632" w:rsidRDefault="00E35632">
            <w:pPr>
              <w:pStyle w:val="ConsPlusNormal"/>
              <w:jc w:val="center"/>
            </w:pPr>
            <w:r>
              <w:t xml:space="preserve">0 &lt;= </w:t>
            </w:r>
            <w:r>
              <w:rPr>
                <w:i/>
              </w:rPr>
              <w:t>I</w:t>
            </w:r>
            <w:r>
              <w:rPr>
                <w:i/>
                <w:vertAlign w:val="subscript"/>
              </w:rPr>
              <w:t>L</w:t>
            </w:r>
            <w:r>
              <w:t xml:space="preserve"> &lt;= 0,25</w:t>
            </w:r>
          </w:p>
        </w:tc>
        <w:tc>
          <w:tcPr>
            <w:tcW w:w="680" w:type="dxa"/>
            <w:vAlign w:val="center"/>
          </w:tcPr>
          <w:p w:rsidR="00E35632" w:rsidRDefault="00E35632">
            <w:pPr>
              <w:pStyle w:val="ConsPlusNormal"/>
              <w:jc w:val="center"/>
            </w:pPr>
            <w:r>
              <w:t>2,5</w:t>
            </w:r>
          </w:p>
        </w:tc>
        <w:tc>
          <w:tcPr>
            <w:tcW w:w="680" w:type="dxa"/>
            <w:vAlign w:val="center"/>
          </w:tcPr>
          <w:p w:rsidR="00E35632" w:rsidRDefault="00E35632">
            <w:pPr>
              <w:pStyle w:val="ConsPlusNormal"/>
              <w:jc w:val="center"/>
            </w:pPr>
            <w:r>
              <w:t>2,6</w:t>
            </w:r>
          </w:p>
        </w:tc>
        <w:tc>
          <w:tcPr>
            <w:tcW w:w="737" w:type="dxa"/>
            <w:vAlign w:val="center"/>
          </w:tcPr>
          <w:p w:rsidR="00E35632" w:rsidRDefault="00E35632">
            <w:pPr>
              <w:pStyle w:val="ConsPlusNormal"/>
              <w:jc w:val="center"/>
            </w:pPr>
            <w:r>
              <w:t>2,7</w:t>
            </w:r>
          </w:p>
        </w:tc>
        <w:tc>
          <w:tcPr>
            <w:tcW w:w="680" w:type="dxa"/>
            <w:vAlign w:val="center"/>
          </w:tcPr>
          <w:p w:rsidR="00E35632" w:rsidRDefault="00E35632">
            <w:pPr>
              <w:pStyle w:val="ConsPlusNormal"/>
              <w:jc w:val="center"/>
            </w:pPr>
            <w:r>
              <w:t>2,8</w:t>
            </w:r>
          </w:p>
        </w:tc>
        <w:tc>
          <w:tcPr>
            <w:tcW w:w="680" w:type="dxa"/>
            <w:vAlign w:val="center"/>
          </w:tcPr>
          <w:p w:rsidR="00E35632" w:rsidRDefault="00E35632">
            <w:pPr>
              <w:pStyle w:val="ConsPlusNormal"/>
              <w:jc w:val="center"/>
            </w:pPr>
            <w:r>
              <w:t>2,9</w:t>
            </w:r>
          </w:p>
        </w:tc>
        <w:tc>
          <w:tcPr>
            <w:tcW w:w="680" w:type="dxa"/>
            <w:vAlign w:val="center"/>
          </w:tcPr>
          <w:p w:rsidR="00E35632" w:rsidRDefault="00E35632">
            <w:pPr>
              <w:pStyle w:val="ConsPlusNormal"/>
              <w:jc w:val="center"/>
            </w:pPr>
            <w:r>
              <w:t>3,1</w:t>
            </w:r>
          </w:p>
        </w:tc>
        <w:tc>
          <w:tcPr>
            <w:tcW w:w="680" w:type="dxa"/>
            <w:vAlign w:val="center"/>
          </w:tcPr>
          <w:p w:rsidR="00E35632" w:rsidRDefault="00E35632">
            <w:pPr>
              <w:pStyle w:val="ConsPlusNormal"/>
              <w:jc w:val="center"/>
            </w:pPr>
            <w:r>
              <w:t>3,3</w:t>
            </w:r>
          </w:p>
        </w:tc>
        <w:tc>
          <w:tcPr>
            <w:tcW w:w="1814" w:type="dxa"/>
            <w:vAlign w:val="center"/>
          </w:tcPr>
          <w:p w:rsidR="00E35632" w:rsidRDefault="00E35632">
            <w:pPr>
              <w:pStyle w:val="ConsPlusNormal"/>
              <w:jc w:val="center"/>
            </w:pPr>
            <w:r>
              <w:rPr>
                <w:i/>
              </w:rPr>
              <w:t>m</w:t>
            </w:r>
            <w:r>
              <w:rPr>
                <w:i/>
                <w:vertAlign w:val="subscript"/>
              </w:rPr>
              <w:t>ko</w:t>
            </w:r>
            <w:r>
              <w:t xml:space="preserve"> = 1,2</w:t>
            </w:r>
            <w:r>
              <w:rPr>
                <w:i/>
              </w:rPr>
              <w:t>e</w:t>
            </w:r>
            <w:r>
              <w:t xml:space="preserve"> + 1,9</w:t>
            </w:r>
          </w:p>
        </w:tc>
      </w:tr>
      <w:tr w:rsidR="00E35632">
        <w:tc>
          <w:tcPr>
            <w:tcW w:w="2438" w:type="dxa"/>
            <w:vAlign w:val="center"/>
          </w:tcPr>
          <w:p w:rsidR="00E35632" w:rsidRDefault="00E35632">
            <w:pPr>
              <w:pStyle w:val="ConsPlusNormal"/>
              <w:jc w:val="center"/>
            </w:pPr>
            <w:r>
              <w:t>Твердые</w:t>
            </w:r>
          </w:p>
          <w:p w:rsidR="00E35632" w:rsidRDefault="00E35632">
            <w:pPr>
              <w:pStyle w:val="ConsPlusNormal"/>
              <w:jc w:val="center"/>
            </w:pPr>
            <w:r>
              <w:rPr>
                <w:i/>
              </w:rPr>
              <w:t>I</w:t>
            </w:r>
            <w:r>
              <w:rPr>
                <w:i/>
                <w:vertAlign w:val="subscript"/>
              </w:rPr>
              <w:t>L</w:t>
            </w:r>
            <w:r>
              <w:t xml:space="preserve"> &lt; 0</w:t>
            </w:r>
          </w:p>
        </w:tc>
        <w:tc>
          <w:tcPr>
            <w:tcW w:w="680" w:type="dxa"/>
            <w:vAlign w:val="center"/>
          </w:tcPr>
          <w:p w:rsidR="00E35632" w:rsidRDefault="00E35632">
            <w:pPr>
              <w:pStyle w:val="ConsPlusNormal"/>
              <w:jc w:val="center"/>
            </w:pPr>
            <w:r>
              <w:t>2,7</w:t>
            </w:r>
          </w:p>
        </w:tc>
        <w:tc>
          <w:tcPr>
            <w:tcW w:w="680" w:type="dxa"/>
            <w:vAlign w:val="center"/>
          </w:tcPr>
          <w:p w:rsidR="00E35632" w:rsidRDefault="00E35632">
            <w:pPr>
              <w:pStyle w:val="ConsPlusNormal"/>
              <w:jc w:val="center"/>
            </w:pPr>
            <w:r>
              <w:t>2,9</w:t>
            </w:r>
          </w:p>
        </w:tc>
        <w:tc>
          <w:tcPr>
            <w:tcW w:w="737" w:type="dxa"/>
            <w:vAlign w:val="center"/>
          </w:tcPr>
          <w:p w:rsidR="00E35632" w:rsidRDefault="00E35632">
            <w:pPr>
              <w:pStyle w:val="ConsPlusNormal"/>
              <w:jc w:val="center"/>
            </w:pPr>
            <w:r>
              <w:t>3,0</w:t>
            </w:r>
          </w:p>
        </w:tc>
        <w:tc>
          <w:tcPr>
            <w:tcW w:w="680" w:type="dxa"/>
            <w:vAlign w:val="center"/>
          </w:tcPr>
          <w:p w:rsidR="00E35632" w:rsidRDefault="00E35632">
            <w:pPr>
              <w:pStyle w:val="ConsPlusNormal"/>
              <w:jc w:val="center"/>
            </w:pPr>
            <w:r>
              <w:t>3,2</w:t>
            </w:r>
          </w:p>
        </w:tc>
        <w:tc>
          <w:tcPr>
            <w:tcW w:w="680" w:type="dxa"/>
            <w:vAlign w:val="center"/>
          </w:tcPr>
          <w:p w:rsidR="00E35632" w:rsidRDefault="00E35632">
            <w:pPr>
              <w:pStyle w:val="ConsPlusNormal"/>
              <w:jc w:val="center"/>
            </w:pPr>
            <w:r>
              <w:t>3,4</w:t>
            </w:r>
          </w:p>
        </w:tc>
        <w:tc>
          <w:tcPr>
            <w:tcW w:w="680" w:type="dxa"/>
            <w:vAlign w:val="center"/>
          </w:tcPr>
          <w:p w:rsidR="00E35632" w:rsidRDefault="00E35632">
            <w:pPr>
              <w:pStyle w:val="ConsPlusNormal"/>
              <w:jc w:val="center"/>
            </w:pPr>
            <w:r>
              <w:t>3,7</w:t>
            </w:r>
          </w:p>
        </w:tc>
        <w:tc>
          <w:tcPr>
            <w:tcW w:w="680" w:type="dxa"/>
            <w:vAlign w:val="center"/>
          </w:tcPr>
          <w:p w:rsidR="00E35632" w:rsidRDefault="00E35632">
            <w:pPr>
              <w:pStyle w:val="ConsPlusNormal"/>
              <w:jc w:val="center"/>
            </w:pPr>
            <w:r>
              <w:t>4,0</w:t>
            </w:r>
          </w:p>
        </w:tc>
        <w:tc>
          <w:tcPr>
            <w:tcW w:w="1814" w:type="dxa"/>
            <w:vAlign w:val="center"/>
          </w:tcPr>
          <w:p w:rsidR="00E35632" w:rsidRDefault="00E35632">
            <w:pPr>
              <w:pStyle w:val="ConsPlusNormal"/>
              <w:jc w:val="center"/>
            </w:pPr>
            <w:r>
              <w:rPr>
                <w:i/>
              </w:rPr>
              <w:t>m</w:t>
            </w:r>
            <w:r>
              <w:rPr>
                <w:i/>
                <w:vertAlign w:val="subscript"/>
              </w:rPr>
              <w:t>ko</w:t>
            </w:r>
            <w:r>
              <w:t xml:space="preserve"> = 2,1</w:t>
            </w:r>
            <w:r>
              <w:rPr>
                <w:i/>
              </w:rPr>
              <w:t>e</w:t>
            </w:r>
            <w:r>
              <w:t xml:space="preserve"> + 1,7</w:t>
            </w:r>
          </w:p>
        </w:tc>
      </w:tr>
    </w:tbl>
    <w:p w:rsidR="00E35632" w:rsidRDefault="00E35632">
      <w:pPr>
        <w:pStyle w:val="ConsPlusNormal"/>
        <w:ind w:firstLine="540"/>
        <w:jc w:val="both"/>
      </w:pPr>
    </w:p>
    <w:p w:rsidR="00E35632" w:rsidRDefault="00E35632">
      <w:pPr>
        <w:pStyle w:val="ConsPlusNormal"/>
        <w:jc w:val="right"/>
      </w:pPr>
      <w:r>
        <w:t>Таблица П.3</w:t>
      </w:r>
    </w:p>
    <w:p w:rsidR="00E35632" w:rsidRDefault="00E35632">
      <w:pPr>
        <w:pStyle w:val="ConsPlusNormal"/>
        <w:ind w:firstLine="540"/>
        <w:jc w:val="both"/>
      </w:pPr>
    </w:p>
    <w:p w:rsidR="00E35632" w:rsidRDefault="00E35632">
      <w:pPr>
        <w:pStyle w:val="ConsPlusNormal"/>
        <w:jc w:val="center"/>
      </w:pPr>
      <w:bookmarkStart w:id="346" w:name="P8191"/>
      <w:bookmarkEnd w:id="346"/>
      <w:r>
        <w:rPr>
          <w:b/>
        </w:rPr>
        <w:t>Коэффициенты перехода от касательного одометрического</w:t>
      </w:r>
    </w:p>
    <w:p w:rsidR="00E35632" w:rsidRDefault="00E35632">
      <w:pPr>
        <w:pStyle w:val="ConsPlusNormal"/>
        <w:jc w:val="center"/>
      </w:pPr>
      <w:r>
        <w:rPr>
          <w:b/>
        </w:rPr>
        <w:t>модуля к штамповому модулю для супесей</w:t>
      </w:r>
    </w:p>
    <w:p w:rsidR="00E35632" w:rsidRDefault="00E35632">
      <w:pPr>
        <w:pStyle w:val="ConsPlusNormal"/>
        <w:ind w:firstLine="54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438"/>
        <w:gridCol w:w="680"/>
        <w:gridCol w:w="680"/>
        <w:gridCol w:w="737"/>
        <w:gridCol w:w="680"/>
        <w:gridCol w:w="680"/>
        <w:gridCol w:w="680"/>
        <w:gridCol w:w="680"/>
        <w:gridCol w:w="1814"/>
      </w:tblGrid>
      <w:tr w:rsidR="00E35632">
        <w:tc>
          <w:tcPr>
            <w:tcW w:w="2438" w:type="dxa"/>
            <w:vMerge w:val="restart"/>
            <w:vAlign w:val="center"/>
          </w:tcPr>
          <w:p w:rsidR="00E35632" w:rsidRDefault="00E35632">
            <w:pPr>
              <w:pStyle w:val="ConsPlusNormal"/>
              <w:jc w:val="center"/>
            </w:pPr>
            <w:r>
              <w:t xml:space="preserve">Разновидности супесей (показатель текучести </w:t>
            </w:r>
            <w:r>
              <w:rPr>
                <w:i/>
              </w:rPr>
              <w:t>I</w:t>
            </w:r>
            <w:r>
              <w:rPr>
                <w:i/>
                <w:vertAlign w:val="subscript"/>
              </w:rPr>
              <w:t>L</w:t>
            </w:r>
            <w:r>
              <w:t>, д.е.)</w:t>
            </w:r>
          </w:p>
        </w:tc>
        <w:tc>
          <w:tcPr>
            <w:tcW w:w="4817" w:type="dxa"/>
            <w:gridSpan w:val="7"/>
            <w:vAlign w:val="center"/>
          </w:tcPr>
          <w:p w:rsidR="00E35632" w:rsidRDefault="00E35632">
            <w:pPr>
              <w:pStyle w:val="ConsPlusNormal"/>
              <w:jc w:val="center"/>
            </w:pPr>
            <w:r>
              <w:t xml:space="preserve">Значение коэффициента перехода </w:t>
            </w:r>
            <w:r>
              <w:rPr>
                <w:i/>
              </w:rPr>
              <w:t>m</w:t>
            </w:r>
            <w:r>
              <w:rPr>
                <w:i/>
                <w:vertAlign w:val="subscript"/>
              </w:rPr>
              <w:t>ko</w:t>
            </w:r>
            <w:r>
              <w:t xml:space="preserve"> при коэффициенте пористости </w:t>
            </w:r>
            <w:r>
              <w:rPr>
                <w:i/>
              </w:rPr>
              <w:t>e</w:t>
            </w:r>
            <w:r>
              <w:t>, равном</w:t>
            </w:r>
          </w:p>
        </w:tc>
        <w:tc>
          <w:tcPr>
            <w:tcW w:w="1814" w:type="dxa"/>
            <w:vMerge w:val="restart"/>
            <w:vAlign w:val="center"/>
          </w:tcPr>
          <w:p w:rsidR="00E35632" w:rsidRDefault="00E35632">
            <w:pPr>
              <w:pStyle w:val="ConsPlusNormal"/>
              <w:jc w:val="center"/>
            </w:pPr>
            <w:r>
              <w:rPr>
                <w:i/>
              </w:rPr>
              <w:t>m</w:t>
            </w:r>
            <w:r>
              <w:rPr>
                <w:i/>
                <w:vertAlign w:val="subscript"/>
              </w:rPr>
              <w:t>ko</w:t>
            </w:r>
            <w:r>
              <w:t xml:space="preserve"> = </w:t>
            </w:r>
            <w:r>
              <w:rPr>
                <w:i/>
              </w:rPr>
              <w:t>f</w:t>
            </w:r>
            <w:r>
              <w:t>(</w:t>
            </w:r>
            <w:r>
              <w:rPr>
                <w:i/>
              </w:rPr>
              <w:t>e</w:t>
            </w:r>
            <w:r>
              <w:t>)</w:t>
            </w:r>
          </w:p>
        </w:tc>
      </w:tr>
      <w:tr w:rsidR="00E35632">
        <w:tc>
          <w:tcPr>
            <w:tcW w:w="0" w:type="auto"/>
            <w:vMerge/>
          </w:tcPr>
          <w:p w:rsidR="00E35632" w:rsidRDefault="00E35632">
            <w:pPr>
              <w:pStyle w:val="ConsPlusNormal"/>
            </w:pPr>
          </w:p>
        </w:tc>
        <w:tc>
          <w:tcPr>
            <w:tcW w:w="680" w:type="dxa"/>
            <w:vAlign w:val="center"/>
          </w:tcPr>
          <w:p w:rsidR="00E35632" w:rsidRDefault="00E35632">
            <w:pPr>
              <w:pStyle w:val="ConsPlusNormal"/>
              <w:jc w:val="center"/>
            </w:pPr>
            <w:r>
              <w:t>0,45</w:t>
            </w:r>
          </w:p>
        </w:tc>
        <w:tc>
          <w:tcPr>
            <w:tcW w:w="680" w:type="dxa"/>
            <w:vAlign w:val="center"/>
          </w:tcPr>
          <w:p w:rsidR="00E35632" w:rsidRDefault="00E35632">
            <w:pPr>
              <w:pStyle w:val="ConsPlusNormal"/>
              <w:jc w:val="center"/>
            </w:pPr>
            <w:r>
              <w:t>0,55</w:t>
            </w:r>
          </w:p>
        </w:tc>
        <w:tc>
          <w:tcPr>
            <w:tcW w:w="737" w:type="dxa"/>
            <w:vAlign w:val="center"/>
          </w:tcPr>
          <w:p w:rsidR="00E35632" w:rsidRDefault="00E35632">
            <w:pPr>
              <w:pStyle w:val="ConsPlusNormal"/>
              <w:jc w:val="center"/>
            </w:pPr>
            <w:r>
              <w:t>0,65</w:t>
            </w:r>
          </w:p>
        </w:tc>
        <w:tc>
          <w:tcPr>
            <w:tcW w:w="680" w:type="dxa"/>
            <w:vAlign w:val="center"/>
          </w:tcPr>
          <w:p w:rsidR="00E35632" w:rsidRDefault="00E35632">
            <w:pPr>
              <w:pStyle w:val="ConsPlusNormal"/>
              <w:jc w:val="center"/>
            </w:pPr>
            <w:r>
              <w:t>0,75</w:t>
            </w:r>
          </w:p>
        </w:tc>
        <w:tc>
          <w:tcPr>
            <w:tcW w:w="680" w:type="dxa"/>
            <w:vAlign w:val="center"/>
          </w:tcPr>
          <w:p w:rsidR="00E35632" w:rsidRDefault="00E35632">
            <w:pPr>
              <w:pStyle w:val="ConsPlusNormal"/>
              <w:jc w:val="center"/>
            </w:pPr>
            <w:r>
              <w:t>0,85</w:t>
            </w:r>
          </w:p>
        </w:tc>
        <w:tc>
          <w:tcPr>
            <w:tcW w:w="680" w:type="dxa"/>
            <w:vAlign w:val="center"/>
          </w:tcPr>
          <w:p w:rsidR="00E35632" w:rsidRDefault="00E35632">
            <w:pPr>
              <w:pStyle w:val="ConsPlusNormal"/>
              <w:jc w:val="center"/>
            </w:pPr>
            <w:r>
              <w:t>0,95</w:t>
            </w:r>
          </w:p>
        </w:tc>
        <w:tc>
          <w:tcPr>
            <w:tcW w:w="680" w:type="dxa"/>
            <w:vAlign w:val="center"/>
          </w:tcPr>
          <w:p w:rsidR="00E35632" w:rsidRDefault="00E35632">
            <w:pPr>
              <w:pStyle w:val="ConsPlusNormal"/>
              <w:jc w:val="center"/>
            </w:pPr>
            <w:r>
              <w:t>1,05</w:t>
            </w:r>
          </w:p>
        </w:tc>
        <w:tc>
          <w:tcPr>
            <w:tcW w:w="0" w:type="auto"/>
            <w:vMerge/>
          </w:tcPr>
          <w:p w:rsidR="00E35632" w:rsidRDefault="00E35632">
            <w:pPr>
              <w:pStyle w:val="ConsPlusNormal"/>
            </w:pPr>
          </w:p>
        </w:tc>
      </w:tr>
      <w:tr w:rsidR="00E35632">
        <w:tc>
          <w:tcPr>
            <w:tcW w:w="2438" w:type="dxa"/>
            <w:vAlign w:val="center"/>
          </w:tcPr>
          <w:p w:rsidR="00E35632" w:rsidRDefault="00E35632">
            <w:pPr>
              <w:pStyle w:val="ConsPlusNormal"/>
              <w:jc w:val="center"/>
            </w:pPr>
            <w:r>
              <w:t>Пластичные</w:t>
            </w:r>
          </w:p>
          <w:p w:rsidR="00E35632" w:rsidRDefault="00E35632">
            <w:pPr>
              <w:pStyle w:val="ConsPlusNormal"/>
              <w:jc w:val="center"/>
            </w:pPr>
            <w:r>
              <w:t xml:space="preserve">0 &lt; </w:t>
            </w:r>
            <w:r>
              <w:rPr>
                <w:i/>
              </w:rPr>
              <w:t>I</w:t>
            </w:r>
            <w:r>
              <w:rPr>
                <w:i/>
                <w:vertAlign w:val="subscript"/>
              </w:rPr>
              <w:t>L</w:t>
            </w:r>
            <w:r>
              <w:t xml:space="preserve"> &lt;= 1,0</w:t>
            </w:r>
          </w:p>
        </w:tc>
        <w:tc>
          <w:tcPr>
            <w:tcW w:w="680" w:type="dxa"/>
            <w:vAlign w:val="center"/>
          </w:tcPr>
          <w:p w:rsidR="00E35632" w:rsidRDefault="00E35632">
            <w:pPr>
              <w:pStyle w:val="ConsPlusNormal"/>
              <w:jc w:val="center"/>
            </w:pPr>
            <w:r>
              <w:t>2,4</w:t>
            </w:r>
          </w:p>
        </w:tc>
        <w:tc>
          <w:tcPr>
            <w:tcW w:w="680" w:type="dxa"/>
            <w:vAlign w:val="center"/>
          </w:tcPr>
          <w:p w:rsidR="00E35632" w:rsidRDefault="00E35632">
            <w:pPr>
              <w:pStyle w:val="ConsPlusNormal"/>
              <w:jc w:val="center"/>
            </w:pPr>
            <w:r>
              <w:t>2,4</w:t>
            </w:r>
          </w:p>
        </w:tc>
        <w:tc>
          <w:tcPr>
            <w:tcW w:w="737" w:type="dxa"/>
            <w:vAlign w:val="center"/>
          </w:tcPr>
          <w:p w:rsidR="00E35632" w:rsidRDefault="00E35632">
            <w:pPr>
              <w:pStyle w:val="ConsPlusNormal"/>
              <w:jc w:val="center"/>
            </w:pPr>
            <w:r>
              <w:t>2,3</w:t>
            </w:r>
          </w:p>
        </w:tc>
        <w:tc>
          <w:tcPr>
            <w:tcW w:w="680" w:type="dxa"/>
            <w:vAlign w:val="center"/>
          </w:tcPr>
          <w:p w:rsidR="00E35632" w:rsidRDefault="00E35632">
            <w:pPr>
              <w:pStyle w:val="ConsPlusNormal"/>
              <w:jc w:val="center"/>
            </w:pPr>
            <w:r>
              <w:t>2,3</w:t>
            </w:r>
          </w:p>
        </w:tc>
        <w:tc>
          <w:tcPr>
            <w:tcW w:w="680" w:type="dxa"/>
            <w:vAlign w:val="center"/>
          </w:tcPr>
          <w:p w:rsidR="00E35632" w:rsidRDefault="00E35632">
            <w:pPr>
              <w:pStyle w:val="ConsPlusNormal"/>
              <w:jc w:val="center"/>
            </w:pPr>
            <w:r>
              <w:t>2,2</w:t>
            </w:r>
          </w:p>
        </w:tc>
        <w:tc>
          <w:tcPr>
            <w:tcW w:w="680" w:type="dxa"/>
            <w:vAlign w:val="center"/>
          </w:tcPr>
          <w:p w:rsidR="00E35632" w:rsidRDefault="00E35632">
            <w:pPr>
              <w:pStyle w:val="ConsPlusNormal"/>
              <w:jc w:val="center"/>
            </w:pPr>
            <w:r>
              <w:t>2,2</w:t>
            </w:r>
          </w:p>
        </w:tc>
        <w:tc>
          <w:tcPr>
            <w:tcW w:w="680" w:type="dxa"/>
            <w:vAlign w:val="center"/>
          </w:tcPr>
          <w:p w:rsidR="00E35632" w:rsidRDefault="00E35632">
            <w:pPr>
              <w:pStyle w:val="ConsPlusNormal"/>
              <w:jc w:val="center"/>
            </w:pPr>
            <w:r>
              <w:t>-</w:t>
            </w:r>
          </w:p>
        </w:tc>
        <w:tc>
          <w:tcPr>
            <w:tcW w:w="1814" w:type="dxa"/>
            <w:vAlign w:val="center"/>
          </w:tcPr>
          <w:p w:rsidR="00E35632" w:rsidRDefault="00E35632">
            <w:pPr>
              <w:pStyle w:val="ConsPlusNormal"/>
              <w:jc w:val="center"/>
            </w:pPr>
            <w:r>
              <w:rPr>
                <w:i/>
              </w:rPr>
              <w:t>m</w:t>
            </w:r>
            <w:r>
              <w:rPr>
                <w:i/>
                <w:vertAlign w:val="subscript"/>
              </w:rPr>
              <w:t>ko</w:t>
            </w:r>
            <w:r>
              <w:t xml:space="preserve"> = -0,5</w:t>
            </w:r>
            <w:r>
              <w:rPr>
                <w:i/>
              </w:rPr>
              <w:t>e</w:t>
            </w:r>
            <w:r>
              <w:t xml:space="preserve"> + 2,6</w:t>
            </w:r>
          </w:p>
        </w:tc>
      </w:tr>
      <w:tr w:rsidR="00E35632">
        <w:tc>
          <w:tcPr>
            <w:tcW w:w="2438" w:type="dxa"/>
            <w:vAlign w:val="center"/>
          </w:tcPr>
          <w:p w:rsidR="00E35632" w:rsidRDefault="00E35632">
            <w:pPr>
              <w:pStyle w:val="ConsPlusNormal"/>
              <w:jc w:val="center"/>
            </w:pPr>
            <w:r>
              <w:t>Твердые</w:t>
            </w:r>
          </w:p>
          <w:p w:rsidR="00E35632" w:rsidRDefault="00E35632">
            <w:pPr>
              <w:pStyle w:val="ConsPlusNormal"/>
              <w:jc w:val="center"/>
            </w:pPr>
            <w:r>
              <w:rPr>
                <w:i/>
              </w:rPr>
              <w:t>I</w:t>
            </w:r>
            <w:r>
              <w:rPr>
                <w:i/>
                <w:vertAlign w:val="subscript"/>
              </w:rPr>
              <w:t>L</w:t>
            </w:r>
            <w:r>
              <w:t xml:space="preserve"> &lt; 0</w:t>
            </w:r>
          </w:p>
        </w:tc>
        <w:tc>
          <w:tcPr>
            <w:tcW w:w="680" w:type="dxa"/>
            <w:vAlign w:val="center"/>
          </w:tcPr>
          <w:p w:rsidR="00E35632" w:rsidRDefault="00E35632">
            <w:pPr>
              <w:pStyle w:val="ConsPlusNormal"/>
              <w:jc w:val="center"/>
            </w:pPr>
            <w:r>
              <w:t>3,1</w:t>
            </w:r>
          </w:p>
        </w:tc>
        <w:tc>
          <w:tcPr>
            <w:tcW w:w="680" w:type="dxa"/>
            <w:vAlign w:val="center"/>
          </w:tcPr>
          <w:p w:rsidR="00E35632" w:rsidRDefault="00E35632">
            <w:pPr>
              <w:pStyle w:val="ConsPlusNormal"/>
              <w:jc w:val="center"/>
            </w:pPr>
            <w:r>
              <w:t>3,1</w:t>
            </w:r>
          </w:p>
        </w:tc>
        <w:tc>
          <w:tcPr>
            <w:tcW w:w="737" w:type="dxa"/>
            <w:vAlign w:val="center"/>
          </w:tcPr>
          <w:p w:rsidR="00E35632" w:rsidRDefault="00E35632">
            <w:pPr>
              <w:pStyle w:val="ConsPlusNormal"/>
              <w:jc w:val="center"/>
            </w:pPr>
            <w:r>
              <w:t>3,2</w:t>
            </w:r>
          </w:p>
        </w:tc>
        <w:tc>
          <w:tcPr>
            <w:tcW w:w="680" w:type="dxa"/>
            <w:vAlign w:val="center"/>
          </w:tcPr>
          <w:p w:rsidR="00E35632" w:rsidRDefault="00E35632">
            <w:pPr>
              <w:pStyle w:val="ConsPlusNormal"/>
              <w:jc w:val="center"/>
            </w:pPr>
            <w:r>
              <w:t>3,2</w:t>
            </w:r>
          </w:p>
        </w:tc>
        <w:tc>
          <w:tcPr>
            <w:tcW w:w="680" w:type="dxa"/>
            <w:vAlign w:val="center"/>
          </w:tcPr>
          <w:p w:rsidR="00E35632" w:rsidRDefault="00E35632">
            <w:pPr>
              <w:pStyle w:val="ConsPlusNormal"/>
              <w:jc w:val="center"/>
            </w:pPr>
            <w:r>
              <w:t>3,3</w:t>
            </w:r>
          </w:p>
        </w:tc>
        <w:tc>
          <w:tcPr>
            <w:tcW w:w="680" w:type="dxa"/>
            <w:vAlign w:val="center"/>
          </w:tcPr>
          <w:p w:rsidR="00E35632" w:rsidRDefault="00E35632">
            <w:pPr>
              <w:pStyle w:val="ConsPlusNormal"/>
              <w:jc w:val="center"/>
            </w:pPr>
            <w:r>
              <w:t>3,4</w:t>
            </w:r>
          </w:p>
        </w:tc>
        <w:tc>
          <w:tcPr>
            <w:tcW w:w="680" w:type="dxa"/>
            <w:vAlign w:val="center"/>
          </w:tcPr>
          <w:p w:rsidR="00E35632" w:rsidRDefault="00E35632">
            <w:pPr>
              <w:pStyle w:val="ConsPlusNormal"/>
              <w:jc w:val="center"/>
            </w:pPr>
            <w:r>
              <w:t>-</w:t>
            </w:r>
          </w:p>
        </w:tc>
        <w:tc>
          <w:tcPr>
            <w:tcW w:w="1814" w:type="dxa"/>
            <w:vAlign w:val="center"/>
          </w:tcPr>
          <w:p w:rsidR="00E35632" w:rsidRDefault="00E35632">
            <w:pPr>
              <w:pStyle w:val="ConsPlusNormal"/>
              <w:jc w:val="center"/>
            </w:pPr>
            <w:r>
              <w:rPr>
                <w:i/>
              </w:rPr>
              <w:t>m</w:t>
            </w:r>
            <w:r>
              <w:rPr>
                <w:i/>
                <w:vertAlign w:val="subscript"/>
              </w:rPr>
              <w:t>ko</w:t>
            </w:r>
            <w:r>
              <w:t xml:space="preserve"> = 0,6</w:t>
            </w:r>
            <w:r>
              <w:rPr>
                <w:i/>
              </w:rPr>
              <w:t>e</w:t>
            </w:r>
            <w:r>
              <w:t xml:space="preserve"> + 2,8</w:t>
            </w:r>
          </w:p>
        </w:tc>
      </w:tr>
    </w:tbl>
    <w:p w:rsidR="00E35632" w:rsidRDefault="00E35632">
      <w:pPr>
        <w:pStyle w:val="ConsPlusNormal"/>
        <w:ind w:firstLine="540"/>
        <w:jc w:val="both"/>
      </w:pPr>
    </w:p>
    <w:p w:rsidR="00E35632" w:rsidRDefault="00E35632">
      <w:pPr>
        <w:pStyle w:val="ConsPlusNormal"/>
        <w:ind w:firstLine="540"/>
        <w:jc w:val="both"/>
      </w:pPr>
      <w:r>
        <w:t xml:space="preserve">П.6 Нормативное значение модуля деформации </w:t>
      </w:r>
      <w:r>
        <w:rPr>
          <w:i/>
        </w:rPr>
        <w:t>E</w:t>
      </w:r>
      <w:r>
        <w:t>, соответствующее значению штампового модуля деформации, определяют по формуле</w:t>
      </w:r>
    </w:p>
    <w:p w:rsidR="00E35632" w:rsidRDefault="00E35632">
      <w:pPr>
        <w:pStyle w:val="ConsPlusNormal"/>
        <w:ind w:firstLine="540"/>
        <w:jc w:val="both"/>
      </w:pPr>
    </w:p>
    <w:p w:rsidR="00E35632" w:rsidRDefault="00E35632">
      <w:pPr>
        <w:pStyle w:val="ConsPlusNormal"/>
        <w:jc w:val="center"/>
      </w:pPr>
      <w:r>
        <w:rPr>
          <w:noProof/>
          <w:position w:val="-10"/>
        </w:rPr>
        <w:drawing>
          <wp:inline distT="0" distB="0" distL="0" distR="0">
            <wp:extent cx="922020" cy="267970"/>
            <wp:effectExtent l="0" t="0" r="0" b="0"/>
            <wp:docPr id="78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922020" cy="267970"/>
                    </a:xfrm>
                    <a:prstGeom prst="rect">
                      <a:avLst/>
                    </a:prstGeom>
                    <a:noFill/>
                    <a:ln>
                      <a:noFill/>
                    </a:ln>
                  </pic:spPr>
                </pic:pic>
              </a:graphicData>
            </a:graphic>
          </wp:inline>
        </w:drawing>
      </w:r>
      <w:r>
        <w:t>, (П.2)</w:t>
      </w:r>
    </w:p>
    <w:p w:rsidR="00E35632" w:rsidRDefault="00E35632">
      <w:pPr>
        <w:pStyle w:val="ConsPlusNormal"/>
        <w:ind w:firstLine="540"/>
        <w:jc w:val="both"/>
      </w:pPr>
    </w:p>
    <w:p w:rsidR="00E35632" w:rsidRDefault="00E35632">
      <w:pPr>
        <w:pStyle w:val="ConsPlusNormal"/>
        <w:ind w:firstLine="540"/>
        <w:jc w:val="both"/>
      </w:pPr>
      <w:r>
        <w:t xml:space="preserve">П.7 Нормативное значение модуля деформации </w:t>
      </w:r>
      <w:r>
        <w:rPr>
          <w:i/>
        </w:rPr>
        <w:t>E</w:t>
      </w:r>
      <w:r>
        <w:t xml:space="preserve"> также можно определять и напрямую без использования коэффициента </w:t>
      </w:r>
      <w:r>
        <w:rPr>
          <w:i/>
        </w:rPr>
        <w:t>m</w:t>
      </w:r>
      <w:r>
        <w:rPr>
          <w:i/>
          <w:vertAlign w:val="subscript"/>
        </w:rPr>
        <w:t>ko</w:t>
      </w:r>
      <w:r>
        <w:t xml:space="preserve"> из уравнений корреляционных связей, представленных в </w:t>
      </w:r>
      <w:hyperlink w:anchor="P8233">
        <w:r>
          <w:rPr>
            <w:color w:val="0000FF"/>
          </w:rPr>
          <w:t>таблице П.4</w:t>
        </w:r>
      </w:hyperlink>
      <w:r>
        <w:t>.</w:t>
      </w:r>
    </w:p>
    <w:p w:rsidR="00E35632" w:rsidRDefault="00E35632">
      <w:pPr>
        <w:pStyle w:val="ConsPlusNormal"/>
        <w:ind w:firstLine="540"/>
        <w:jc w:val="both"/>
      </w:pPr>
    </w:p>
    <w:p w:rsidR="00E35632" w:rsidRDefault="00E35632">
      <w:pPr>
        <w:pStyle w:val="ConsPlusNormal"/>
        <w:jc w:val="right"/>
      </w:pPr>
      <w:r>
        <w:t>Таблица П.4</w:t>
      </w:r>
    </w:p>
    <w:p w:rsidR="00E35632" w:rsidRDefault="00E35632">
      <w:pPr>
        <w:pStyle w:val="ConsPlusNormal"/>
        <w:ind w:firstLine="540"/>
        <w:jc w:val="both"/>
      </w:pPr>
    </w:p>
    <w:p w:rsidR="00E35632" w:rsidRDefault="00E35632">
      <w:pPr>
        <w:pStyle w:val="ConsPlusNormal"/>
        <w:jc w:val="center"/>
      </w:pPr>
      <w:bookmarkStart w:id="347" w:name="P8233"/>
      <w:bookmarkEnd w:id="347"/>
      <w:r>
        <w:rPr>
          <w:b/>
        </w:rPr>
        <w:t>Уравнения корреляционных связей между штамповым</w:t>
      </w:r>
    </w:p>
    <w:p w:rsidR="00E35632" w:rsidRDefault="00E35632">
      <w:pPr>
        <w:pStyle w:val="ConsPlusNormal"/>
        <w:jc w:val="center"/>
      </w:pPr>
      <w:r>
        <w:rPr>
          <w:b/>
        </w:rPr>
        <w:t>и касательным одометрическим модулями деформации</w:t>
      </w:r>
    </w:p>
    <w:p w:rsidR="00E35632" w:rsidRDefault="00E35632">
      <w:pPr>
        <w:pStyle w:val="ConsPlusNormal"/>
        <w:ind w:firstLine="540"/>
        <w:jc w:val="both"/>
      </w:pPr>
    </w:p>
    <w:p w:rsidR="00E35632" w:rsidRDefault="00E35632">
      <w:pPr>
        <w:pStyle w:val="ConsPlusNormal"/>
        <w:sectPr w:rsidR="00E35632">
          <w:pgSz w:w="11905" w:h="16838"/>
          <w:pgMar w:top="1134" w:right="850" w:bottom="1134" w:left="1701" w:header="0" w:footer="0" w:gutter="0"/>
          <w:cols w:space="720"/>
          <w:titlePg/>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154"/>
        <w:gridCol w:w="2721"/>
        <w:gridCol w:w="2721"/>
        <w:gridCol w:w="2721"/>
      </w:tblGrid>
      <w:tr w:rsidR="00E35632">
        <w:tc>
          <w:tcPr>
            <w:tcW w:w="2154" w:type="dxa"/>
            <w:vAlign w:val="center"/>
          </w:tcPr>
          <w:p w:rsidR="00E35632" w:rsidRDefault="00E35632">
            <w:pPr>
              <w:pStyle w:val="ConsPlusNormal"/>
              <w:jc w:val="center"/>
            </w:pPr>
            <w:r>
              <w:t xml:space="preserve">Разновидности глинистых грунтов (показатель текучести </w:t>
            </w:r>
            <w:r>
              <w:rPr>
                <w:i/>
              </w:rPr>
              <w:t>I</w:t>
            </w:r>
            <w:r>
              <w:rPr>
                <w:i/>
                <w:vertAlign w:val="subscript"/>
              </w:rPr>
              <w:t>L</w:t>
            </w:r>
            <w:r>
              <w:t>, д.е.)</w:t>
            </w:r>
          </w:p>
        </w:tc>
        <w:tc>
          <w:tcPr>
            <w:tcW w:w="2721" w:type="dxa"/>
            <w:vAlign w:val="center"/>
          </w:tcPr>
          <w:p w:rsidR="00E35632" w:rsidRDefault="00E35632">
            <w:pPr>
              <w:pStyle w:val="ConsPlusNormal"/>
              <w:jc w:val="center"/>
            </w:pPr>
            <w:r>
              <w:t>Глины</w:t>
            </w:r>
          </w:p>
        </w:tc>
        <w:tc>
          <w:tcPr>
            <w:tcW w:w="2721" w:type="dxa"/>
            <w:vAlign w:val="center"/>
          </w:tcPr>
          <w:p w:rsidR="00E35632" w:rsidRDefault="00E35632">
            <w:pPr>
              <w:pStyle w:val="ConsPlusNormal"/>
              <w:jc w:val="center"/>
            </w:pPr>
            <w:r>
              <w:t>Суглинки</w:t>
            </w:r>
          </w:p>
        </w:tc>
        <w:tc>
          <w:tcPr>
            <w:tcW w:w="2721" w:type="dxa"/>
            <w:vAlign w:val="center"/>
          </w:tcPr>
          <w:p w:rsidR="00E35632" w:rsidRDefault="00E35632">
            <w:pPr>
              <w:pStyle w:val="ConsPlusNormal"/>
              <w:jc w:val="center"/>
            </w:pPr>
            <w:r>
              <w:t>Супеси</w:t>
            </w:r>
          </w:p>
        </w:tc>
      </w:tr>
      <w:tr w:rsidR="00E35632">
        <w:tc>
          <w:tcPr>
            <w:tcW w:w="2154" w:type="dxa"/>
            <w:vAlign w:val="center"/>
          </w:tcPr>
          <w:p w:rsidR="00E35632" w:rsidRDefault="00E35632">
            <w:pPr>
              <w:pStyle w:val="ConsPlusNormal"/>
              <w:jc w:val="center"/>
            </w:pPr>
            <w:r>
              <w:t>Мягкопластичные</w:t>
            </w:r>
          </w:p>
          <w:p w:rsidR="00E35632" w:rsidRDefault="00E35632">
            <w:pPr>
              <w:pStyle w:val="ConsPlusNormal"/>
              <w:jc w:val="center"/>
            </w:pPr>
            <w:r>
              <w:t xml:space="preserve">0,50 &lt; </w:t>
            </w:r>
            <w:r>
              <w:rPr>
                <w:i/>
              </w:rPr>
              <w:t>I</w:t>
            </w:r>
            <w:r>
              <w:rPr>
                <w:i/>
                <w:vertAlign w:val="subscript"/>
              </w:rPr>
              <w:t>L</w:t>
            </w:r>
            <w:r>
              <w:t xml:space="preserve"> &lt;= 0,75</w:t>
            </w:r>
          </w:p>
        </w:tc>
        <w:tc>
          <w:tcPr>
            <w:tcW w:w="2721" w:type="dxa"/>
            <w:vAlign w:val="center"/>
          </w:tcPr>
          <w:p w:rsidR="00E35632" w:rsidRDefault="00E35632">
            <w:pPr>
              <w:pStyle w:val="ConsPlusNormal"/>
              <w:jc w:val="center"/>
            </w:pPr>
            <w:r>
              <w:rPr>
                <w:noProof/>
                <w:position w:val="-10"/>
              </w:rPr>
              <w:drawing>
                <wp:inline distT="0" distB="0" distL="0" distR="0">
                  <wp:extent cx="1408430" cy="276860"/>
                  <wp:effectExtent l="0" t="0" r="0" b="0"/>
                  <wp:docPr id="78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1408430" cy="276860"/>
                          </a:xfrm>
                          <a:prstGeom prst="rect">
                            <a:avLst/>
                          </a:prstGeom>
                          <a:noFill/>
                          <a:ln>
                            <a:noFill/>
                          </a:ln>
                        </pic:spPr>
                      </pic:pic>
                    </a:graphicData>
                  </a:graphic>
                </wp:inline>
              </w:drawing>
            </w:r>
          </w:p>
        </w:tc>
        <w:tc>
          <w:tcPr>
            <w:tcW w:w="2721" w:type="dxa"/>
            <w:vAlign w:val="center"/>
          </w:tcPr>
          <w:p w:rsidR="00E35632" w:rsidRDefault="00E35632">
            <w:pPr>
              <w:pStyle w:val="ConsPlusNormal"/>
              <w:jc w:val="center"/>
            </w:pPr>
            <w:r>
              <w:rPr>
                <w:noProof/>
                <w:position w:val="-10"/>
              </w:rPr>
              <w:drawing>
                <wp:inline distT="0" distB="0" distL="0" distR="0">
                  <wp:extent cx="1424940" cy="276860"/>
                  <wp:effectExtent l="0" t="0" r="0" b="0"/>
                  <wp:docPr id="787"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424940" cy="276860"/>
                          </a:xfrm>
                          <a:prstGeom prst="rect">
                            <a:avLst/>
                          </a:prstGeom>
                          <a:noFill/>
                          <a:ln>
                            <a:noFill/>
                          </a:ln>
                        </pic:spPr>
                      </pic:pic>
                    </a:graphicData>
                  </a:graphic>
                </wp:inline>
              </w:drawing>
            </w:r>
          </w:p>
        </w:tc>
        <w:tc>
          <w:tcPr>
            <w:tcW w:w="2721" w:type="dxa"/>
            <w:vMerge w:val="restart"/>
            <w:vAlign w:val="center"/>
          </w:tcPr>
          <w:p w:rsidR="00E35632" w:rsidRDefault="00E35632">
            <w:pPr>
              <w:pStyle w:val="ConsPlusNormal"/>
              <w:jc w:val="center"/>
            </w:pPr>
            <w:r>
              <w:rPr>
                <w:noProof/>
                <w:position w:val="-10"/>
              </w:rPr>
              <w:drawing>
                <wp:inline distT="0" distB="0" distL="0" distR="0">
                  <wp:extent cx="1424940" cy="276860"/>
                  <wp:effectExtent l="0" t="0" r="0" b="0"/>
                  <wp:docPr id="788"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1424940" cy="276860"/>
                          </a:xfrm>
                          <a:prstGeom prst="rect">
                            <a:avLst/>
                          </a:prstGeom>
                          <a:noFill/>
                          <a:ln>
                            <a:noFill/>
                          </a:ln>
                        </pic:spPr>
                      </pic:pic>
                    </a:graphicData>
                  </a:graphic>
                </wp:inline>
              </w:drawing>
            </w:r>
          </w:p>
        </w:tc>
      </w:tr>
      <w:tr w:rsidR="00E35632">
        <w:tc>
          <w:tcPr>
            <w:tcW w:w="2154" w:type="dxa"/>
            <w:vAlign w:val="center"/>
          </w:tcPr>
          <w:p w:rsidR="00E35632" w:rsidRDefault="00E35632">
            <w:pPr>
              <w:pStyle w:val="ConsPlusNormal"/>
              <w:jc w:val="center"/>
            </w:pPr>
            <w:r>
              <w:t>Тугопластичные</w:t>
            </w:r>
          </w:p>
          <w:p w:rsidR="00E35632" w:rsidRDefault="00E35632">
            <w:pPr>
              <w:pStyle w:val="ConsPlusNormal"/>
              <w:jc w:val="center"/>
            </w:pPr>
            <w:r>
              <w:t xml:space="preserve">0,25 &lt; </w:t>
            </w:r>
            <w:r>
              <w:rPr>
                <w:i/>
              </w:rPr>
              <w:t>I</w:t>
            </w:r>
            <w:r>
              <w:rPr>
                <w:i/>
                <w:vertAlign w:val="subscript"/>
              </w:rPr>
              <w:t>L</w:t>
            </w:r>
            <w:r>
              <w:t xml:space="preserve"> &lt;= 0,50</w:t>
            </w:r>
          </w:p>
        </w:tc>
        <w:tc>
          <w:tcPr>
            <w:tcW w:w="2721" w:type="dxa"/>
            <w:vAlign w:val="center"/>
          </w:tcPr>
          <w:p w:rsidR="00E35632" w:rsidRDefault="00E35632">
            <w:pPr>
              <w:pStyle w:val="ConsPlusNormal"/>
              <w:jc w:val="center"/>
            </w:pPr>
            <w:r>
              <w:rPr>
                <w:noProof/>
                <w:position w:val="-10"/>
              </w:rPr>
              <w:drawing>
                <wp:inline distT="0" distB="0" distL="0" distR="0">
                  <wp:extent cx="1408430" cy="276860"/>
                  <wp:effectExtent l="0" t="0" r="0" b="0"/>
                  <wp:docPr id="789"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408430" cy="276860"/>
                          </a:xfrm>
                          <a:prstGeom prst="rect">
                            <a:avLst/>
                          </a:prstGeom>
                          <a:noFill/>
                          <a:ln>
                            <a:noFill/>
                          </a:ln>
                        </pic:spPr>
                      </pic:pic>
                    </a:graphicData>
                  </a:graphic>
                </wp:inline>
              </w:drawing>
            </w:r>
          </w:p>
        </w:tc>
        <w:tc>
          <w:tcPr>
            <w:tcW w:w="2721" w:type="dxa"/>
            <w:vAlign w:val="center"/>
          </w:tcPr>
          <w:p w:rsidR="00E35632" w:rsidRDefault="00E35632">
            <w:pPr>
              <w:pStyle w:val="ConsPlusNormal"/>
              <w:jc w:val="center"/>
            </w:pPr>
            <w:r>
              <w:rPr>
                <w:noProof/>
                <w:position w:val="-10"/>
              </w:rPr>
              <w:drawing>
                <wp:inline distT="0" distB="0" distL="0" distR="0">
                  <wp:extent cx="1441450" cy="276860"/>
                  <wp:effectExtent l="0" t="0" r="0" b="0"/>
                  <wp:docPr id="790"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441450" cy="276860"/>
                          </a:xfrm>
                          <a:prstGeom prst="rect">
                            <a:avLst/>
                          </a:prstGeom>
                          <a:noFill/>
                          <a:ln>
                            <a:noFill/>
                          </a:ln>
                        </pic:spPr>
                      </pic:pic>
                    </a:graphicData>
                  </a:graphic>
                </wp:inline>
              </w:drawing>
            </w:r>
          </w:p>
        </w:tc>
        <w:tc>
          <w:tcPr>
            <w:tcW w:w="0" w:type="auto"/>
            <w:vMerge/>
          </w:tcPr>
          <w:p w:rsidR="00E35632" w:rsidRDefault="00E35632">
            <w:pPr>
              <w:pStyle w:val="ConsPlusNormal"/>
            </w:pPr>
          </w:p>
        </w:tc>
      </w:tr>
      <w:tr w:rsidR="00E35632">
        <w:tc>
          <w:tcPr>
            <w:tcW w:w="2154" w:type="dxa"/>
            <w:vAlign w:val="center"/>
          </w:tcPr>
          <w:p w:rsidR="00E35632" w:rsidRDefault="00E35632">
            <w:pPr>
              <w:pStyle w:val="ConsPlusNormal"/>
              <w:jc w:val="center"/>
            </w:pPr>
            <w:r>
              <w:t>Полутвердые</w:t>
            </w:r>
          </w:p>
          <w:p w:rsidR="00E35632" w:rsidRDefault="00E35632">
            <w:pPr>
              <w:pStyle w:val="ConsPlusNormal"/>
              <w:jc w:val="center"/>
            </w:pPr>
            <w:r>
              <w:t xml:space="preserve">0 &lt;= </w:t>
            </w:r>
            <w:r>
              <w:rPr>
                <w:i/>
              </w:rPr>
              <w:t>I</w:t>
            </w:r>
            <w:r>
              <w:rPr>
                <w:i/>
                <w:vertAlign w:val="subscript"/>
              </w:rPr>
              <w:t>L</w:t>
            </w:r>
            <w:r>
              <w:t xml:space="preserve"> &lt;= 0,25</w:t>
            </w:r>
          </w:p>
        </w:tc>
        <w:tc>
          <w:tcPr>
            <w:tcW w:w="2721" w:type="dxa"/>
            <w:vAlign w:val="center"/>
          </w:tcPr>
          <w:p w:rsidR="00E35632" w:rsidRDefault="00E35632">
            <w:pPr>
              <w:pStyle w:val="ConsPlusNormal"/>
              <w:jc w:val="center"/>
            </w:pPr>
            <w:r>
              <w:rPr>
                <w:noProof/>
                <w:position w:val="-10"/>
              </w:rPr>
              <w:drawing>
                <wp:inline distT="0" distB="0" distL="0" distR="0">
                  <wp:extent cx="1357630" cy="276860"/>
                  <wp:effectExtent l="0" t="0" r="0" b="0"/>
                  <wp:docPr id="791"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357630" cy="276860"/>
                          </a:xfrm>
                          <a:prstGeom prst="rect">
                            <a:avLst/>
                          </a:prstGeom>
                          <a:noFill/>
                          <a:ln>
                            <a:noFill/>
                          </a:ln>
                        </pic:spPr>
                      </pic:pic>
                    </a:graphicData>
                  </a:graphic>
                </wp:inline>
              </w:drawing>
            </w:r>
          </w:p>
        </w:tc>
        <w:tc>
          <w:tcPr>
            <w:tcW w:w="2721" w:type="dxa"/>
            <w:vAlign w:val="center"/>
          </w:tcPr>
          <w:p w:rsidR="00E35632" w:rsidRDefault="00E35632">
            <w:pPr>
              <w:pStyle w:val="ConsPlusNormal"/>
              <w:jc w:val="center"/>
            </w:pPr>
            <w:r>
              <w:rPr>
                <w:noProof/>
                <w:position w:val="-10"/>
              </w:rPr>
              <w:drawing>
                <wp:inline distT="0" distB="0" distL="0" distR="0">
                  <wp:extent cx="1383030" cy="276860"/>
                  <wp:effectExtent l="0" t="0" r="0" b="0"/>
                  <wp:docPr id="792"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85" cstate="print">
                            <a:extLst>
                              <a:ext uri="{28A0092B-C50C-407E-A947-70E740481C1C}">
                                <a14:useLocalDpi xmlns:a14="http://schemas.microsoft.com/office/drawing/2010/main" val="0"/>
                              </a:ext>
                            </a:extLst>
                          </a:blip>
                          <a:srcRect/>
                          <a:stretch>
                            <a:fillRect/>
                          </a:stretch>
                        </pic:blipFill>
                        <pic:spPr bwMode="auto">
                          <a:xfrm>
                            <a:off x="0" y="0"/>
                            <a:ext cx="1383030" cy="276860"/>
                          </a:xfrm>
                          <a:prstGeom prst="rect">
                            <a:avLst/>
                          </a:prstGeom>
                          <a:noFill/>
                          <a:ln>
                            <a:noFill/>
                          </a:ln>
                        </pic:spPr>
                      </pic:pic>
                    </a:graphicData>
                  </a:graphic>
                </wp:inline>
              </w:drawing>
            </w:r>
          </w:p>
        </w:tc>
        <w:tc>
          <w:tcPr>
            <w:tcW w:w="0" w:type="auto"/>
            <w:vMerge/>
          </w:tcPr>
          <w:p w:rsidR="00E35632" w:rsidRDefault="00E35632">
            <w:pPr>
              <w:pStyle w:val="ConsPlusNormal"/>
            </w:pPr>
          </w:p>
        </w:tc>
      </w:tr>
      <w:tr w:rsidR="00E35632">
        <w:tc>
          <w:tcPr>
            <w:tcW w:w="2154" w:type="dxa"/>
            <w:vAlign w:val="center"/>
          </w:tcPr>
          <w:p w:rsidR="00E35632" w:rsidRDefault="00E35632">
            <w:pPr>
              <w:pStyle w:val="ConsPlusNormal"/>
              <w:jc w:val="center"/>
            </w:pPr>
            <w:r>
              <w:t>Твердые</w:t>
            </w:r>
          </w:p>
          <w:p w:rsidR="00E35632" w:rsidRDefault="00E35632">
            <w:pPr>
              <w:pStyle w:val="ConsPlusNormal"/>
              <w:jc w:val="center"/>
            </w:pPr>
            <w:r>
              <w:rPr>
                <w:i/>
              </w:rPr>
              <w:t>I</w:t>
            </w:r>
            <w:r>
              <w:rPr>
                <w:i/>
                <w:vertAlign w:val="subscript"/>
              </w:rPr>
              <w:t>L</w:t>
            </w:r>
            <w:r>
              <w:t xml:space="preserve"> &lt; 0</w:t>
            </w:r>
          </w:p>
        </w:tc>
        <w:tc>
          <w:tcPr>
            <w:tcW w:w="2721" w:type="dxa"/>
            <w:vAlign w:val="center"/>
          </w:tcPr>
          <w:p w:rsidR="00E35632" w:rsidRDefault="00E35632">
            <w:pPr>
              <w:pStyle w:val="ConsPlusNormal"/>
              <w:jc w:val="center"/>
            </w:pPr>
            <w:r>
              <w:rPr>
                <w:noProof/>
                <w:position w:val="-10"/>
              </w:rPr>
              <w:drawing>
                <wp:inline distT="0" distB="0" distL="0" distR="0">
                  <wp:extent cx="1441450" cy="276860"/>
                  <wp:effectExtent l="0" t="0" r="0" b="0"/>
                  <wp:docPr id="793"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86" cstate="print">
                            <a:extLst>
                              <a:ext uri="{28A0092B-C50C-407E-A947-70E740481C1C}">
                                <a14:useLocalDpi xmlns:a14="http://schemas.microsoft.com/office/drawing/2010/main" val="0"/>
                              </a:ext>
                            </a:extLst>
                          </a:blip>
                          <a:srcRect/>
                          <a:stretch>
                            <a:fillRect/>
                          </a:stretch>
                        </pic:blipFill>
                        <pic:spPr bwMode="auto">
                          <a:xfrm>
                            <a:off x="0" y="0"/>
                            <a:ext cx="1441450" cy="276860"/>
                          </a:xfrm>
                          <a:prstGeom prst="rect">
                            <a:avLst/>
                          </a:prstGeom>
                          <a:noFill/>
                          <a:ln>
                            <a:noFill/>
                          </a:ln>
                        </pic:spPr>
                      </pic:pic>
                    </a:graphicData>
                  </a:graphic>
                </wp:inline>
              </w:drawing>
            </w:r>
          </w:p>
        </w:tc>
        <w:tc>
          <w:tcPr>
            <w:tcW w:w="2721" w:type="dxa"/>
            <w:vAlign w:val="center"/>
          </w:tcPr>
          <w:p w:rsidR="00E35632" w:rsidRDefault="00E35632">
            <w:pPr>
              <w:pStyle w:val="ConsPlusNormal"/>
              <w:jc w:val="center"/>
            </w:pPr>
            <w:r>
              <w:rPr>
                <w:noProof/>
                <w:position w:val="-10"/>
              </w:rPr>
              <w:drawing>
                <wp:inline distT="0" distB="0" distL="0" distR="0">
                  <wp:extent cx="1383030" cy="276860"/>
                  <wp:effectExtent l="0" t="0" r="0" b="0"/>
                  <wp:docPr id="794"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87" cstate="print">
                            <a:extLst>
                              <a:ext uri="{28A0092B-C50C-407E-A947-70E740481C1C}">
                                <a14:useLocalDpi xmlns:a14="http://schemas.microsoft.com/office/drawing/2010/main" val="0"/>
                              </a:ext>
                            </a:extLst>
                          </a:blip>
                          <a:srcRect/>
                          <a:stretch>
                            <a:fillRect/>
                          </a:stretch>
                        </pic:blipFill>
                        <pic:spPr bwMode="auto">
                          <a:xfrm>
                            <a:off x="0" y="0"/>
                            <a:ext cx="1383030" cy="276860"/>
                          </a:xfrm>
                          <a:prstGeom prst="rect">
                            <a:avLst/>
                          </a:prstGeom>
                          <a:noFill/>
                          <a:ln>
                            <a:noFill/>
                          </a:ln>
                        </pic:spPr>
                      </pic:pic>
                    </a:graphicData>
                  </a:graphic>
                </wp:inline>
              </w:drawing>
            </w:r>
          </w:p>
        </w:tc>
        <w:tc>
          <w:tcPr>
            <w:tcW w:w="2721" w:type="dxa"/>
            <w:vAlign w:val="center"/>
          </w:tcPr>
          <w:p w:rsidR="00E35632" w:rsidRDefault="00E35632">
            <w:pPr>
              <w:pStyle w:val="ConsPlusNormal"/>
              <w:jc w:val="center"/>
            </w:pPr>
            <w:r>
              <w:rPr>
                <w:noProof/>
                <w:position w:val="-10"/>
              </w:rPr>
              <w:drawing>
                <wp:inline distT="0" distB="0" distL="0" distR="0">
                  <wp:extent cx="1424940" cy="276860"/>
                  <wp:effectExtent l="0" t="0" r="0" b="0"/>
                  <wp:docPr id="795"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424940" cy="276860"/>
                          </a:xfrm>
                          <a:prstGeom prst="rect">
                            <a:avLst/>
                          </a:prstGeom>
                          <a:noFill/>
                          <a:ln>
                            <a:noFill/>
                          </a:ln>
                        </pic:spPr>
                      </pic:pic>
                    </a:graphicData>
                  </a:graphic>
                </wp:inline>
              </w:drawing>
            </w:r>
          </w:p>
        </w:tc>
      </w:tr>
    </w:tbl>
    <w:p w:rsidR="00E35632" w:rsidRDefault="00E35632">
      <w:pPr>
        <w:pStyle w:val="ConsPlusNormal"/>
        <w:sectPr w:rsidR="00E35632">
          <w:pgSz w:w="16838" w:h="11905" w:orient="landscape"/>
          <w:pgMar w:top="1701" w:right="1134" w:bottom="850" w:left="1134" w:header="0" w:footer="0" w:gutter="0"/>
          <w:cols w:space="720"/>
          <w:titlePg/>
        </w:sectPr>
      </w:pPr>
    </w:p>
    <w:p w:rsidR="00E35632" w:rsidRDefault="00E35632">
      <w:pPr>
        <w:pStyle w:val="ConsPlusNormal"/>
        <w:ind w:firstLine="540"/>
        <w:jc w:val="both"/>
      </w:pPr>
    </w:p>
    <w:p w:rsidR="00E35632" w:rsidRDefault="00E35632">
      <w:pPr>
        <w:pStyle w:val="ConsPlusNormal"/>
        <w:ind w:firstLine="540"/>
        <w:jc w:val="both"/>
      </w:pPr>
    </w:p>
    <w:p w:rsidR="00E35632" w:rsidRDefault="00E35632">
      <w:pPr>
        <w:pStyle w:val="ConsPlusNormal"/>
        <w:ind w:firstLine="540"/>
        <w:jc w:val="both"/>
      </w:pPr>
    </w:p>
    <w:p w:rsidR="00E35632" w:rsidRDefault="00E35632">
      <w:pPr>
        <w:pStyle w:val="ConsPlusNormal"/>
        <w:ind w:firstLine="540"/>
        <w:jc w:val="both"/>
      </w:pPr>
    </w:p>
    <w:p w:rsidR="00E35632" w:rsidRDefault="00E35632">
      <w:pPr>
        <w:pStyle w:val="ConsPlusNormal"/>
        <w:ind w:firstLine="540"/>
        <w:jc w:val="both"/>
      </w:pPr>
    </w:p>
    <w:p w:rsidR="00E35632" w:rsidRDefault="00E35632">
      <w:pPr>
        <w:pStyle w:val="ConsPlusNormal"/>
        <w:jc w:val="right"/>
        <w:outlineLvl w:val="0"/>
      </w:pPr>
      <w:r>
        <w:rPr>
          <w:b/>
        </w:rPr>
        <w:t>Приложение Р</w:t>
      </w:r>
    </w:p>
    <w:p w:rsidR="00E35632" w:rsidRDefault="00E35632">
      <w:pPr>
        <w:pStyle w:val="ConsPlusNormal"/>
        <w:ind w:firstLine="540"/>
        <w:jc w:val="both"/>
      </w:pPr>
    </w:p>
    <w:p w:rsidR="00E35632" w:rsidRDefault="00E35632">
      <w:pPr>
        <w:pStyle w:val="ConsPlusTitle"/>
        <w:jc w:val="center"/>
      </w:pPr>
      <w:bookmarkStart w:id="348" w:name="P8265"/>
      <w:bookmarkEnd w:id="348"/>
      <w:r>
        <w:t>МЕТОДИЧЕСКИЕ РЕКОМЕНДАЦИИ ПО ОЦЕНКЕ</w:t>
      </w:r>
    </w:p>
    <w:p w:rsidR="00E35632" w:rsidRDefault="00E35632">
      <w:pPr>
        <w:pStyle w:val="ConsPlusTitle"/>
        <w:jc w:val="center"/>
      </w:pPr>
      <w:r>
        <w:t>КОНСТРУКТИВНОЙ И ЭКОНОМИЧЕСКОЙ ЭФФЕКТИВНОСТИ</w:t>
      </w:r>
    </w:p>
    <w:p w:rsidR="00E35632" w:rsidRDefault="00E35632">
      <w:pPr>
        <w:pStyle w:val="ConsPlusTitle"/>
        <w:jc w:val="center"/>
      </w:pPr>
      <w:r>
        <w:t>ТЕХНИЧЕСКИХ РЕШЕНИЙ ПО УСТРОЙСТВУ ОСНОВАНИЙ И ФУНДАМЕНТОВ</w:t>
      </w:r>
    </w:p>
    <w:p w:rsidR="00E35632" w:rsidRDefault="00E35632">
      <w:pPr>
        <w:pStyle w:val="ConsPlusNormal"/>
        <w:jc w:val="center"/>
      </w:pPr>
      <w:r>
        <w:t xml:space="preserve">(приложение Р введено </w:t>
      </w:r>
      <w:hyperlink r:id="rId1089">
        <w:r>
          <w:rPr>
            <w:color w:val="0000FF"/>
          </w:rPr>
          <w:t>Изменением N 2</w:t>
        </w:r>
      </w:hyperlink>
      <w:r>
        <w:t>, утв. Приказом</w:t>
      </w:r>
    </w:p>
    <w:p w:rsidR="00E35632" w:rsidRDefault="00E35632">
      <w:pPr>
        <w:pStyle w:val="ConsPlusNormal"/>
        <w:jc w:val="center"/>
      </w:pPr>
      <w:r>
        <w:t>Минстроя России от 24.01.2019 N 43/пр)</w:t>
      </w:r>
    </w:p>
    <w:p w:rsidR="00E35632" w:rsidRDefault="00E35632">
      <w:pPr>
        <w:pStyle w:val="ConsPlusNormal"/>
        <w:ind w:firstLine="540"/>
        <w:jc w:val="both"/>
      </w:pPr>
    </w:p>
    <w:p w:rsidR="00E35632" w:rsidRDefault="00E35632">
      <w:pPr>
        <w:pStyle w:val="ConsPlusNormal"/>
        <w:ind w:firstLine="540"/>
        <w:jc w:val="both"/>
      </w:pPr>
      <w:r>
        <w:t>Р.1 В качестве критериев конструктивной эффективности следует выбирать показатели, определяемые как по 1-й группе, так и по 2-й группе предельных состояний: несущая способность, осадка, относительная разность осадок, крен и т.п.</w:t>
      </w:r>
    </w:p>
    <w:p w:rsidR="00E35632" w:rsidRDefault="00E35632">
      <w:pPr>
        <w:pStyle w:val="ConsPlusNormal"/>
        <w:spacing w:before="220"/>
        <w:ind w:firstLine="540"/>
        <w:jc w:val="both"/>
      </w:pPr>
      <w:r>
        <w:t>Р.2 В качестве базового значения критерия эффективности принимают определяемые нормами или проектом предельные значения. В качестве базового критерия для учета конструктивной эффективности по 1-й группе предельных состояний может быть выбран показатель несущей способности основания. В качестве базового критерия для учета конструктивной эффективности по 2-й группе предельных состояний может быть выбран показатель, отражающий деформации основания.</w:t>
      </w:r>
    </w:p>
    <w:p w:rsidR="00E35632" w:rsidRDefault="00E35632">
      <w:pPr>
        <w:pStyle w:val="ConsPlusNormal"/>
        <w:spacing w:before="220"/>
        <w:ind w:firstLine="540"/>
        <w:jc w:val="both"/>
      </w:pPr>
      <w:r>
        <w:t>Р.3 Для возможных вариантов решений по устройству оснований и фундаментов определяют частный коэффициент конструктивной эффективности конкретного проектного варианта:</w:t>
      </w:r>
    </w:p>
    <w:p w:rsidR="00E35632" w:rsidRDefault="00E35632">
      <w:pPr>
        <w:pStyle w:val="ConsPlusNormal"/>
        <w:spacing w:before="220"/>
        <w:ind w:firstLine="540"/>
        <w:jc w:val="both"/>
      </w:pPr>
      <w:r>
        <w:t>- для показателей по 1-й группе предельных состояний - отношение полученного частного значения критерия к базовому;</w:t>
      </w:r>
    </w:p>
    <w:p w:rsidR="00E35632" w:rsidRDefault="00E35632">
      <w:pPr>
        <w:pStyle w:val="ConsPlusNormal"/>
        <w:spacing w:before="220"/>
        <w:ind w:firstLine="540"/>
        <w:jc w:val="both"/>
      </w:pPr>
      <w:r>
        <w:t>- для показателей по 2-й группе предельных состояний - разность между 1 и отношением полученного частного значения критерия к базовому значению.</w:t>
      </w:r>
    </w:p>
    <w:p w:rsidR="00E35632" w:rsidRDefault="00E35632">
      <w:pPr>
        <w:pStyle w:val="ConsPlusNormal"/>
        <w:spacing w:before="220"/>
        <w:ind w:firstLine="540"/>
        <w:jc w:val="both"/>
      </w:pPr>
      <w:r>
        <w:t>Р.4 При необходимости учета нескольких критериев определяют соответствующие коэффициенты для каждого критерия. Обобщенный коэффициент для проектного варианта получают перемножением соответствующих коэффициентов для каждого критерия.</w:t>
      </w:r>
    </w:p>
    <w:p w:rsidR="00E35632" w:rsidRDefault="00E35632">
      <w:pPr>
        <w:pStyle w:val="ConsPlusNormal"/>
        <w:spacing w:before="220"/>
        <w:ind w:firstLine="540"/>
        <w:jc w:val="both"/>
      </w:pPr>
      <w:r>
        <w:t>Р.5 Сравнение эффективности по конструктивному критерию выполняют сравнением обобщенных или частных коэффициентов - большее значение показывает преимущество данного варианта.</w:t>
      </w: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both"/>
      </w:pPr>
    </w:p>
    <w:p w:rsidR="00E35632" w:rsidRDefault="00E35632">
      <w:pPr>
        <w:pStyle w:val="ConsPlusNormal"/>
        <w:jc w:val="right"/>
        <w:outlineLvl w:val="0"/>
      </w:pPr>
      <w:r>
        <w:rPr>
          <w:b/>
        </w:rPr>
        <w:t>Приложение С</w:t>
      </w:r>
    </w:p>
    <w:p w:rsidR="00E35632" w:rsidRDefault="00E35632">
      <w:pPr>
        <w:pStyle w:val="ConsPlusNormal"/>
        <w:jc w:val="both"/>
      </w:pPr>
    </w:p>
    <w:p w:rsidR="00E35632" w:rsidRDefault="00E35632">
      <w:pPr>
        <w:pStyle w:val="ConsPlusTitle"/>
        <w:jc w:val="center"/>
      </w:pPr>
      <w:bookmarkStart w:id="349" w:name="P8285"/>
      <w:bookmarkEnd w:id="349"/>
      <w:r>
        <w:t>ПРИМЕНЕНИЕ НЕЛИНЕЙНЫХ ГЕОМЕХАНИЧЕСКИХ МОДЕЛЕЙ</w:t>
      </w:r>
    </w:p>
    <w:p w:rsidR="00E35632" w:rsidRDefault="00E35632">
      <w:pPr>
        <w:pStyle w:val="ConsPlusTitle"/>
        <w:jc w:val="center"/>
      </w:pPr>
      <w:r>
        <w:t>ПРИ ВЫПОЛНЕНИИ ГЕОТЕХНИЧЕСКИХ РАСЧЕТОВ</w:t>
      </w:r>
    </w:p>
    <w:p w:rsidR="00E35632" w:rsidRDefault="00E35632">
      <w:pPr>
        <w:pStyle w:val="ConsPlusNormal"/>
        <w:jc w:val="center"/>
      </w:pPr>
      <w:r>
        <w:t xml:space="preserve">(приложение С введено </w:t>
      </w:r>
      <w:hyperlink r:id="rId1090">
        <w:r>
          <w:rPr>
            <w:color w:val="0000FF"/>
          </w:rPr>
          <w:t>Изменением N 3</w:t>
        </w:r>
      </w:hyperlink>
      <w:r>
        <w:t>, утв. Приказом</w:t>
      </w:r>
    </w:p>
    <w:p w:rsidR="00E35632" w:rsidRDefault="00E35632">
      <w:pPr>
        <w:pStyle w:val="ConsPlusNormal"/>
        <w:jc w:val="center"/>
      </w:pPr>
      <w:r>
        <w:t>Минстроя России от 22.11.2019 N 722/пр)</w:t>
      </w:r>
    </w:p>
    <w:p w:rsidR="00E35632" w:rsidRDefault="00E35632">
      <w:pPr>
        <w:pStyle w:val="ConsPlusNormal"/>
        <w:jc w:val="both"/>
      </w:pPr>
    </w:p>
    <w:p w:rsidR="00E35632" w:rsidRDefault="00E35632">
      <w:pPr>
        <w:pStyle w:val="ConsPlusNormal"/>
        <w:ind w:firstLine="540"/>
        <w:jc w:val="both"/>
      </w:pPr>
      <w:r>
        <w:t>С.1 Нелинейные геомеханические модели (в том числе модели с "упрочнением") применяются для выполнения расчетов численными методами в апробированных геотехнических программных комплексах.</w:t>
      </w:r>
    </w:p>
    <w:p w:rsidR="00E35632" w:rsidRDefault="00E35632">
      <w:pPr>
        <w:pStyle w:val="ConsPlusNormal"/>
        <w:spacing w:before="220"/>
        <w:ind w:firstLine="540"/>
        <w:jc w:val="both"/>
      </w:pPr>
      <w:r>
        <w:t xml:space="preserve">С.2 Нелинейная модель должна выбираться в зависимости от решаемой задачи, с учетом уровня ответственности сооружения по </w:t>
      </w:r>
      <w:hyperlink r:id="rId1091">
        <w:r>
          <w:rPr>
            <w:color w:val="0000FF"/>
          </w:rPr>
          <w:t>ГОСТ 27751</w:t>
        </w:r>
      </w:hyperlink>
      <w:r>
        <w:t>, применимости модели в данных грунтовых условиях, нагрузок и ожидаемых деформаций. Параметры моделей определяют и уточняют в рамках инженерно-геотехнических изысканий.</w:t>
      </w:r>
    </w:p>
    <w:p w:rsidR="00E35632" w:rsidRDefault="00E35632">
      <w:pPr>
        <w:pStyle w:val="ConsPlusNormal"/>
        <w:spacing w:before="220"/>
        <w:ind w:firstLine="540"/>
        <w:jc w:val="both"/>
      </w:pPr>
      <w:r>
        <w:t>С.3 Для получения надежных и достоверных результатов при проведении геотехнических расчетов с применением нелинейных геомеханических моделей грунтов должна быть доказана адекватность их применения.</w:t>
      </w:r>
    </w:p>
    <w:p w:rsidR="00E35632" w:rsidRDefault="00E35632">
      <w:pPr>
        <w:pStyle w:val="ConsPlusNormal"/>
        <w:spacing w:before="220"/>
        <w:ind w:firstLine="540"/>
        <w:jc w:val="both"/>
      </w:pPr>
      <w:r>
        <w:t xml:space="preserve">При определении расчетного значения результата воздействий рекомендуется выполнять анализ чувствительности численной модели с учетом введения дополнительных коэффициентов надежности модели в соответствии с требованиями </w:t>
      </w:r>
      <w:hyperlink r:id="rId1092">
        <w:r>
          <w:rPr>
            <w:color w:val="0000FF"/>
          </w:rPr>
          <w:t>раздела 8</w:t>
        </w:r>
      </w:hyperlink>
      <w:r>
        <w:t xml:space="preserve"> СП 248.1325800.2016. При этом частные коэффициенты надежности модели применяются таким образом, чтобы погрешности результатов расчета были в запас надежности.</w:t>
      </w:r>
    </w:p>
    <w:p w:rsidR="00E35632" w:rsidRDefault="00E35632">
      <w:pPr>
        <w:pStyle w:val="ConsPlusNormal"/>
        <w:jc w:val="both"/>
      </w:pPr>
      <w:r>
        <w:t xml:space="preserve">(абзац введен </w:t>
      </w:r>
      <w:hyperlink r:id="rId1093">
        <w:r>
          <w:rPr>
            <w:color w:val="0000FF"/>
          </w:rPr>
          <w:t>Изменением N 4</w:t>
        </w:r>
      </w:hyperlink>
      <w:r>
        <w:t>, утв. Приказом Минстроя России от 27.12.2021 N 1022/пр)</w:t>
      </w:r>
    </w:p>
    <w:p w:rsidR="00E35632" w:rsidRDefault="00E35632">
      <w:pPr>
        <w:pStyle w:val="ConsPlusNormal"/>
        <w:spacing w:before="220"/>
        <w:ind w:firstLine="540"/>
        <w:jc w:val="both"/>
      </w:pPr>
      <w:r>
        <w:t>Оценку достоверности геомеханических моделей для конкретных грунтовых условий выполняют на основе сравнения результатов расчетов с данными геотехнического мониторинга, а при отсутствии таких данных - с результатами лабораторных и полевых испытаний грунтов.</w:t>
      </w:r>
    </w:p>
    <w:p w:rsidR="00E35632" w:rsidRDefault="00E35632">
      <w:pPr>
        <w:pStyle w:val="ConsPlusNormal"/>
        <w:spacing w:before="220"/>
        <w:ind w:firstLine="540"/>
        <w:jc w:val="both"/>
      </w:pPr>
      <w:r>
        <w:t>С.4 Оценка достоверности геомеханических моделей по данным геотехнического мониторинга выполняется путем сопоставления данных мониторинга (вертикальные и горизонтальные перемещения конструкций) с результатами обратных расчетов с учетом фактических конструкций и нагрузок.</w:t>
      </w:r>
    </w:p>
    <w:p w:rsidR="00E35632" w:rsidRDefault="00E35632">
      <w:pPr>
        <w:pStyle w:val="ConsPlusNormal"/>
        <w:spacing w:before="220"/>
        <w:ind w:firstLine="540"/>
        <w:jc w:val="both"/>
      </w:pPr>
      <w:r>
        <w:t>При оценке достоверности геомеханических моделей по данным испытаний грунтов выполняют обратные расчеты результатов испытаний и сравнение с результатами лабораторных и полевых испытаний грунтов.</w:t>
      </w:r>
    </w:p>
    <w:p w:rsidR="00E35632" w:rsidRDefault="00E35632">
      <w:pPr>
        <w:pStyle w:val="ConsPlusNormal"/>
        <w:spacing w:before="220"/>
        <w:ind w:firstLine="540"/>
        <w:jc w:val="both"/>
      </w:pPr>
      <w:r>
        <w:t xml:space="preserve">На </w:t>
      </w:r>
      <w:hyperlink w:anchor="P8302">
        <w:r>
          <w:rPr>
            <w:color w:val="0000FF"/>
          </w:rPr>
          <w:t>рисунке С.1</w:t>
        </w:r>
      </w:hyperlink>
      <w:r>
        <w:t xml:space="preserve"> приведены примеры результатов оценки достоверности нелинейных геомеханических моделей для штамповых испытаний.</w:t>
      </w:r>
    </w:p>
    <w:p w:rsidR="00E35632" w:rsidRDefault="00E35632">
      <w:pPr>
        <w:pStyle w:val="ConsPlusNormal"/>
        <w:jc w:val="both"/>
      </w:pPr>
    </w:p>
    <w:p w:rsidR="00E35632" w:rsidRDefault="00E35632">
      <w:pPr>
        <w:pStyle w:val="ConsPlusNormal"/>
        <w:jc w:val="center"/>
      </w:pPr>
      <w:r>
        <w:rPr>
          <w:noProof/>
          <w:position w:val="-198"/>
        </w:rPr>
        <w:drawing>
          <wp:inline distT="0" distB="0" distL="0" distR="0">
            <wp:extent cx="5532120" cy="2655570"/>
            <wp:effectExtent l="0" t="0" r="0" b="0"/>
            <wp:docPr id="796" name="Консультант Плюс"/>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pic:nvPicPr>
                  <pic:blipFill>
                    <a:blip r:embed="rId1094">
                      <a:extLst>
                        <a:ext uri="{28A0092B-C50C-407E-A947-70E740481C1C}">
                          <a14:useLocalDpi xmlns:a14="http://schemas.microsoft.com/office/drawing/2010/main" val="0"/>
                        </a:ext>
                      </a:extLst>
                    </a:blip>
                    <a:srcRect/>
                    <a:stretch>
                      <a:fillRect/>
                    </a:stretch>
                  </pic:blipFill>
                  <pic:spPr bwMode="auto">
                    <a:xfrm>
                      <a:off x="0" y="0"/>
                      <a:ext cx="5532120" cy="2655570"/>
                    </a:xfrm>
                    <a:prstGeom prst="rect">
                      <a:avLst/>
                    </a:prstGeom>
                    <a:noFill/>
                    <a:ln>
                      <a:noFill/>
                    </a:ln>
                  </pic:spPr>
                </pic:pic>
              </a:graphicData>
            </a:graphic>
          </wp:inline>
        </w:drawing>
      </w:r>
    </w:p>
    <w:p w:rsidR="00E35632" w:rsidRDefault="00E35632">
      <w:pPr>
        <w:pStyle w:val="ConsPlusNormal"/>
        <w:jc w:val="both"/>
      </w:pPr>
    </w:p>
    <w:p w:rsidR="00E35632" w:rsidRDefault="00E35632">
      <w:pPr>
        <w:pStyle w:val="ConsPlusNormal"/>
        <w:jc w:val="center"/>
      </w:pPr>
      <w:bookmarkStart w:id="350" w:name="P8302"/>
      <w:bookmarkEnd w:id="350"/>
      <w:r>
        <w:rPr>
          <w:b/>
          <w:i/>
        </w:rPr>
        <w:t>Рисунок С.1 -</w:t>
      </w:r>
      <w:r>
        <w:t xml:space="preserve"> </w:t>
      </w:r>
      <w:r>
        <w:rPr>
          <w:b/>
        </w:rPr>
        <w:t>Характерные результаты оценки достоверности</w:t>
      </w:r>
    </w:p>
    <w:p w:rsidR="00E35632" w:rsidRDefault="00E35632">
      <w:pPr>
        <w:pStyle w:val="ConsPlusNormal"/>
        <w:jc w:val="center"/>
      </w:pPr>
      <w:r>
        <w:rPr>
          <w:b/>
        </w:rPr>
        <w:t>нелинейных геомеханических моделей</w:t>
      </w:r>
    </w:p>
    <w:p w:rsidR="00E35632" w:rsidRDefault="00E35632">
      <w:pPr>
        <w:pStyle w:val="ConsPlusNormal"/>
        <w:jc w:val="both"/>
      </w:pPr>
    </w:p>
    <w:p w:rsidR="00E35632" w:rsidRDefault="00E35632">
      <w:pPr>
        <w:pStyle w:val="ConsPlusNormal"/>
        <w:ind w:firstLine="540"/>
        <w:jc w:val="both"/>
      </w:pPr>
      <w:r>
        <w:t>С.5 Для предварительных расчетов отдельные деформационные параметры моделей нелинейного механического поведения песчаных грунтов, МПа, могут быть описаны зависимостями вида:</w:t>
      </w:r>
    </w:p>
    <w:p w:rsidR="00E35632" w:rsidRDefault="00E35632">
      <w:pPr>
        <w:pStyle w:val="ConsPlusNormal"/>
        <w:jc w:val="both"/>
      </w:pPr>
    </w:p>
    <w:p w:rsidR="00E35632" w:rsidRDefault="00E35632">
      <w:pPr>
        <w:pStyle w:val="ConsPlusNormal"/>
        <w:jc w:val="center"/>
      </w:pPr>
      <w:r>
        <w:rPr>
          <w:i/>
        </w:rPr>
        <w:t>E</w:t>
      </w:r>
      <w:r>
        <w:rPr>
          <w:vertAlign w:val="subscript"/>
        </w:rPr>
        <w:t>50</w:t>
      </w:r>
      <w:r>
        <w:t xml:space="preserve"> = (0,75 ... 1,00)</w:t>
      </w:r>
      <w:r>
        <w:rPr>
          <w:i/>
        </w:rPr>
        <w:t>E</w:t>
      </w:r>
      <w:r>
        <w:rPr>
          <w:vertAlign w:val="subscript"/>
        </w:rPr>
        <w:t>0</w:t>
      </w:r>
      <w:r>
        <w:t>, (С.1)</w:t>
      </w:r>
    </w:p>
    <w:p w:rsidR="00E35632" w:rsidRDefault="00E35632">
      <w:pPr>
        <w:pStyle w:val="ConsPlusNormal"/>
        <w:jc w:val="both"/>
      </w:pPr>
    </w:p>
    <w:p w:rsidR="00E35632" w:rsidRDefault="00E35632">
      <w:pPr>
        <w:pStyle w:val="ConsPlusNormal"/>
        <w:ind w:firstLine="540"/>
        <w:jc w:val="both"/>
      </w:pPr>
      <w:r>
        <w:t xml:space="preserve">где </w:t>
      </w:r>
      <w:r>
        <w:rPr>
          <w:i/>
        </w:rPr>
        <w:t>E</w:t>
      </w:r>
      <w:r>
        <w:rPr>
          <w:vertAlign w:val="subscript"/>
        </w:rPr>
        <w:t>50</w:t>
      </w:r>
      <w:r>
        <w:t xml:space="preserve"> - секущий модуль деформации, МПа;</w:t>
      </w:r>
    </w:p>
    <w:p w:rsidR="00E35632" w:rsidRDefault="00E35632">
      <w:pPr>
        <w:pStyle w:val="ConsPlusNormal"/>
        <w:spacing w:before="220"/>
        <w:ind w:firstLine="540"/>
        <w:jc w:val="both"/>
      </w:pPr>
      <w:r>
        <w:rPr>
          <w:i/>
        </w:rPr>
        <w:t>E</w:t>
      </w:r>
      <w:r>
        <w:rPr>
          <w:vertAlign w:val="subscript"/>
        </w:rPr>
        <w:t>0</w:t>
      </w:r>
      <w:r>
        <w:t xml:space="preserve"> - модуль линейной деформации, МПа;</w:t>
      </w:r>
    </w:p>
    <w:p w:rsidR="00E35632" w:rsidRDefault="00E35632">
      <w:pPr>
        <w:pStyle w:val="ConsPlusNormal"/>
        <w:jc w:val="both"/>
      </w:pPr>
    </w:p>
    <w:p w:rsidR="00E35632" w:rsidRDefault="00E35632">
      <w:pPr>
        <w:pStyle w:val="ConsPlusNormal"/>
        <w:jc w:val="center"/>
      </w:pPr>
      <w:r>
        <w:rPr>
          <w:i/>
        </w:rPr>
        <w:t>E</w:t>
      </w:r>
      <w:r>
        <w:rPr>
          <w:i/>
          <w:vertAlign w:val="subscript"/>
        </w:rPr>
        <w:t>ur</w:t>
      </w:r>
      <w:r>
        <w:t xml:space="preserve"> = </w:t>
      </w:r>
      <w:r>
        <w:rPr>
          <w:i/>
        </w:rPr>
        <w:t>AE</w:t>
      </w:r>
      <w:r>
        <w:rPr>
          <w:vertAlign w:val="subscript"/>
        </w:rPr>
        <w:t>0</w:t>
      </w:r>
      <w:r>
        <w:t xml:space="preserve"> + </w:t>
      </w:r>
      <w:r>
        <w:rPr>
          <w:i/>
        </w:rPr>
        <w:t>B</w:t>
      </w:r>
      <w:r>
        <w:t>, (С.2)</w:t>
      </w:r>
    </w:p>
    <w:p w:rsidR="00E35632" w:rsidRDefault="00E35632">
      <w:pPr>
        <w:pStyle w:val="ConsPlusNormal"/>
        <w:jc w:val="both"/>
      </w:pPr>
    </w:p>
    <w:p w:rsidR="00E35632" w:rsidRDefault="00E35632">
      <w:pPr>
        <w:pStyle w:val="ConsPlusNormal"/>
        <w:ind w:firstLine="540"/>
        <w:jc w:val="both"/>
      </w:pPr>
      <w:r>
        <w:t xml:space="preserve">где </w:t>
      </w:r>
      <w:r>
        <w:rPr>
          <w:i/>
        </w:rPr>
        <w:t>E</w:t>
      </w:r>
      <w:r>
        <w:rPr>
          <w:i/>
          <w:vertAlign w:val="subscript"/>
        </w:rPr>
        <w:t>ur</w:t>
      </w:r>
      <w:r>
        <w:t xml:space="preserve"> - модуль разгрузки и повторного нагружения, МПа;</w:t>
      </w:r>
    </w:p>
    <w:p w:rsidR="00E35632" w:rsidRDefault="00E35632">
      <w:pPr>
        <w:pStyle w:val="ConsPlusNormal"/>
        <w:spacing w:before="220"/>
        <w:ind w:firstLine="540"/>
        <w:jc w:val="both"/>
      </w:pPr>
      <w:r>
        <w:rPr>
          <w:i/>
        </w:rPr>
        <w:t>A</w:t>
      </w:r>
      <w:r>
        <w:t xml:space="preserve"> и </w:t>
      </w:r>
      <w:r>
        <w:rPr>
          <w:i/>
        </w:rPr>
        <w:t>B</w:t>
      </w:r>
      <w:r>
        <w:t xml:space="preserve"> - безразмерные коэффициенты. Величина </w:t>
      </w:r>
      <w:r>
        <w:rPr>
          <w:i/>
        </w:rPr>
        <w:t>A</w:t>
      </w:r>
      <w:r>
        <w:t xml:space="preserve"> изменяется в диапазоне 1 - 5, а величина </w:t>
      </w:r>
      <w:r>
        <w:rPr>
          <w:i/>
        </w:rPr>
        <w:t>B</w:t>
      </w:r>
      <w:r>
        <w:t xml:space="preserve"> в диапазоне 0 - 100.</w:t>
      </w:r>
    </w:p>
    <w:p w:rsidR="00E35632" w:rsidRDefault="00E35632">
      <w:pPr>
        <w:pStyle w:val="ConsPlusNormal"/>
        <w:spacing w:before="220"/>
        <w:ind w:firstLine="540"/>
        <w:jc w:val="both"/>
      </w:pPr>
      <w:r>
        <w:t>С.6 Применение откорректированных по результатам оценки достоверности параметров моделей допустимо только для расчетов по второму предельному состоянию. Для расчетов по первому предельному состоянию корректировка прочностных параметров не допускается.</w:t>
      </w:r>
    </w:p>
    <w:p w:rsidR="00E35632" w:rsidRDefault="00E35632">
      <w:pPr>
        <w:pStyle w:val="ConsPlusNormal"/>
        <w:ind w:firstLine="540"/>
        <w:jc w:val="both"/>
      </w:pPr>
    </w:p>
    <w:p w:rsidR="00E35632" w:rsidRDefault="00E35632">
      <w:pPr>
        <w:pStyle w:val="ConsPlusNormal"/>
        <w:ind w:firstLine="540"/>
        <w:jc w:val="both"/>
      </w:pPr>
    </w:p>
    <w:p w:rsidR="00E35632" w:rsidRDefault="00E35632">
      <w:pPr>
        <w:pStyle w:val="ConsPlusNormal"/>
        <w:ind w:firstLine="540"/>
        <w:jc w:val="both"/>
      </w:pPr>
    </w:p>
    <w:p w:rsidR="00E35632" w:rsidRDefault="00E35632">
      <w:pPr>
        <w:pStyle w:val="ConsPlusNormal"/>
        <w:ind w:firstLine="540"/>
        <w:jc w:val="both"/>
      </w:pPr>
    </w:p>
    <w:p w:rsidR="00E35632" w:rsidRDefault="00E35632">
      <w:pPr>
        <w:pStyle w:val="ConsPlusNormal"/>
        <w:ind w:firstLine="540"/>
        <w:jc w:val="both"/>
      </w:pPr>
    </w:p>
    <w:p w:rsidR="00E35632" w:rsidRDefault="00E35632">
      <w:pPr>
        <w:pStyle w:val="ConsPlusTitle"/>
        <w:jc w:val="center"/>
        <w:outlineLvl w:val="0"/>
      </w:pPr>
      <w:r>
        <w:t>БИБЛИОГРАФИЯ</w:t>
      </w:r>
    </w:p>
    <w:p w:rsidR="00E35632" w:rsidRDefault="00E35632">
      <w:pPr>
        <w:pStyle w:val="ConsPlusNormal"/>
        <w:jc w:val="both"/>
      </w:pPr>
    </w:p>
    <w:p w:rsidR="00E35632" w:rsidRDefault="00E35632">
      <w:pPr>
        <w:pStyle w:val="ConsPlusNormal"/>
        <w:ind w:firstLine="540"/>
        <w:jc w:val="both"/>
      </w:pPr>
      <w:bookmarkStart w:id="351" w:name="P8324"/>
      <w:bookmarkEnd w:id="351"/>
      <w:r>
        <w:t xml:space="preserve">[1] Федеральный </w:t>
      </w:r>
      <w:hyperlink r:id="rId1095">
        <w:r>
          <w:rPr>
            <w:color w:val="0000FF"/>
          </w:rPr>
          <w:t>закон</w:t>
        </w:r>
      </w:hyperlink>
      <w:r>
        <w:t xml:space="preserve"> от 29 декабря 2004 г. N 190-ФЗ "Градостроительный кодекс Российской Федерации"</w:t>
      </w:r>
    </w:p>
    <w:p w:rsidR="00E35632" w:rsidRDefault="00E35632">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000" w:firstRow="0" w:lastRow="0" w:firstColumn="0" w:lastColumn="0" w:noHBand="0" w:noVBand="0"/>
      </w:tblPr>
      <w:tblGrid>
        <w:gridCol w:w="60"/>
        <w:gridCol w:w="113"/>
        <w:gridCol w:w="9068"/>
        <w:gridCol w:w="113"/>
      </w:tblGrid>
      <w:tr w:rsidR="00E35632">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E35632" w:rsidRDefault="00E35632">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E35632" w:rsidRDefault="00E35632">
            <w:pPr>
              <w:pStyle w:val="ConsPlusNormal"/>
              <w:jc w:val="both"/>
            </w:pPr>
            <w:r>
              <w:rPr>
                <w:color w:val="392C69"/>
              </w:rPr>
              <w:t>КонсультантПлюс: примечание.</w:t>
            </w:r>
          </w:p>
          <w:p w:rsidR="00E35632" w:rsidRDefault="00E35632">
            <w:pPr>
              <w:pStyle w:val="ConsPlusNormal"/>
              <w:jc w:val="both"/>
            </w:pPr>
            <w:r>
              <w:rPr>
                <w:color w:val="392C69"/>
              </w:rPr>
              <w:t>В официальном тексте документа, видимо, допущена опечатка: Федеральный закон N 384-ФЗ имеет дату 30.12.2009, а не 29.12.2009.</w:t>
            </w: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r>
    </w:tbl>
    <w:p w:rsidR="00E35632" w:rsidRDefault="00E35632">
      <w:pPr>
        <w:pStyle w:val="ConsPlusNormal"/>
        <w:spacing w:before="280"/>
        <w:ind w:firstLine="540"/>
        <w:jc w:val="both"/>
      </w:pPr>
      <w:bookmarkStart w:id="352" w:name="P8327"/>
      <w:bookmarkEnd w:id="352"/>
      <w:r>
        <w:t xml:space="preserve">[2] Федеральный </w:t>
      </w:r>
      <w:hyperlink r:id="rId1096">
        <w:r>
          <w:rPr>
            <w:color w:val="0000FF"/>
          </w:rPr>
          <w:t>закон</w:t>
        </w:r>
      </w:hyperlink>
      <w:r>
        <w:t xml:space="preserve"> от 29 декабря 2009 г. N 384-ФЗ "Технический регламент о безопасности зданий и сооружений"</w:t>
      </w:r>
    </w:p>
    <w:p w:rsidR="00E35632" w:rsidRDefault="00E35632">
      <w:pPr>
        <w:pStyle w:val="ConsPlusNormal"/>
        <w:spacing w:before="220"/>
        <w:ind w:firstLine="540"/>
        <w:jc w:val="both"/>
      </w:pPr>
      <w:bookmarkStart w:id="353" w:name="P8328"/>
      <w:bookmarkEnd w:id="353"/>
      <w:r>
        <w:t xml:space="preserve">[3] </w:t>
      </w:r>
      <w:hyperlink r:id="rId1097">
        <w:r>
          <w:rPr>
            <w:color w:val="0000FF"/>
          </w:rPr>
          <w:t>СП 11-102-97</w:t>
        </w:r>
      </w:hyperlink>
      <w:r>
        <w:t xml:space="preserve"> Инженерно-экологические изыскания для строительства</w:t>
      </w:r>
    </w:p>
    <w:p w:rsidR="00E35632" w:rsidRDefault="00E35632">
      <w:pPr>
        <w:pStyle w:val="ConsPlusNormal"/>
        <w:spacing w:before="220"/>
        <w:ind w:firstLine="540"/>
        <w:jc w:val="both"/>
      </w:pPr>
      <w:bookmarkStart w:id="354" w:name="P8329"/>
      <w:bookmarkEnd w:id="354"/>
      <w:r>
        <w:t>[4] СП 11-104-97 Инженерно-геодезические изыскания для строительства</w:t>
      </w:r>
    </w:p>
    <w:p w:rsidR="00E35632" w:rsidRDefault="00E35632">
      <w:pPr>
        <w:pStyle w:val="ConsPlusNormal"/>
        <w:spacing w:before="220"/>
        <w:ind w:firstLine="540"/>
        <w:jc w:val="both"/>
      </w:pPr>
      <w:bookmarkStart w:id="355" w:name="P8330"/>
      <w:bookmarkEnd w:id="355"/>
      <w:r>
        <w:t>[5] СП 11-105-97 Инженерно-геологические изыскания для строительства</w:t>
      </w:r>
    </w:p>
    <w:p w:rsidR="00E35632" w:rsidRDefault="00E35632">
      <w:pPr>
        <w:pStyle w:val="ConsPlusNormal"/>
        <w:spacing w:after="1"/>
      </w:pPr>
    </w:p>
    <w:tbl>
      <w:tblPr>
        <w:tblW w:w="5000" w:type="pct"/>
        <w:tblBorders>
          <w:top w:val="nil"/>
          <w:left w:val="nil"/>
          <w:bottom w:val="nil"/>
          <w:right w:val="nil"/>
          <w:insideH w:val="nil"/>
          <w:insideV w:val="nil"/>
        </w:tblBorders>
        <w:tblCellMar>
          <w:left w:w="10" w:type="dxa"/>
          <w:right w:w="10" w:type="dxa"/>
        </w:tblCellMar>
        <w:tblLook w:val="0000" w:firstRow="0" w:lastRow="0" w:firstColumn="0" w:lastColumn="0" w:noHBand="0" w:noVBand="0"/>
      </w:tblPr>
      <w:tblGrid>
        <w:gridCol w:w="60"/>
        <w:gridCol w:w="113"/>
        <w:gridCol w:w="9068"/>
        <w:gridCol w:w="113"/>
      </w:tblGrid>
      <w:tr w:rsidR="00E35632">
        <w:tblPrEx>
          <w:tblCellMar>
            <w:top w:w="0" w:type="dxa"/>
            <w:bottom w:w="0" w:type="dxa"/>
          </w:tblCellMar>
        </w:tblPrEx>
        <w:tc>
          <w:tcPr>
            <w:tcW w:w="60" w:type="dxa"/>
            <w:tcBorders>
              <w:top w:val="nil"/>
              <w:left w:val="nil"/>
              <w:bottom w:val="nil"/>
              <w:right w:val="nil"/>
            </w:tcBorders>
            <w:shd w:val="clear" w:color="auto" w:fill="CED3F1"/>
            <w:tcMar>
              <w:top w:w="0" w:type="dxa"/>
              <w:left w:w="0" w:type="dxa"/>
              <w:bottom w:w="0" w:type="dxa"/>
              <w:right w:w="0" w:type="dxa"/>
            </w:tcMar>
          </w:tcPr>
          <w:p w:rsidR="00E35632" w:rsidRDefault="00E35632">
            <w:pPr>
              <w:pStyle w:val="ConsPlusNormal"/>
            </w:pP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c>
          <w:tcPr>
            <w:tcW w:w="0" w:type="auto"/>
            <w:tcBorders>
              <w:top w:val="nil"/>
              <w:left w:val="nil"/>
              <w:bottom w:val="nil"/>
              <w:right w:val="nil"/>
            </w:tcBorders>
            <w:shd w:val="clear" w:color="auto" w:fill="F4F3F8"/>
            <w:tcMar>
              <w:top w:w="113" w:type="dxa"/>
              <w:left w:w="0" w:type="dxa"/>
              <w:bottom w:w="113" w:type="dxa"/>
              <w:right w:w="0" w:type="dxa"/>
            </w:tcMar>
          </w:tcPr>
          <w:p w:rsidR="00E35632" w:rsidRDefault="00E35632">
            <w:pPr>
              <w:pStyle w:val="ConsPlusNormal"/>
              <w:jc w:val="both"/>
            </w:pPr>
            <w:r>
              <w:rPr>
                <w:color w:val="392C69"/>
              </w:rPr>
              <w:t>КонсультантПлюс: примечание.</w:t>
            </w:r>
          </w:p>
          <w:p w:rsidR="00E35632" w:rsidRDefault="00E35632">
            <w:pPr>
              <w:pStyle w:val="ConsPlusNormal"/>
              <w:jc w:val="both"/>
            </w:pPr>
            <w:r>
              <w:rPr>
                <w:color w:val="392C69"/>
              </w:rPr>
              <w:t>В официальном тексте документа, видимо, допущена опечатка: имеется в виду СНиП 12-04-2002, а не СНиП 12-04-2001.</w:t>
            </w:r>
          </w:p>
        </w:tc>
        <w:tc>
          <w:tcPr>
            <w:tcW w:w="113" w:type="dxa"/>
            <w:tcBorders>
              <w:top w:val="nil"/>
              <w:left w:val="nil"/>
              <w:bottom w:val="nil"/>
              <w:right w:val="nil"/>
            </w:tcBorders>
            <w:shd w:val="clear" w:color="auto" w:fill="F4F3F8"/>
            <w:tcMar>
              <w:top w:w="0" w:type="dxa"/>
              <w:left w:w="0" w:type="dxa"/>
              <w:bottom w:w="0" w:type="dxa"/>
              <w:right w:w="0" w:type="dxa"/>
            </w:tcMar>
          </w:tcPr>
          <w:p w:rsidR="00E35632" w:rsidRDefault="00E35632">
            <w:pPr>
              <w:pStyle w:val="ConsPlusNormal"/>
            </w:pPr>
          </w:p>
        </w:tc>
      </w:tr>
    </w:tbl>
    <w:p w:rsidR="00E35632" w:rsidRDefault="00E35632">
      <w:pPr>
        <w:pStyle w:val="ConsPlusNormal"/>
        <w:spacing w:before="280"/>
        <w:ind w:firstLine="540"/>
        <w:jc w:val="both"/>
      </w:pPr>
      <w:bookmarkStart w:id="356" w:name="P8333"/>
      <w:bookmarkEnd w:id="356"/>
      <w:r>
        <w:t xml:space="preserve">[6] </w:t>
      </w:r>
      <w:hyperlink r:id="rId1098">
        <w:r>
          <w:rPr>
            <w:color w:val="0000FF"/>
          </w:rPr>
          <w:t>СНиП 12-04-2001</w:t>
        </w:r>
      </w:hyperlink>
      <w:r>
        <w:t xml:space="preserve"> Безопасность труда в строительстве. Часть 2. Строительное производство</w:t>
      </w:r>
    </w:p>
    <w:p w:rsidR="00E35632" w:rsidRDefault="00E35632">
      <w:pPr>
        <w:pStyle w:val="ConsPlusNormal"/>
        <w:spacing w:before="220"/>
        <w:ind w:firstLine="540"/>
        <w:jc w:val="both"/>
      </w:pPr>
      <w:bookmarkStart w:id="357" w:name="P8334"/>
      <w:bookmarkEnd w:id="357"/>
      <w:r>
        <w:t>[7] Рекомендации по проведению полевых испытаний виброустойчивости оснований фундаментов турбоагрегатов. М.: НИИОСП, 1986</w:t>
      </w:r>
    </w:p>
    <w:p w:rsidR="00E35632" w:rsidRDefault="00E35632">
      <w:pPr>
        <w:pStyle w:val="ConsPlusNormal"/>
        <w:jc w:val="both"/>
      </w:pPr>
    </w:p>
    <w:p w:rsidR="00E35632" w:rsidRDefault="00E35632">
      <w:pPr>
        <w:pStyle w:val="ConsPlusNormal"/>
        <w:jc w:val="both"/>
      </w:pPr>
    </w:p>
    <w:p w:rsidR="00E35632" w:rsidRDefault="00E35632">
      <w:pPr>
        <w:pStyle w:val="ConsPlusNormal"/>
        <w:pBdr>
          <w:bottom w:val="single" w:sz="6" w:space="0" w:color="auto"/>
        </w:pBdr>
        <w:spacing w:before="100" w:after="100"/>
        <w:jc w:val="both"/>
        <w:rPr>
          <w:sz w:val="2"/>
          <w:szCs w:val="2"/>
        </w:rPr>
      </w:pPr>
    </w:p>
    <w:bookmarkEnd w:id="0"/>
    <w:p w:rsidR="00D658FB" w:rsidRDefault="00D658FB"/>
    <w:sectPr w:rsidR="00D658FB">
      <w:pgSz w:w="11905" w:h="16838"/>
      <w:pgMar w:top="1134" w:right="850" w:bottom="1134" w:left="1701" w:header="0" w:footer="0" w:gutter="0"/>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35632"/>
    <w:rsid w:val="00D658FB"/>
    <w:rsid w:val="00E3563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7D207178-4974-4682-952F-53A2071EFA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E35632"/>
    <w:pPr>
      <w:widowControl w:val="0"/>
      <w:autoSpaceDE w:val="0"/>
      <w:autoSpaceDN w:val="0"/>
      <w:spacing w:after="0" w:line="240" w:lineRule="auto"/>
    </w:pPr>
    <w:rPr>
      <w:rFonts w:ascii="Calibri" w:eastAsiaTheme="minorEastAsia" w:hAnsi="Calibri" w:cs="Calibri"/>
      <w:lang w:eastAsia="ru-RU"/>
    </w:rPr>
  </w:style>
  <w:style w:type="paragraph" w:customStyle="1" w:styleId="ConsPlusNonformat">
    <w:name w:val="ConsPlusNonformat"/>
    <w:rsid w:val="00E35632"/>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Title">
    <w:name w:val="ConsPlusTitle"/>
    <w:rsid w:val="00E35632"/>
    <w:pPr>
      <w:widowControl w:val="0"/>
      <w:autoSpaceDE w:val="0"/>
      <w:autoSpaceDN w:val="0"/>
      <w:spacing w:after="0" w:line="240" w:lineRule="auto"/>
    </w:pPr>
    <w:rPr>
      <w:rFonts w:ascii="Calibri" w:eastAsiaTheme="minorEastAsia" w:hAnsi="Calibri" w:cs="Calibri"/>
      <w:b/>
      <w:lang w:eastAsia="ru-RU"/>
    </w:rPr>
  </w:style>
  <w:style w:type="paragraph" w:customStyle="1" w:styleId="ConsPlusCell">
    <w:name w:val="ConsPlusCell"/>
    <w:rsid w:val="00E35632"/>
    <w:pPr>
      <w:widowControl w:val="0"/>
      <w:autoSpaceDE w:val="0"/>
      <w:autoSpaceDN w:val="0"/>
      <w:spacing w:after="0" w:line="240" w:lineRule="auto"/>
    </w:pPr>
    <w:rPr>
      <w:rFonts w:ascii="Courier New" w:eastAsiaTheme="minorEastAsia" w:hAnsi="Courier New" w:cs="Courier New"/>
      <w:sz w:val="20"/>
      <w:lang w:eastAsia="ru-RU"/>
    </w:rPr>
  </w:style>
  <w:style w:type="paragraph" w:customStyle="1" w:styleId="ConsPlusDocList">
    <w:name w:val="ConsPlusDocList"/>
    <w:rsid w:val="00E35632"/>
    <w:pPr>
      <w:widowControl w:val="0"/>
      <w:autoSpaceDE w:val="0"/>
      <w:autoSpaceDN w:val="0"/>
      <w:spacing w:after="0" w:line="240" w:lineRule="auto"/>
    </w:pPr>
    <w:rPr>
      <w:rFonts w:ascii="Calibri" w:eastAsiaTheme="minorEastAsia" w:hAnsi="Calibri" w:cs="Calibri"/>
      <w:lang w:eastAsia="ru-RU"/>
    </w:rPr>
  </w:style>
  <w:style w:type="paragraph" w:customStyle="1" w:styleId="ConsPlusTitlePage">
    <w:name w:val="ConsPlusTitlePage"/>
    <w:rsid w:val="00E35632"/>
    <w:pPr>
      <w:widowControl w:val="0"/>
      <w:autoSpaceDE w:val="0"/>
      <w:autoSpaceDN w:val="0"/>
      <w:spacing w:after="0" w:line="240" w:lineRule="auto"/>
    </w:pPr>
    <w:rPr>
      <w:rFonts w:ascii="Tahoma" w:eastAsiaTheme="minorEastAsia" w:hAnsi="Tahoma" w:cs="Tahoma"/>
      <w:sz w:val="20"/>
      <w:lang w:eastAsia="ru-RU"/>
    </w:rPr>
  </w:style>
  <w:style w:type="paragraph" w:customStyle="1" w:styleId="ConsPlusJurTerm">
    <w:name w:val="ConsPlusJurTerm"/>
    <w:rsid w:val="00E35632"/>
    <w:pPr>
      <w:widowControl w:val="0"/>
      <w:autoSpaceDE w:val="0"/>
      <w:autoSpaceDN w:val="0"/>
      <w:spacing w:after="0" w:line="240" w:lineRule="auto"/>
    </w:pPr>
    <w:rPr>
      <w:rFonts w:ascii="Tahoma" w:eastAsiaTheme="minorEastAsia" w:hAnsi="Tahoma" w:cs="Tahoma"/>
      <w:sz w:val="26"/>
      <w:lang w:eastAsia="ru-RU"/>
    </w:rPr>
  </w:style>
  <w:style w:type="paragraph" w:customStyle="1" w:styleId="ConsPlusTextList">
    <w:name w:val="ConsPlusTextList"/>
    <w:rsid w:val="00E35632"/>
    <w:pPr>
      <w:widowControl w:val="0"/>
      <w:autoSpaceDE w:val="0"/>
      <w:autoSpaceDN w:val="0"/>
      <w:spacing w:after="0" w:line="240" w:lineRule="auto"/>
    </w:pPr>
    <w:rPr>
      <w:rFonts w:ascii="Arial" w:eastAsiaTheme="minorEastAsia" w:hAnsi="Arial" w:cs="Arial"/>
      <w:sz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1" Type="http://schemas.openxmlformats.org/officeDocument/2006/relationships/hyperlink" Target="https://login.consultant.ru/link/?req=doc&amp;base=STR&amp;n=28531&amp;dst=100009" TargetMode="External"/><Relationship Id="rId170" Type="http://schemas.openxmlformats.org/officeDocument/2006/relationships/hyperlink" Target="https://login.consultant.ru/link/?req=doc&amp;base=STR&amp;n=26118" TargetMode="External"/><Relationship Id="rId268" Type="http://schemas.openxmlformats.org/officeDocument/2006/relationships/image" Target="media/image5.wmf"/><Relationship Id="rId475" Type="http://schemas.openxmlformats.org/officeDocument/2006/relationships/image" Target="media/image176.wmf"/><Relationship Id="rId682" Type="http://schemas.openxmlformats.org/officeDocument/2006/relationships/hyperlink" Target="https://login.consultant.ru/link/?req=doc&amp;base=STR&amp;n=23439&amp;dst=100072" TargetMode="External"/><Relationship Id="rId128" Type="http://schemas.openxmlformats.org/officeDocument/2006/relationships/hyperlink" Target="https://login.consultant.ru/link/?req=doc&amp;base=STR&amp;n=30027" TargetMode="External"/><Relationship Id="rId335" Type="http://schemas.openxmlformats.org/officeDocument/2006/relationships/image" Target="media/image47.wmf"/><Relationship Id="rId542" Type="http://schemas.openxmlformats.org/officeDocument/2006/relationships/hyperlink" Target="https://login.consultant.ru/link/?req=doc&amp;base=STR&amp;n=23439&amp;dst=100053" TargetMode="External"/><Relationship Id="rId987" Type="http://schemas.openxmlformats.org/officeDocument/2006/relationships/image" Target="media/image544.wmf"/><Relationship Id="rId402" Type="http://schemas.openxmlformats.org/officeDocument/2006/relationships/image" Target="media/image107.wmf"/><Relationship Id="rId847" Type="http://schemas.openxmlformats.org/officeDocument/2006/relationships/hyperlink" Target="https://login.consultant.ru/link/?req=doc&amp;base=STR&amp;n=28531&amp;dst=100264" TargetMode="External"/><Relationship Id="rId1032" Type="http://schemas.openxmlformats.org/officeDocument/2006/relationships/image" Target="media/image580.wmf"/><Relationship Id="rId707" Type="http://schemas.openxmlformats.org/officeDocument/2006/relationships/image" Target="media/image360.wmf"/><Relationship Id="rId914" Type="http://schemas.openxmlformats.org/officeDocument/2006/relationships/image" Target="media/image507.wmf"/><Relationship Id="rId43" Type="http://schemas.openxmlformats.org/officeDocument/2006/relationships/hyperlink" Target="https://login.consultant.ru/link/?req=doc&amp;base=STR&amp;n=26857" TargetMode="External"/><Relationship Id="rId192" Type="http://schemas.openxmlformats.org/officeDocument/2006/relationships/hyperlink" Target="https://login.consultant.ru/link/?req=doc&amp;base=STR&amp;n=29025" TargetMode="External"/><Relationship Id="rId497" Type="http://schemas.openxmlformats.org/officeDocument/2006/relationships/hyperlink" Target="https://login.consultant.ru/link/?req=doc&amp;base=STR&amp;n=28531&amp;dst=100166" TargetMode="External"/><Relationship Id="rId357" Type="http://schemas.openxmlformats.org/officeDocument/2006/relationships/image" Target="media/image65.wmf"/><Relationship Id="rId217" Type="http://schemas.openxmlformats.org/officeDocument/2006/relationships/hyperlink" Target="https://login.consultant.ru/link/?req=doc&amp;base=STR&amp;n=27592" TargetMode="External"/><Relationship Id="rId564" Type="http://schemas.openxmlformats.org/officeDocument/2006/relationships/image" Target="media/image242.wmf"/><Relationship Id="rId771" Type="http://schemas.openxmlformats.org/officeDocument/2006/relationships/hyperlink" Target="https://login.consultant.ru/link/?req=doc&amp;base=STR&amp;n=28531&amp;dst=100252" TargetMode="External"/><Relationship Id="rId869" Type="http://schemas.openxmlformats.org/officeDocument/2006/relationships/image" Target="media/image463.wmf"/><Relationship Id="rId424" Type="http://schemas.openxmlformats.org/officeDocument/2006/relationships/image" Target="media/image126.wmf"/><Relationship Id="rId631" Type="http://schemas.openxmlformats.org/officeDocument/2006/relationships/image" Target="media/image307.wmf"/><Relationship Id="rId729" Type="http://schemas.openxmlformats.org/officeDocument/2006/relationships/hyperlink" Target="https://login.consultant.ru/link/?req=doc&amp;base=STR&amp;n=28531&amp;dst=100181" TargetMode="External"/><Relationship Id="rId1054" Type="http://schemas.openxmlformats.org/officeDocument/2006/relationships/image" Target="media/image598.wmf"/><Relationship Id="rId936" Type="http://schemas.openxmlformats.org/officeDocument/2006/relationships/hyperlink" Target="https://login.consultant.ru/link/?req=doc&amp;base=STR&amp;n=23891" TargetMode="External"/><Relationship Id="rId65" Type="http://schemas.openxmlformats.org/officeDocument/2006/relationships/hyperlink" Target="https://login.consultant.ru/link/?req=doc&amp;base=STR&amp;n=26119" TargetMode="External"/><Relationship Id="rId281" Type="http://schemas.openxmlformats.org/officeDocument/2006/relationships/hyperlink" Target="https://login.consultant.ru/link/?req=doc&amp;base=STR&amp;n=28531&amp;dst=100127" TargetMode="External"/><Relationship Id="rId141" Type="http://schemas.openxmlformats.org/officeDocument/2006/relationships/hyperlink" Target="https://login.consultant.ru/link/?req=doc&amp;base=STR&amp;n=29030" TargetMode="External"/><Relationship Id="rId379" Type="http://schemas.openxmlformats.org/officeDocument/2006/relationships/image" Target="media/image84.wmf"/><Relationship Id="rId586" Type="http://schemas.openxmlformats.org/officeDocument/2006/relationships/image" Target="media/image263.wmf"/><Relationship Id="rId793" Type="http://schemas.openxmlformats.org/officeDocument/2006/relationships/image" Target="media/image408.wmf"/><Relationship Id="rId7" Type="http://schemas.openxmlformats.org/officeDocument/2006/relationships/hyperlink" Target="https://login.consultant.ru/link/?req=doc&amp;base=STR&amp;n=23439&amp;dst=100006" TargetMode="External"/><Relationship Id="rId239" Type="http://schemas.openxmlformats.org/officeDocument/2006/relationships/hyperlink" Target="https://login.consultant.ru/link/?req=doc&amp;base=STR&amp;n=27229" TargetMode="External"/><Relationship Id="rId446" Type="http://schemas.openxmlformats.org/officeDocument/2006/relationships/image" Target="media/image147.wmf"/><Relationship Id="rId653" Type="http://schemas.openxmlformats.org/officeDocument/2006/relationships/image" Target="media/image327.wmf"/><Relationship Id="rId1076" Type="http://schemas.openxmlformats.org/officeDocument/2006/relationships/image" Target="media/image616.wmf"/><Relationship Id="rId292" Type="http://schemas.openxmlformats.org/officeDocument/2006/relationships/image" Target="media/image13.wmf"/><Relationship Id="rId306" Type="http://schemas.openxmlformats.org/officeDocument/2006/relationships/image" Target="media/image23.wmf"/><Relationship Id="rId860" Type="http://schemas.openxmlformats.org/officeDocument/2006/relationships/image" Target="media/image455.wmf"/><Relationship Id="rId958" Type="http://schemas.openxmlformats.org/officeDocument/2006/relationships/image" Target="media/image518.wmf"/><Relationship Id="rId87" Type="http://schemas.openxmlformats.org/officeDocument/2006/relationships/hyperlink" Target="https://login.consultant.ru/link/?req=doc&amp;base=STR&amp;n=25002&amp;dst=100024" TargetMode="External"/><Relationship Id="rId513" Type="http://schemas.openxmlformats.org/officeDocument/2006/relationships/image" Target="media/image196.wmf"/><Relationship Id="rId597" Type="http://schemas.openxmlformats.org/officeDocument/2006/relationships/image" Target="media/image274.wmf"/><Relationship Id="rId720" Type="http://schemas.openxmlformats.org/officeDocument/2006/relationships/hyperlink" Target="https://login.consultant.ru/link/?req=doc&amp;base=STR&amp;n=21411" TargetMode="External"/><Relationship Id="rId818" Type="http://schemas.openxmlformats.org/officeDocument/2006/relationships/image" Target="media/image433.wmf"/><Relationship Id="rId152" Type="http://schemas.openxmlformats.org/officeDocument/2006/relationships/hyperlink" Target="https://login.consultant.ru/link/?req=doc&amp;base=STR&amp;n=21936&amp;dst=100053" TargetMode="External"/><Relationship Id="rId457" Type="http://schemas.openxmlformats.org/officeDocument/2006/relationships/image" Target="media/image158.wmf"/><Relationship Id="rId1003" Type="http://schemas.openxmlformats.org/officeDocument/2006/relationships/image" Target="media/image556.wmf"/><Relationship Id="rId1087" Type="http://schemas.openxmlformats.org/officeDocument/2006/relationships/image" Target="media/image627.wmf"/><Relationship Id="rId664" Type="http://schemas.openxmlformats.org/officeDocument/2006/relationships/image" Target="media/image337.wmf"/><Relationship Id="rId871" Type="http://schemas.openxmlformats.org/officeDocument/2006/relationships/image" Target="media/image465.wmf"/><Relationship Id="rId969" Type="http://schemas.openxmlformats.org/officeDocument/2006/relationships/image" Target="media/image527.wmf"/><Relationship Id="rId14" Type="http://schemas.openxmlformats.org/officeDocument/2006/relationships/hyperlink" Target="https://login.consultant.ru/link/?req=doc&amp;base=LAW&amp;n=410852&amp;dst=100005" TargetMode="External"/><Relationship Id="rId317" Type="http://schemas.openxmlformats.org/officeDocument/2006/relationships/image" Target="media/image29.wmf"/><Relationship Id="rId524" Type="http://schemas.openxmlformats.org/officeDocument/2006/relationships/image" Target="media/image207.wmf"/><Relationship Id="rId731" Type="http://schemas.openxmlformats.org/officeDocument/2006/relationships/hyperlink" Target="https://login.consultant.ru/link/?req=doc&amp;base=STR&amp;n=28531&amp;dst=100183" TargetMode="External"/><Relationship Id="rId98" Type="http://schemas.openxmlformats.org/officeDocument/2006/relationships/hyperlink" Target="https://login.consultant.ru/link/?req=doc&amp;base=STR&amp;n=25002&amp;dst=100028" TargetMode="External"/><Relationship Id="rId163" Type="http://schemas.openxmlformats.org/officeDocument/2006/relationships/hyperlink" Target="https://login.consultant.ru/link/?req=doc&amp;base=STR&amp;n=30251" TargetMode="External"/><Relationship Id="rId370" Type="http://schemas.openxmlformats.org/officeDocument/2006/relationships/image" Target="media/image76.wmf"/><Relationship Id="rId829" Type="http://schemas.openxmlformats.org/officeDocument/2006/relationships/hyperlink" Target="https://login.consultant.ru/link/?req=doc&amp;base=STR&amp;n=28531&amp;dst=100258" TargetMode="External"/><Relationship Id="rId1014" Type="http://schemas.openxmlformats.org/officeDocument/2006/relationships/hyperlink" Target="https://login.consultant.ru/link/?req=doc&amp;base=STR&amp;n=28531&amp;dst=100297" TargetMode="External"/><Relationship Id="rId230" Type="http://schemas.openxmlformats.org/officeDocument/2006/relationships/image" Target="media/image1.wmf"/><Relationship Id="rId468" Type="http://schemas.openxmlformats.org/officeDocument/2006/relationships/image" Target="media/image169.wmf"/><Relationship Id="rId675" Type="http://schemas.openxmlformats.org/officeDocument/2006/relationships/hyperlink" Target="https://login.consultant.ru/link/?req=doc&amp;base=STR&amp;n=28531&amp;dst=100172" TargetMode="External"/><Relationship Id="rId882" Type="http://schemas.openxmlformats.org/officeDocument/2006/relationships/image" Target="media/image475.wmf"/><Relationship Id="rId1098" Type="http://schemas.openxmlformats.org/officeDocument/2006/relationships/hyperlink" Target="https://login.consultant.ru/link/?req=doc&amp;base=STR&amp;n=4487&amp;dst=100010" TargetMode="External"/><Relationship Id="rId25" Type="http://schemas.openxmlformats.org/officeDocument/2006/relationships/hyperlink" Target="https://login.consultant.ru/link/?req=doc&amp;base=STR&amp;n=28531&amp;dst=100040" TargetMode="External"/><Relationship Id="rId328" Type="http://schemas.openxmlformats.org/officeDocument/2006/relationships/image" Target="media/image40.wmf"/><Relationship Id="rId535" Type="http://schemas.openxmlformats.org/officeDocument/2006/relationships/image" Target="media/image218.wmf"/><Relationship Id="rId742" Type="http://schemas.openxmlformats.org/officeDocument/2006/relationships/hyperlink" Target="https://login.consultant.ru/link/?req=doc&amp;base=STR&amp;n=28531&amp;dst=100247" TargetMode="External"/><Relationship Id="rId174" Type="http://schemas.openxmlformats.org/officeDocument/2006/relationships/hyperlink" Target="https://login.consultant.ru/link/?req=doc&amp;base=STR&amp;n=28645" TargetMode="External"/><Relationship Id="rId381" Type="http://schemas.openxmlformats.org/officeDocument/2006/relationships/image" Target="media/image86.wmf"/><Relationship Id="rId602" Type="http://schemas.openxmlformats.org/officeDocument/2006/relationships/image" Target="media/image279.wmf"/><Relationship Id="rId1025" Type="http://schemas.openxmlformats.org/officeDocument/2006/relationships/image" Target="media/image573.wmf"/><Relationship Id="rId241" Type="http://schemas.openxmlformats.org/officeDocument/2006/relationships/hyperlink" Target="https://login.consultant.ru/link/?req=doc&amp;base=STR&amp;n=26144" TargetMode="External"/><Relationship Id="rId479" Type="http://schemas.openxmlformats.org/officeDocument/2006/relationships/image" Target="media/image180.wmf"/><Relationship Id="rId686" Type="http://schemas.openxmlformats.org/officeDocument/2006/relationships/hyperlink" Target="https://login.consultant.ru/link/?req=doc&amp;base=STR&amp;n=23439&amp;dst=100074" TargetMode="External"/><Relationship Id="rId893" Type="http://schemas.openxmlformats.org/officeDocument/2006/relationships/image" Target="media/image486.wmf"/><Relationship Id="rId907" Type="http://schemas.openxmlformats.org/officeDocument/2006/relationships/image" Target="media/image500.wmf"/><Relationship Id="rId36" Type="http://schemas.openxmlformats.org/officeDocument/2006/relationships/hyperlink" Target="https://login.consultant.ru/link/?req=doc&amp;base=STR&amp;n=28531&amp;dst=100015" TargetMode="External"/><Relationship Id="rId339" Type="http://schemas.openxmlformats.org/officeDocument/2006/relationships/image" Target="media/image51.png"/><Relationship Id="rId546" Type="http://schemas.openxmlformats.org/officeDocument/2006/relationships/image" Target="media/image225.wmf"/><Relationship Id="rId753" Type="http://schemas.openxmlformats.org/officeDocument/2006/relationships/image" Target="media/image376.wmf"/><Relationship Id="rId101" Type="http://schemas.openxmlformats.org/officeDocument/2006/relationships/hyperlink" Target="https://login.consultant.ru/link/?req=doc&amp;base=STR&amp;n=25002&amp;dst=100029" TargetMode="External"/><Relationship Id="rId185" Type="http://schemas.openxmlformats.org/officeDocument/2006/relationships/hyperlink" Target="https://login.consultant.ru/link/?req=doc&amp;base=STR&amp;n=25002&amp;dst=100048" TargetMode="External"/><Relationship Id="rId406" Type="http://schemas.openxmlformats.org/officeDocument/2006/relationships/image" Target="media/image111.wmf"/><Relationship Id="rId960" Type="http://schemas.openxmlformats.org/officeDocument/2006/relationships/image" Target="media/image520.wmf"/><Relationship Id="rId1036" Type="http://schemas.openxmlformats.org/officeDocument/2006/relationships/image" Target="media/image584.wmf"/><Relationship Id="rId392" Type="http://schemas.openxmlformats.org/officeDocument/2006/relationships/image" Target="media/image97.wmf"/><Relationship Id="rId613" Type="http://schemas.openxmlformats.org/officeDocument/2006/relationships/image" Target="media/image289.wmf"/><Relationship Id="rId697" Type="http://schemas.openxmlformats.org/officeDocument/2006/relationships/image" Target="media/image352.png"/><Relationship Id="rId820" Type="http://schemas.openxmlformats.org/officeDocument/2006/relationships/image" Target="media/image435.wmf"/><Relationship Id="rId918" Type="http://schemas.openxmlformats.org/officeDocument/2006/relationships/image" Target="media/image511.wmf"/><Relationship Id="rId252" Type="http://schemas.openxmlformats.org/officeDocument/2006/relationships/hyperlink" Target="https://login.consultant.ru/link/?req=doc&amp;base=STR&amp;n=26535" TargetMode="External"/><Relationship Id="rId47" Type="http://schemas.openxmlformats.org/officeDocument/2006/relationships/hyperlink" Target="https://login.consultant.ru/link/?req=doc&amp;base=STR&amp;n=27229" TargetMode="External"/><Relationship Id="rId112" Type="http://schemas.openxmlformats.org/officeDocument/2006/relationships/hyperlink" Target="https://login.consultant.ru/link/?req=doc&amp;base=STR&amp;n=28545" TargetMode="External"/><Relationship Id="rId557" Type="http://schemas.openxmlformats.org/officeDocument/2006/relationships/image" Target="media/image236.wmf"/><Relationship Id="rId764" Type="http://schemas.openxmlformats.org/officeDocument/2006/relationships/image" Target="media/image387.wmf"/><Relationship Id="rId971" Type="http://schemas.openxmlformats.org/officeDocument/2006/relationships/image" Target="media/image529.wmf"/><Relationship Id="rId196" Type="http://schemas.openxmlformats.org/officeDocument/2006/relationships/hyperlink" Target="https://login.consultant.ru/link/?req=doc&amp;base=STR&amp;n=30251" TargetMode="External"/><Relationship Id="rId417" Type="http://schemas.openxmlformats.org/officeDocument/2006/relationships/image" Target="media/image119.wmf"/><Relationship Id="rId624" Type="http://schemas.openxmlformats.org/officeDocument/2006/relationships/image" Target="media/image300.wmf"/><Relationship Id="rId831" Type="http://schemas.openxmlformats.org/officeDocument/2006/relationships/image" Target="media/image441.wmf"/><Relationship Id="rId1047" Type="http://schemas.openxmlformats.org/officeDocument/2006/relationships/image" Target="media/image593.wmf"/><Relationship Id="rId263" Type="http://schemas.openxmlformats.org/officeDocument/2006/relationships/hyperlink" Target="https://login.consultant.ru/link/?req=doc&amp;base=STR&amp;n=26358" TargetMode="External"/><Relationship Id="rId470" Type="http://schemas.openxmlformats.org/officeDocument/2006/relationships/image" Target="media/image171.wmf"/><Relationship Id="rId929" Type="http://schemas.openxmlformats.org/officeDocument/2006/relationships/hyperlink" Target="https://login.consultant.ru/link/?req=doc&amp;base=STR&amp;n=29025" TargetMode="External"/><Relationship Id="rId58" Type="http://schemas.openxmlformats.org/officeDocument/2006/relationships/hyperlink" Target="https://login.consultant.ru/link/?req=doc&amp;base=STR&amp;n=26118" TargetMode="External"/><Relationship Id="rId123" Type="http://schemas.openxmlformats.org/officeDocument/2006/relationships/hyperlink" Target="https://login.consultant.ru/link/?req=doc&amp;base=STR&amp;n=30222" TargetMode="External"/><Relationship Id="rId330" Type="http://schemas.openxmlformats.org/officeDocument/2006/relationships/image" Target="media/image42.wmf"/><Relationship Id="rId568" Type="http://schemas.openxmlformats.org/officeDocument/2006/relationships/image" Target="media/image246.wmf"/><Relationship Id="rId775" Type="http://schemas.openxmlformats.org/officeDocument/2006/relationships/hyperlink" Target="https://login.consultant.ru/link/?req=doc&amp;base=STR&amp;n=28531&amp;dst=100253" TargetMode="External"/><Relationship Id="rId982" Type="http://schemas.openxmlformats.org/officeDocument/2006/relationships/image" Target="media/image540.wmf"/><Relationship Id="rId428" Type="http://schemas.openxmlformats.org/officeDocument/2006/relationships/image" Target="media/image130.wmf"/><Relationship Id="rId635" Type="http://schemas.openxmlformats.org/officeDocument/2006/relationships/image" Target="media/image311.wmf"/><Relationship Id="rId842" Type="http://schemas.openxmlformats.org/officeDocument/2006/relationships/hyperlink" Target="https://login.consultant.ru/link/?req=doc&amp;base=STR&amp;n=30822" TargetMode="External"/><Relationship Id="rId1058" Type="http://schemas.openxmlformats.org/officeDocument/2006/relationships/image" Target="media/image602.wmf"/><Relationship Id="rId274" Type="http://schemas.openxmlformats.org/officeDocument/2006/relationships/hyperlink" Target="https://login.consultant.ru/link/?req=doc&amp;base=STR&amp;n=28531&amp;dst=100125" TargetMode="External"/><Relationship Id="rId481" Type="http://schemas.openxmlformats.org/officeDocument/2006/relationships/image" Target="media/image182.wmf"/><Relationship Id="rId702" Type="http://schemas.openxmlformats.org/officeDocument/2006/relationships/image" Target="media/image356.wmf"/><Relationship Id="rId69" Type="http://schemas.openxmlformats.org/officeDocument/2006/relationships/hyperlink" Target="https://login.consultant.ru/link/?req=doc&amp;base=STR&amp;n=15971" TargetMode="External"/><Relationship Id="rId134" Type="http://schemas.openxmlformats.org/officeDocument/2006/relationships/hyperlink" Target="https://login.consultant.ru/link/?req=doc&amp;base=STR&amp;n=28531&amp;dst=100015" TargetMode="External"/><Relationship Id="rId579" Type="http://schemas.openxmlformats.org/officeDocument/2006/relationships/image" Target="media/image257.wmf"/><Relationship Id="rId786" Type="http://schemas.openxmlformats.org/officeDocument/2006/relationships/image" Target="media/image401.wmf"/><Relationship Id="rId993" Type="http://schemas.openxmlformats.org/officeDocument/2006/relationships/hyperlink" Target="https://login.consultant.ru/link/?req=doc&amp;base=STR&amp;n=25002&amp;dst=100124" TargetMode="External"/><Relationship Id="rId341" Type="http://schemas.openxmlformats.org/officeDocument/2006/relationships/hyperlink" Target="https://login.consultant.ru/link/?req=doc&amp;base=STR&amp;n=28531&amp;dst=100136" TargetMode="External"/><Relationship Id="rId439" Type="http://schemas.openxmlformats.org/officeDocument/2006/relationships/hyperlink" Target="https://login.consultant.ru/link/?req=doc&amp;base=STR&amp;n=28531&amp;dst=100156" TargetMode="External"/><Relationship Id="rId646" Type="http://schemas.openxmlformats.org/officeDocument/2006/relationships/image" Target="media/image320.wmf"/><Relationship Id="rId1069" Type="http://schemas.openxmlformats.org/officeDocument/2006/relationships/image" Target="media/image610.wmf"/><Relationship Id="rId201" Type="http://schemas.openxmlformats.org/officeDocument/2006/relationships/hyperlink" Target="https://login.consultant.ru/link/?req=doc&amp;base=STR&amp;n=27592" TargetMode="External"/><Relationship Id="rId285" Type="http://schemas.openxmlformats.org/officeDocument/2006/relationships/hyperlink" Target="https://login.consultant.ru/link/?req=doc&amp;base=STR&amp;n=30537" TargetMode="External"/><Relationship Id="rId506" Type="http://schemas.openxmlformats.org/officeDocument/2006/relationships/image" Target="media/image191.wmf"/><Relationship Id="rId853" Type="http://schemas.openxmlformats.org/officeDocument/2006/relationships/image" Target="media/image448.wmf"/><Relationship Id="rId492" Type="http://schemas.openxmlformats.org/officeDocument/2006/relationships/hyperlink" Target="https://login.consultant.ru/link/?req=doc&amp;base=STR&amp;n=1031" TargetMode="External"/><Relationship Id="rId713" Type="http://schemas.openxmlformats.org/officeDocument/2006/relationships/image" Target="media/image366.wmf"/><Relationship Id="rId797" Type="http://schemas.openxmlformats.org/officeDocument/2006/relationships/image" Target="media/image412.wmf"/><Relationship Id="rId920" Type="http://schemas.openxmlformats.org/officeDocument/2006/relationships/hyperlink" Target="https://login.consultant.ru/link/?req=doc&amp;base=STR&amp;n=28531&amp;dst=100275" TargetMode="External"/><Relationship Id="rId145" Type="http://schemas.openxmlformats.org/officeDocument/2006/relationships/hyperlink" Target="https://login.consultant.ru/link/?req=doc&amp;base=LAW&amp;n=409735&amp;dst=100041" TargetMode="External"/><Relationship Id="rId352" Type="http://schemas.openxmlformats.org/officeDocument/2006/relationships/image" Target="media/image60.wmf"/><Relationship Id="rId212" Type="http://schemas.openxmlformats.org/officeDocument/2006/relationships/hyperlink" Target="https://login.consultant.ru/link/?req=doc&amp;base=STR&amp;n=26145" TargetMode="External"/><Relationship Id="rId657" Type="http://schemas.openxmlformats.org/officeDocument/2006/relationships/image" Target="media/image331.wmf"/><Relationship Id="rId864" Type="http://schemas.openxmlformats.org/officeDocument/2006/relationships/image" Target="media/image458.wmf"/><Relationship Id="rId296" Type="http://schemas.openxmlformats.org/officeDocument/2006/relationships/image" Target="media/image17.wmf"/><Relationship Id="rId517" Type="http://schemas.openxmlformats.org/officeDocument/2006/relationships/image" Target="media/image200.wmf"/><Relationship Id="rId724" Type="http://schemas.openxmlformats.org/officeDocument/2006/relationships/image" Target="media/image373.wmf"/><Relationship Id="rId931" Type="http://schemas.openxmlformats.org/officeDocument/2006/relationships/image" Target="media/image515.wmf"/><Relationship Id="rId60" Type="http://schemas.openxmlformats.org/officeDocument/2006/relationships/hyperlink" Target="https://login.consultant.ru/link/?req=doc&amp;base=STR&amp;n=20775" TargetMode="External"/><Relationship Id="rId156" Type="http://schemas.openxmlformats.org/officeDocument/2006/relationships/hyperlink" Target="https://login.consultant.ru/link/?req=doc&amp;base=STR&amp;n=23439&amp;dst=100018" TargetMode="External"/><Relationship Id="rId363" Type="http://schemas.openxmlformats.org/officeDocument/2006/relationships/image" Target="media/image70.wmf"/><Relationship Id="rId570" Type="http://schemas.openxmlformats.org/officeDocument/2006/relationships/image" Target="media/image248.wmf"/><Relationship Id="rId1007" Type="http://schemas.openxmlformats.org/officeDocument/2006/relationships/hyperlink" Target="https://login.consultant.ru/link/?req=doc&amp;base=STR&amp;n=25002&amp;dst=100128" TargetMode="External"/><Relationship Id="rId223" Type="http://schemas.openxmlformats.org/officeDocument/2006/relationships/hyperlink" Target="https://login.consultant.ru/link/?req=doc&amp;base=STR&amp;n=26539" TargetMode="External"/><Relationship Id="rId430" Type="http://schemas.openxmlformats.org/officeDocument/2006/relationships/image" Target="media/image132.wmf"/><Relationship Id="rId668" Type="http://schemas.openxmlformats.org/officeDocument/2006/relationships/image" Target="media/image341.wmf"/><Relationship Id="rId875" Type="http://schemas.openxmlformats.org/officeDocument/2006/relationships/image" Target="media/image469.wmf"/><Relationship Id="rId1060" Type="http://schemas.openxmlformats.org/officeDocument/2006/relationships/hyperlink" Target="https://login.consultant.ru/link/?req=doc&amp;base=STR&amp;n=28531&amp;dst=100302" TargetMode="External"/><Relationship Id="rId18" Type="http://schemas.openxmlformats.org/officeDocument/2006/relationships/hyperlink" Target="https://login.consultant.ru/link/?req=doc&amp;base=STR&amp;n=23687&amp;dst=100010" TargetMode="External"/><Relationship Id="rId528" Type="http://schemas.openxmlformats.org/officeDocument/2006/relationships/image" Target="media/image211.wmf"/><Relationship Id="rId735" Type="http://schemas.openxmlformats.org/officeDocument/2006/relationships/hyperlink" Target="https://login.consultant.ru/link/?req=doc&amp;base=STR&amp;n=28531&amp;dst=100232" TargetMode="External"/><Relationship Id="rId942" Type="http://schemas.openxmlformats.org/officeDocument/2006/relationships/hyperlink" Target="https://login.consultant.ru/link/?req=doc&amp;base=STR&amp;n=30222" TargetMode="External"/><Relationship Id="rId167" Type="http://schemas.openxmlformats.org/officeDocument/2006/relationships/hyperlink" Target="https://login.consultant.ru/link/?req=doc&amp;base=STR&amp;n=30251" TargetMode="External"/><Relationship Id="rId374" Type="http://schemas.openxmlformats.org/officeDocument/2006/relationships/hyperlink" Target="https://login.consultant.ru/link/?req=doc&amp;base=STR&amp;n=23687&amp;dst=100037" TargetMode="External"/><Relationship Id="rId581" Type="http://schemas.openxmlformats.org/officeDocument/2006/relationships/image" Target="media/image259.wmf"/><Relationship Id="rId1018" Type="http://schemas.openxmlformats.org/officeDocument/2006/relationships/image" Target="media/image566.wmf"/><Relationship Id="rId71" Type="http://schemas.openxmlformats.org/officeDocument/2006/relationships/hyperlink" Target="https://login.consultant.ru/link/?req=doc&amp;base=STR&amp;n=29123" TargetMode="External"/><Relationship Id="rId234" Type="http://schemas.openxmlformats.org/officeDocument/2006/relationships/image" Target="media/image2.wmf"/><Relationship Id="rId679" Type="http://schemas.openxmlformats.org/officeDocument/2006/relationships/hyperlink" Target="https://login.consultant.ru/link/?req=doc&amp;base=STR&amp;n=23439&amp;dst=100070" TargetMode="External"/><Relationship Id="rId802" Type="http://schemas.openxmlformats.org/officeDocument/2006/relationships/image" Target="media/image417.wmf"/><Relationship Id="rId886" Type="http://schemas.openxmlformats.org/officeDocument/2006/relationships/image" Target="media/image479.wmf"/><Relationship Id="rId2" Type="http://schemas.openxmlformats.org/officeDocument/2006/relationships/settings" Target="settings.xml"/><Relationship Id="rId29" Type="http://schemas.openxmlformats.org/officeDocument/2006/relationships/hyperlink" Target="https://login.consultant.ru/link/?req=doc&amp;base=STR&amp;n=28531&amp;dst=100040" TargetMode="External"/><Relationship Id="rId441" Type="http://schemas.openxmlformats.org/officeDocument/2006/relationships/image" Target="media/image142.wmf"/><Relationship Id="rId539" Type="http://schemas.openxmlformats.org/officeDocument/2006/relationships/image" Target="media/image222.wmf"/><Relationship Id="rId746" Type="http://schemas.openxmlformats.org/officeDocument/2006/relationships/hyperlink" Target="https://login.consultant.ru/link/?req=doc&amp;base=STR&amp;n=29123" TargetMode="External"/><Relationship Id="rId1071" Type="http://schemas.openxmlformats.org/officeDocument/2006/relationships/hyperlink" Target="https://login.consultant.ru/link/?req=doc&amp;base=STR&amp;n=28531&amp;dst=100304" TargetMode="External"/><Relationship Id="rId178" Type="http://schemas.openxmlformats.org/officeDocument/2006/relationships/hyperlink" Target="https://login.consultant.ru/link/?req=doc&amp;base=STR&amp;n=28545" TargetMode="External"/><Relationship Id="rId301" Type="http://schemas.openxmlformats.org/officeDocument/2006/relationships/image" Target="media/image22.wmf"/><Relationship Id="rId953" Type="http://schemas.openxmlformats.org/officeDocument/2006/relationships/hyperlink" Target="https://login.consultant.ru/link/?req=doc&amp;base=STR&amp;n=27119" TargetMode="External"/><Relationship Id="rId1029" Type="http://schemas.openxmlformats.org/officeDocument/2006/relationships/image" Target="media/image577.wmf"/><Relationship Id="rId82" Type="http://schemas.openxmlformats.org/officeDocument/2006/relationships/hyperlink" Target="https://login.consultant.ru/link/?req=doc&amp;base=STR&amp;n=21411" TargetMode="External"/><Relationship Id="rId385" Type="http://schemas.openxmlformats.org/officeDocument/2006/relationships/image" Target="media/image90.wmf"/><Relationship Id="rId592" Type="http://schemas.openxmlformats.org/officeDocument/2006/relationships/image" Target="media/image269.png"/><Relationship Id="rId606" Type="http://schemas.openxmlformats.org/officeDocument/2006/relationships/image" Target="media/image283.png"/><Relationship Id="rId813" Type="http://schemas.openxmlformats.org/officeDocument/2006/relationships/image" Target="media/image428.wmf"/><Relationship Id="rId245" Type="http://schemas.openxmlformats.org/officeDocument/2006/relationships/hyperlink" Target="https://login.consultant.ru/link/?req=doc&amp;base=STR&amp;n=23973" TargetMode="External"/><Relationship Id="rId452" Type="http://schemas.openxmlformats.org/officeDocument/2006/relationships/image" Target="media/image153.wmf"/><Relationship Id="rId897" Type="http://schemas.openxmlformats.org/officeDocument/2006/relationships/image" Target="media/image490.wmf"/><Relationship Id="rId1082" Type="http://schemas.openxmlformats.org/officeDocument/2006/relationships/image" Target="media/image622.wmf"/><Relationship Id="rId105" Type="http://schemas.openxmlformats.org/officeDocument/2006/relationships/hyperlink" Target="https://login.consultant.ru/link/?req=doc&amp;base=STR&amp;n=28531&amp;dst=100032" TargetMode="External"/><Relationship Id="rId312" Type="http://schemas.openxmlformats.org/officeDocument/2006/relationships/image" Target="media/image26.wmf"/><Relationship Id="rId757" Type="http://schemas.openxmlformats.org/officeDocument/2006/relationships/image" Target="media/image380.wmf"/><Relationship Id="rId964" Type="http://schemas.openxmlformats.org/officeDocument/2006/relationships/image" Target="media/image523.wmf"/><Relationship Id="rId93" Type="http://schemas.openxmlformats.org/officeDocument/2006/relationships/hyperlink" Target="https://login.consultant.ru/link/?req=doc&amp;base=STR&amp;n=28531&amp;dst=100028" TargetMode="External"/><Relationship Id="rId189" Type="http://schemas.openxmlformats.org/officeDocument/2006/relationships/hyperlink" Target="https://login.consultant.ru/link/?req=doc&amp;base=LAW&amp;n=148719&amp;dst=100095" TargetMode="External"/><Relationship Id="rId396" Type="http://schemas.openxmlformats.org/officeDocument/2006/relationships/image" Target="media/image101.wmf"/><Relationship Id="rId617" Type="http://schemas.openxmlformats.org/officeDocument/2006/relationships/image" Target="media/image293.wmf"/><Relationship Id="rId824" Type="http://schemas.openxmlformats.org/officeDocument/2006/relationships/image" Target="media/image439.wmf"/><Relationship Id="rId256" Type="http://schemas.openxmlformats.org/officeDocument/2006/relationships/hyperlink" Target="https://login.consultant.ru/link/?req=doc&amp;base=STR&amp;n=26358" TargetMode="External"/><Relationship Id="rId463" Type="http://schemas.openxmlformats.org/officeDocument/2006/relationships/image" Target="media/image164.wmf"/><Relationship Id="rId670" Type="http://schemas.openxmlformats.org/officeDocument/2006/relationships/image" Target="media/image343.wmf"/><Relationship Id="rId1093" Type="http://schemas.openxmlformats.org/officeDocument/2006/relationships/hyperlink" Target="https://login.consultant.ru/link/?req=doc&amp;base=STR&amp;n=28531&amp;dst=100306" TargetMode="External"/><Relationship Id="rId116" Type="http://schemas.openxmlformats.org/officeDocument/2006/relationships/hyperlink" Target="https://login.consultant.ru/link/?req=doc&amp;base=STR&amp;n=25002&amp;dst=100034" TargetMode="External"/><Relationship Id="rId323" Type="http://schemas.openxmlformats.org/officeDocument/2006/relationships/image" Target="media/image35.wmf"/><Relationship Id="rId530" Type="http://schemas.openxmlformats.org/officeDocument/2006/relationships/image" Target="media/image213.wmf"/><Relationship Id="rId768" Type="http://schemas.openxmlformats.org/officeDocument/2006/relationships/hyperlink" Target="https://login.consultant.ru/link/?req=doc&amp;base=STR&amp;n=29123" TargetMode="External"/><Relationship Id="rId975" Type="http://schemas.openxmlformats.org/officeDocument/2006/relationships/image" Target="media/image533.wmf"/><Relationship Id="rId20" Type="http://schemas.openxmlformats.org/officeDocument/2006/relationships/hyperlink" Target="https://login.consultant.ru/link/?req=doc&amp;base=STR&amp;n=28531&amp;dst=100006" TargetMode="External"/><Relationship Id="rId628" Type="http://schemas.openxmlformats.org/officeDocument/2006/relationships/image" Target="media/image304.wmf"/><Relationship Id="rId835" Type="http://schemas.openxmlformats.org/officeDocument/2006/relationships/image" Target="media/image445.wmf"/><Relationship Id="rId267" Type="http://schemas.openxmlformats.org/officeDocument/2006/relationships/image" Target="media/image4.wmf"/><Relationship Id="rId474" Type="http://schemas.openxmlformats.org/officeDocument/2006/relationships/image" Target="media/image175.wmf"/><Relationship Id="rId1020" Type="http://schemas.openxmlformats.org/officeDocument/2006/relationships/image" Target="media/image568.wmf"/><Relationship Id="rId127" Type="http://schemas.openxmlformats.org/officeDocument/2006/relationships/hyperlink" Target="https://login.consultant.ru/link/?req=doc&amp;base=STR&amp;n=28531&amp;dst=100038" TargetMode="External"/><Relationship Id="rId681" Type="http://schemas.openxmlformats.org/officeDocument/2006/relationships/hyperlink" Target="https://login.consultant.ru/link/?req=doc&amp;base=STR&amp;n=28531&amp;dst=100176" TargetMode="External"/><Relationship Id="rId779" Type="http://schemas.openxmlformats.org/officeDocument/2006/relationships/image" Target="media/image396.wmf"/><Relationship Id="rId902" Type="http://schemas.openxmlformats.org/officeDocument/2006/relationships/image" Target="media/image495.wmf"/><Relationship Id="rId986" Type="http://schemas.openxmlformats.org/officeDocument/2006/relationships/image" Target="media/image543.wmf"/><Relationship Id="rId31" Type="http://schemas.openxmlformats.org/officeDocument/2006/relationships/hyperlink" Target="https://login.consultant.ru/link/?req=doc&amp;base=STR&amp;n=28531&amp;dst=100040" TargetMode="External"/><Relationship Id="rId334" Type="http://schemas.openxmlformats.org/officeDocument/2006/relationships/image" Target="media/image46.wmf"/><Relationship Id="rId541" Type="http://schemas.openxmlformats.org/officeDocument/2006/relationships/image" Target="media/image224.wmf"/><Relationship Id="rId639" Type="http://schemas.openxmlformats.org/officeDocument/2006/relationships/image" Target="media/image315.wmf"/><Relationship Id="rId180" Type="http://schemas.openxmlformats.org/officeDocument/2006/relationships/hyperlink" Target="https://login.consultant.ru/link/?req=doc&amp;base=STR&amp;n=28768" TargetMode="External"/><Relationship Id="rId278" Type="http://schemas.openxmlformats.org/officeDocument/2006/relationships/hyperlink" Target="https://login.consultant.ru/link/?req=doc&amp;base=STR&amp;n=28531&amp;dst=100127" TargetMode="External"/><Relationship Id="rId401" Type="http://schemas.openxmlformats.org/officeDocument/2006/relationships/image" Target="media/image106.wmf"/><Relationship Id="rId846" Type="http://schemas.openxmlformats.org/officeDocument/2006/relationships/hyperlink" Target="https://login.consultant.ru/link/?req=doc&amp;base=STR&amp;n=28531&amp;dst=100262" TargetMode="External"/><Relationship Id="rId1031" Type="http://schemas.openxmlformats.org/officeDocument/2006/relationships/image" Target="media/image579.wmf"/><Relationship Id="rId485" Type="http://schemas.openxmlformats.org/officeDocument/2006/relationships/hyperlink" Target="https://login.consultant.ru/link/?req=doc&amp;base=STR&amp;n=23687&amp;dst=100039" TargetMode="External"/><Relationship Id="rId692" Type="http://schemas.openxmlformats.org/officeDocument/2006/relationships/image" Target="media/image350.png"/><Relationship Id="rId706" Type="http://schemas.openxmlformats.org/officeDocument/2006/relationships/hyperlink" Target="https://login.consultant.ru/link/?req=doc&amp;base=STR&amp;n=23439&amp;dst=100078" TargetMode="External"/><Relationship Id="rId913" Type="http://schemas.openxmlformats.org/officeDocument/2006/relationships/image" Target="media/image506.wmf"/><Relationship Id="rId42" Type="http://schemas.openxmlformats.org/officeDocument/2006/relationships/hyperlink" Target="https://login.consultant.ru/link/?req=doc&amp;base=STR&amp;n=28531&amp;dst=100040" TargetMode="External"/><Relationship Id="rId138" Type="http://schemas.openxmlformats.org/officeDocument/2006/relationships/hyperlink" Target="https://login.consultant.ru/link/?req=doc&amp;base=STR&amp;n=28531&amp;dst=100040" TargetMode="External"/><Relationship Id="rId345" Type="http://schemas.openxmlformats.org/officeDocument/2006/relationships/image" Target="media/image53.wmf"/><Relationship Id="rId552" Type="http://schemas.openxmlformats.org/officeDocument/2006/relationships/image" Target="media/image231.wmf"/><Relationship Id="rId997" Type="http://schemas.openxmlformats.org/officeDocument/2006/relationships/hyperlink" Target="https://login.consultant.ru/link/?req=doc&amp;base=STR&amp;n=25002&amp;dst=100126" TargetMode="External"/><Relationship Id="rId191" Type="http://schemas.openxmlformats.org/officeDocument/2006/relationships/hyperlink" Target="https://login.consultant.ru/link/?req=doc&amp;base=STR&amp;n=30251" TargetMode="External"/><Relationship Id="rId205" Type="http://schemas.openxmlformats.org/officeDocument/2006/relationships/hyperlink" Target="https://login.consultant.ru/link/?req=doc&amp;base=STR&amp;n=18751" TargetMode="External"/><Relationship Id="rId412" Type="http://schemas.openxmlformats.org/officeDocument/2006/relationships/image" Target="media/image116.wmf"/><Relationship Id="rId857" Type="http://schemas.openxmlformats.org/officeDocument/2006/relationships/image" Target="media/image452.wmf"/><Relationship Id="rId1042" Type="http://schemas.openxmlformats.org/officeDocument/2006/relationships/image" Target="media/image588.wmf"/><Relationship Id="rId289" Type="http://schemas.openxmlformats.org/officeDocument/2006/relationships/image" Target="media/image11.wmf"/><Relationship Id="rId496" Type="http://schemas.openxmlformats.org/officeDocument/2006/relationships/hyperlink" Target="https://login.consultant.ru/link/?req=doc&amp;base=STR&amp;n=23687&amp;dst=100044" TargetMode="External"/><Relationship Id="rId717" Type="http://schemas.openxmlformats.org/officeDocument/2006/relationships/image" Target="media/image368.wmf"/><Relationship Id="rId924" Type="http://schemas.openxmlformats.org/officeDocument/2006/relationships/hyperlink" Target="https://login.consultant.ru/link/?req=doc&amp;base=STR&amp;n=28531&amp;dst=100279" TargetMode="External"/><Relationship Id="rId53" Type="http://schemas.openxmlformats.org/officeDocument/2006/relationships/hyperlink" Target="https://login.consultant.ru/link/?req=doc&amp;base=STR&amp;n=25002&amp;dst=100015" TargetMode="External"/><Relationship Id="rId149" Type="http://schemas.openxmlformats.org/officeDocument/2006/relationships/hyperlink" Target="https://login.consultant.ru/link/?req=doc&amp;base=STR&amp;n=23439&amp;dst=100012" TargetMode="External"/><Relationship Id="rId356" Type="http://schemas.openxmlformats.org/officeDocument/2006/relationships/image" Target="media/image64.wmf"/><Relationship Id="rId563" Type="http://schemas.openxmlformats.org/officeDocument/2006/relationships/image" Target="media/image241.wmf"/><Relationship Id="rId770" Type="http://schemas.openxmlformats.org/officeDocument/2006/relationships/hyperlink" Target="https://login.consultant.ru/link/?req=doc&amp;base=STR&amp;n=28531&amp;dst=100251" TargetMode="External"/><Relationship Id="rId216" Type="http://schemas.openxmlformats.org/officeDocument/2006/relationships/hyperlink" Target="https://login.consultant.ru/link/?req=doc&amp;base=STR&amp;n=27229" TargetMode="External"/><Relationship Id="rId423" Type="http://schemas.openxmlformats.org/officeDocument/2006/relationships/image" Target="media/image125.wmf"/><Relationship Id="rId868" Type="http://schemas.openxmlformats.org/officeDocument/2006/relationships/image" Target="media/image462.wmf"/><Relationship Id="rId1053" Type="http://schemas.openxmlformats.org/officeDocument/2006/relationships/hyperlink" Target="https://login.consultant.ru/link/?req=doc&amp;base=STR&amp;n=28531&amp;dst=100300" TargetMode="External"/><Relationship Id="rId630" Type="http://schemas.openxmlformats.org/officeDocument/2006/relationships/image" Target="media/image306.wmf"/><Relationship Id="rId728" Type="http://schemas.openxmlformats.org/officeDocument/2006/relationships/hyperlink" Target="https://login.consultant.ru/link/?req=doc&amp;base=STR&amp;n=28531&amp;dst=100178" TargetMode="External"/><Relationship Id="rId935" Type="http://schemas.openxmlformats.org/officeDocument/2006/relationships/hyperlink" Target="https://login.consultant.ru/link/?req=doc&amp;base=STR&amp;n=16369" TargetMode="External"/><Relationship Id="rId64" Type="http://schemas.openxmlformats.org/officeDocument/2006/relationships/hyperlink" Target="https://login.consultant.ru/link/?req=doc&amp;base=STR&amp;n=28531&amp;dst=100022" TargetMode="External"/><Relationship Id="rId367" Type="http://schemas.openxmlformats.org/officeDocument/2006/relationships/hyperlink" Target="https://login.consultant.ru/link/?req=doc&amp;base=STR&amp;n=28531&amp;dst=100145" TargetMode="External"/><Relationship Id="rId574" Type="http://schemas.openxmlformats.org/officeDocument/2006/relationships/image" Target="media/image252.wmf"/><Relationship Id="rId227" Type="http://schemas.openxmlformats.org/officeDocument/2006/relationships/hyperlink" Target="https://login.consultant.ru/link/?req=doc&amp;base=STR&amp;n=25002&amp;dst=100059" TargetMode="External"/><Relationship Id="rId781" Type="http://schemas.openxmlformats.org/officeDocument/2006/relationships/hyperlink" Target="https://login.consultant.ru/link/?req=doc&amp;base=STR&amp;n=20667" TargetMode="External"/><Relationship Id="rId879" Type="http://schemas.openxmlformats.org/officeDocument/2006/relationships/hyperlink" Target="https://login.consultant.ru/link/?req=doc&amp;base=STR&amp;n=28531&amp;dst=100271" TargetMode="External"/><Relationship Id="rId434" Type="http://schemas.openxmlformats.org/officeDocument/2006/relationships/image" Target="media/image136.wmf"/><Relationship Id="rId641" Type="http://schemas.openxmlformats.org/officeDocument/2006/relationships/hyperlink" Target="https://login.consultant.ru/link/?req=doc&amp;base=STR&amp;n=23439&amp;dst=100059" TargetMode="External"/><Relationship Id="rId739" Type="http://schemas.openxmlformats.org/officeDocument/2006/relationships/hyperlink" Target="https://login.consultant.ru/link/?req=doc&amp;base=STR&amp;n=28531&amp;dst=100241" TargetMode="External"/><Relationship Id="rId1064" Type="http://schemas.openxmlformats.org/officeDocument/2006/relationships/image" Target="media/image607.wmf"/><Relationship Id="rId280" Type="http://schemas.openxmlformats.org/officeDocument/2006/relationships/hyperlink" Target="https://login.consultant.ru/link/?req=doc&amp;base=STR&amp;n=26857" TargetMode="External"/><Relationship Id="rId501" Type="http://schemas.openxmlformats.org/officeDocument/2006/relationships/image" Target="media/image186.wmf"/><Relationship Id="rId946" Type="http://schemas.openxmlformats.org/officeDocument/2006/relationships/hyperlink" Target="https://login.consultant.ru/link/?req=doc&amp;base=STR&amp;n=23687&amp;dst=100058" TargetMode="External"/><Relationship Id="rId75" Type="http://schemas.openxmlformats.org/officeDocument/2006/relationships/hyperlink" Target="https://login.consultant.ru/link/?req=doc&amp;base=STR&amp;n=28531&amp;dst=100024" TargetMode="External"/><Relationship Id="rId140" Type="http://schemas.openxmlformats.org/officeDocument/2006/relationships/hyperlink" Target="https://login.consultant.ru/link/?req=doc&amp;base=STR&amp;n=28531&amp;dst=100040" TargetMode="External"/><Relationship Id="rId378" Type="http://schemas.openxmlformats.org/officeDocument/2006/relationships/image" Target="media/image83.wmf"/><Relationship Id="rId585" Type="http://schemas.openxmlformats.org/officeDocument/2006/relationships/image" Target="media/image262.wmf"/><Relationship Id="rId792" Type="http://schemas.openxmlformats.org/officeDocument/2006/relationships/image" Target="media/image407.wmf"/><Relationship Id="rId806" Type="http://schemas.openxmlformats.org/officeDocument/2006/relationships/image" Target="media/image421.wmf"/><Relationship Id="rId6" Type="http://schemas.openxmlformats.org/officeDocument/2006/relationships/hyperlink" Target="https://login.consultant.ru/link/?req=doc&amp;base=STR&amp;n=5061" TargetMode="External"/><Relationship Id="rId238" Type="http://schemas.openxmlformats.org/officeDocument/2006/relationships/hyperlink" Target="https://login.consultant.ru/link/?req=doc&amp;base=STR&amp;n=26358" TargetMode="External"/><Relationship Id="rId445" Type="http://schemas.openxmlformats.org/officeDocument/2006/relationships/image" Target="media/image146.wmf"/><Relationship Id="rId652" Type="http://schemas.openxmlformats.org/officeDocument/2006/relationships/image" Target="media/image326.wmf"/><Relationship Id="rId1075" Type="http://schemas.openxmlformats.org/officeDocument/2006/relationships/image" Target="media/image615.wmf"/><Relationship Id="rId291" Type="http://schemas.openxmlformats.org/officeDocument/2006/relationships/image" Target="media/image12.wmf"/><Relationship Id="rId305" Type="http://schemas.openxmlformats.org/officeDocument/2006/relationships/hyperlink" Target="https://login.consultant.ru/link/?req=doc&amp;base=STR&amp;n=22128" TargetMode="External"/><Relationship Id="rId512" Type="http://schemas.openxmlformats.org/officeDocument/2006/relationships/image" Target="media/image195.wmf"/><Relationship Id="rId957" Type="http://schemas.openxmlformats.org/officeDocument/2006/relationships/image" Target="media/image517.wmf"/><Relationship Id="rId86" Type="http://schemas.openxmlformats.org/officeDocument/2006/relationships/hyperlink" Target="https://login.consultant.ru/link/?req=doc&amp;base=STR&amp;n=29126" TargetMode="External"/><Relationship Id="rId151" Type="http://schemas.openxmlformats.org/officeDocument/2006/relationships/hyperlink" Target="https://login.consultant.ru/link/?req=doc&amp;base=STR&amp;n=28531&amp;dst=100062" TargetMode="External"/><Relationship Id="rId389" Type="http://schemas.openxmlformats.org/officeDocument/2006/relationships/image" Target="media/image94.wmf"/><Relationship Id="rId596" Type="http://schemas.openxmlformats.org/officeDocument/2006/relationships/image" Target="media/image273.wmf"/><Relationship Id="rId817" Type="http://schemas.openxmlformats.org/officeDocument/2006/relationships/image" Target="media/image432.wmf"/><Relationship Id="rId1002" Type="http://schemas.openxmlformats.org/officeDocument/2006/relationships/image" Target="media/image555.wmf"/><Relationship Id="rId249" Type="http://schemas.openxmlformats.org/officeDocument/2006/relationships/hyperlink" Target="https://login.consultant.ru/link/?req=doc&amp;base=STR&amp;n=28531&amp;dst=100083" TargetMode="External"/><Relationship Id="rId456" Type="http://schemas.openxmlformats.org/officeDocument/2006/relationships/image" Target="media/image157.wmf"/><Relationship Id="rId663" Type="http://schemas.openxmlformats.org/officeDocument/2006/relationships/image" Target="media/image336.wmf"/><Relationship Id="rId870" Type="http://schemas.openxmlformats.org/officeDocument/2006/relationships/image" Target="media/image464.wmf"/><Relationship Id="rId1086" Type="http://schemas.openxmlformats.org/officeDocument/2006/relationships/image" Target="media/image626.wmf"/><Relationship Id="rId13" Type="http://schemas.openxmlformats.org/officeDocument/2006/relationships/hyperlink" Target="https://login.consultant.ru/link/?req=doc&amp;base=STR&amp;n=28531&amp;dst=100006" TargetMode="External"/><Relationship Id="rId109" Type="http://schemas.openxmlformats.org/officeDocument/2006/relationships/hyperlink" Target="https://login.consultant.ru/link/?req=doc&amp;base=STR&amp;n=28792" TargetMode="External"/><Relationship Id="rId316" Type="http://schemas.openxmlformats.org/officeDocument/2006/relationships/hyperlink" Target="https://login.consultant.ru/link/?req=doc&amp;base=STR&amp;n=23439&amp;dst=100029" TargetMode="External"/><Relationship Id="rId523" Type="http://schemas.openxmlformats.org/officeDocument/2006/relationships/image" Target="media/image206.wmf"/><Relationship Id="rId968" Type="http://schemas.openxmlformats.org/officeDocument/2006/relationships/image" Target="media/image526.wmf"/><Relationship Id="rId97" Type="http://schemas.openxmlformats.org/officeDocument/2006/relationships/hyperlink" Target="https://login.consultant.ru/link/?req=doc&amp;base=STR&amp;n=28744" TargetMode="External"/><Relationship Id="rId730" Type="http://schemas.openxmlformats.org/officeDocument/2006/relationships/hyperlink" Target="https://login.consultant.ru/link/?req=doc&amp;base=STR&amp;n=25002&amp;dst=100067" TargetMode="External"/><Relationship Id="rId828" Type="http://schemas.openxmlformats.org/officeDocument/2006/relationships/hyperlink" Target="https://login.consultant.ru/link/?req=doc&amp;base=STR&amp;n=26118" TargetMode="External"/><Relationship Id="rId1013" Type="http://schemas.openxmlformats.org/officeDocument/2006/relationships/image" Target="media/image564.wmf"/><Relationship Id="rId162" Type="http://schemas.openxmlformats.org/officeDocument/2006/relationships/hyperlink" Target="https://login.consultant.ru/link/?req=doc&amp;base=STR&amp;n=23687&amp;dst=100023" TargetMode="External"/><Relationship Id="rId467" Type="http://schemas.openxmlformats.org/officeDocument/2006/relationships/image" Target="media/image168.wmf"/><Relationship Id="rId1097" Type="http://schemas.openxmlformats.org/officeDocument/2006/relationships/hyperlink" Target="https://login.consultant.ru/link/?req=doc&amp;base=STR&amp;n=1102" TargetMode="External"/><Relationship Id="rId674" Type="http://schemas.openxmlformats.org/officeDocument/2006/relationships/hyperlink" Target="https://login.consultant.ru/link/?req=doc&amp;base=STR&amp;n=23439&amp;dst=100068" TargetMode="External"/><Relationship Id="rId881" Type="http://schemas.openxmlformats.org/officeDocument/2006/relationships/image" Target="media/image474.wmf"/><Relationship Id="rId979" Type="http://schemas.openxmlformats.org/officeDocument/2006/relationships/image" Target="media/image537.wmf"/><Relationship Id="rId24" Type="http://schemas.openxmlformats.org/officeDocument/2006/relationships/hyperlink" Target="https://login.consultant.ru/link/?req=doc&amp;base=STR&amp;n=26539" TargetMode="External"/><Relationship Id="rId327" Type="http://schemas.openxmlformats.org/officeDocument/2006/relationships/image" Target="media/image39.wmf"/><Relationship Id="rId534" Type="http://schemas.openxmlformats.org/officeDocument/2006/relationships/image" Target="media/image217.wmf"/><Relationship Id="rId741" Type="http://schemas.openxmlformats.org/officeDocument/2006/relationships/hyperlink" Target="https://login.consultant.ru/link/?req=doc&amp;base=STR&amp;n=28531&amp;dst=100245" TargetMode="External"/><Relationship Id="rId839" Type="http://schemas.openxmlformats.org/officeDocument/2006/relationships/hyperlink" Target="https://login.consultant.ru/link/?req=doc&amp;base=STR&amp;n=21411" TargetMode="External"/><Relationship Id="rId173" Type="http://schemas.openxmlformats.org/officeDocument/2006/relationships/hyperlink" Target="https://login.consultant.ru/link/?req=doc&amp;base=STR&amp;n=28792" TargetMode="External"/><Relationship Id="rId380" Type="http://schemas.openxmlformats.org/officeDocument/2006/relationships/image" Target="media/image85.wmf"/><Relationship Id="rId601" Type="http://schemas.openxmlformats.org/officeDocument/2006/relationships/image" Target="media/image278.wmf"/><Relationship Id="rId1024" Type="http://schemas.openxmlformats.org/officeDocument/2006/relationships/image" Target="media/image572.wmf"/><Relationship Id="rId240" Type="http://schemas.openxmlformats.org/officeDocument/2006/relationships/hyperlink" Target="https://login.consultant.ru/link/?req=doc&amp;base=STR&amp;n=28531&amp;dst=100082" TargetMode="External"/><Relationship Id="rId478" Type="http://schemas.openxmlformats.org/officeDocument/2006/relationships/image" Target="media/image179.wmf"/><Relationship Id="rId685" Type="http://schemas.openxmlformats.org/officeDocument/2006/relationships/image" Target="media/image348.png"/><Relationship Id="rId892" Type="http://schemas.openxmlformats.org/officeDocument/2006/relationships/image" Target="media/image485.wmf"/><Relationship Id="rId906" Type="http://schemas.openxmlformats.org/officeDocument/2006/relationships/image" Target="media/image499.wmf"/><Relationship Id="rId35" Type="http://schemas.openxmlformats.org/officeDocument/2006/relationships/hyperlink" Target="https://login.consultant.ru/link/?req=doc&amp;base=STR&amp;n=23973" TargetMode="External"/><Relationship Id="rId100" Type="http://schemas.openxmlformats.org/officeDocument/2006/relationships/hyperlink" Target="https://login.consultant.ru/link/?req=doc&amp;base=STR&amp;n=27097" TargetMode="External"/><Relationship Id="rId338" Type="http://schemas.openxmlformats.org/officeDocument/2006/relationships/image" Target="media/image50.wmf"/><Relationship Id="rId545" Type="http://schemas.openxmlformats.org/officeDocument/2006/relationships/hyperlink" Target="https://login.consultant.ru/link/?req=doc&amp;base=STR&amp;n=21411" TargetMode="External"/><Relationship Id="rId752" Type="http://schemas.openxmlformats.org/officeDocument/2006/relationships/hyperlink" Target="https://login.consultant.ru/link/?req=doc&amp;base=STR&amp;n=29123" TargetMode="External"/><Relationship Id="rId184" Type="http://schemas.openxmlformats.org/officeDocument/2006/relationships/hyperlink" Target="https://login.consultant.ru/link/?req=doc&amp;base=STR&amp;n=28531&amp;dst=100074" TargetMode="External"/><Relationship Id="rId391" Type="http://schemas.openxmlformats.org/officeDocument/2006/relationships/image" Target="media/image96.wmf"/><Relationship Id="rId405" Type="http://schemas.openxmlformats.org/officeDocument/2006/relationships/image" Target="media/image110.wmf"/><Relationship Id="rId612" Type="http://schemas.openxmlformats.org/officeDocument/2006/relationships/image" Target="media/image288.wmf"/><Relationship Id="rId1035" Type="http://schemas.openxmlformats.org/officeDocument/2006/relationships/image" Target="media/image583.wmf"/><Relationship Id="rId251" Type="http://schemas.openxmlformats.org/officeDocument/2006/relationships/hyperlink" Target="https://login.consultant.ru/link/?req=doc&amp;base=STR&amp;n=23454" TargetMode="External"/><Relationship Id="rId489" Type="http://schemas.openxmlformats.org/officeDocument/2006/relationships/hyperlink" Target="https://login.consultant.ru/link/?req=doc&amp;base=STR&amp;n=23687&amp;dst=100042" TargetMode="External"/><Relationship Id="rId696" Type="http://schemas.openxmlformats.org/officeDocument/2006/relationships/hyperlink" Target="https://login.consultant.ru/link/?req=doc&amp;base=STR&amp;n=28545" TargetMode="External"/><Relationship Id="rId917" Type="http://schemas.openxmlformats.org/officeDocument/2006/relationships/image" Target="media/image510.wmf"/><Relationship Id="rId46" Type="http://schemas.openxmlformats.org/officeDocument/2006/relationships/hyperlink" Target="https://login.consultant.ru/link/?req=doc&amp;base=STR&amp;n=28531&amp;dst=100040" TargetMode="External"/><Relationship Id="rId349" Type="http://schemas.openxmlformats.org/officeDocument/2006/relationships/image" Target="media/image57.wmf"/><Relationship Id="rId556" Type="http://schemas.openxmlformats.org/officeDocument/2006/relationships/image" Target="media/image235.wmf"/><Relationship Id="rId763" Type="http://schemas.openxmlformats.org/officeDocument/2006/relationships/image" Target="media/image386.wmf"/><Relationship Id="rId111" Type="http://schemas.openxmlformats.org/officeDocument/2006/relationships/hyperlink" Target="https://login.consultant.ru/link/?req=doc&amp;base=STR&amp;n=28531&amp;dst=100034" TargetMode="External"/><Relationship Id="rId195" Type="http://schemas.openxmlformats.org/officeDocument/2006/relationships/hyperlink" Target="https://login.consultant.ru/link/?req=doc&amp;base=STR&amp;n=23439&amp;dst=100023" TargetMode="External"/><Relationship Id="rId209" Type="http://schemas.openxmlformats.org/officeDocument/2006/relationships/hyperlink" Target="https://login.consultant.ru/link/?req=doc&amp;base=STR&amp;n=26535" TargetMode="External"/><Relationship Id="rId416" Type="http://schemas.openxmlformats.org/officeDocument/2006/relationships/image" Target="media/image118.wmf"/><Relationship Id="rId970" Type="http://schemas.openxmlformats.org/officeDocument/2006/relationships/image" Target="media/image528.wmf"/><Relationship Id="rId1046" Type="http://schemas.openxmlformats.org/officeDocument/2006/relationships/image" Target="media/image592.wmf"/><Relationship Id="rId623" Type="http://schemas.openxmlformats.org/officeDocument/2006/relationships/image" Target="media/image299.png"/><Relationship Id="rId830" Type="http://schemas.openxmlformats.org/officeDocument/2006/relationships/hyperlink" Target="https://login.consultant.ru/link/?req=doc&amp;base=STR&amp;n=28531&amp;dst=100260" TargetMode="External"/><Relationship Id="rId928" Type="http://schemas.openxmlformats.org/officeDocument/2006/relationships/hyperlink" Target="https://login.consultant.ru/link/?req=doc&amp;base=STR&amp;n=28531&amp;dst=100282" TargetMode="External"/><Relationship Id="rId57" Type="http://schemas.openxmlformats.org/officeDocument/2006/relationships/hyperlink" Target="https://login.consultant.ru/link/?req=doc&amp;base=STR&amp;n=25002&amp;dst=100016" TargetMode="External"/><Relationship Id="rId262" Type="http://schemas.openxmlformats.org/officeDocument/2006/relationships/hyperlink" Target="https://login.consultant.ru/link/?req=doc&amp;base=STR&amp;n=26145" TargetMode="External"/><Relationship Id="rId567" Type="http://schemas.openxmlformats.org/officeDocument/2006/relationships/image" Target="media/image245.wmf"/><Relationship Id="rId122" Type="http://schemas.openxmlformats.org/officeDocument/2006/relationships/hyperlink" Target="https://login.consultant.ru/link/?req=doc&amp;base=STR&amp;n=16369" TargetMode="External"/><Relationship Id="rId774" Type="http://schemas.openxmlformats.org/officeDocument/2006/relationships/image" Target="media/image393.wmf"/><Relationship Id="rId981" Type="http://schemas.openxmlformats.org/officeDocument/2006/relationships/image" Target="media/image539.wmf"/><Relationship Id="rId1057" Type="http://schemas.openxmlformats.org/officeDocument/2006/relationships/image" Target="media/image601.wmf"/><Relationship Id="rId427" Type="http://schemas.openxmlformats.org/officeDocument/2006/relationships/image" Target="media/image129.wmf"/><Relationship Id="rId634" Type="http://schemas.openxmlformats.org/officeDocument/2006/relationships/image" Target="media/image310.wmf"/><Relationship Id="rId841" Type="http://schemas.openxmlformats.org/officeDocument/2006/relationships/hyperlink" Target="https://login.consultant.ru/link/?req=doc&amp;base=STR&amp;n=30222" TargetMode="External"/><Relationship Id="rId273" Type="http://schemas.openxmlformats.org/officeDocument/2006/relationships/hyperlink" Target="https://login.consultant.ru/link/?req=doc&amp;base=STR&amp;n=26535" TargetMode="External"/><Relationship Id="rId480" Type="http://schemas.openxmlformats.org/officeDocument/2006/relationships/image" Target="media/image181.wmf"/><Relationship Id="rId701" Type="http://schemas.openxmlformats.org/officeDocument/2006/relationships/hyperlink" Target="https://login.consultant.ru/link/?req=doc&amp;base=STR&amp;n=30251" TargetMode="External"/><Relationship Id="rId939" Type="http://schemas.openxmlformats.org/officeDocument/2006/relationships/hyperlink" Target="https://login.consultant.ru/link/?req=doc&amp;base=STR&amp;n=25403" TargetMode="External"/><Relationship Id="rId68" Type="http://schemas.openxmlformats.org/officeDocument/2006/relationships/hyperlink" Target="https://login.consultant.ru/link/?req=doc&amp;base=STR&amp;n=28531&amp;dst=100040" TargetMode="External"/><Relationship Id="rId133" Type="http://schemas.openxmlformats.org/officeDocument/2006/relationships/hyperlink" Target="https://login.consultant.ru/link/?req=doc&amp;base=STR&amp;n=28531&amp;dst=100015" TargetMode="External"/><Relationship Id="rId340" Type="http://schemas.openxmlformats.org/officeDocument/2006/relationships/hyperlink" Target="https://login.consultant.ru/link/?req=doc&amp;base=STR&amp;n=28531&amp;dst=100136" TargetMode="External"/><Relationship Id="rId578" Type="http://schemas.openxmlformats.org/officeDocument/2006/relationships/image" Target="media/image256.wmf"/><Relationship Id="rId785" Type="http://schemas.openxmlformats.org/officeDocument/2006/relationships/image" Target="media/image400.wmf"/><Relationship Id="rId992" Type="http://schemas.openxmlformats.org/officeDocument/2006/relationships/hyperlink" Target="https://login.consultant.ru/link/?req=doc&amp;base=STR&amp;n=25002&amp;dst=100122" TargetMode="External"/><Relationship Id="rId200" Type="http://schemas.openxmlformats.org/officeDocument/2006/relationships/hyperlink" Target="https://login.consultant.ru/link/?req=doc&amp;base=STR&amp;n=19425" TargetMode="External"/><Relationship Id="rId438" Type="http://schemas.openxmlformats.org/officeDocument/2006/relationships/image" Target="media/image140.wmf"/><Relationship Id="rId645" Type="http://schemas.openxmlformats.org/officeDocument/2006/relationships/image" Target="media/image319.wmf"/><Relationship Id="rId852" Type="http://schemas.openxmlformats.org/officeDocument/2006/relationships/image" Target="media/image447.wmf"/><Relationship Id="rId1068" Type="http://schemas.openxmlformats.org/officeDocument/2006/relationships/hyperlink" Target="https://login.consultant.ru/link/?req=doc&amp;base=STR&amp;n=26540" TargetMode="External"/><Relationship Id="rId284" Type="http://schemas.openxmlformats.org/officeDocument/2006/relationships/hyperlink" Target="https://login.consultant.ru/link/?req=doc&amp;base=STR&amp;n=28531&amp;dst=100130" TargetMode="External"/><Relationship Id="rId491" Type="http://schemas.openxmlformats.org/officeDocument/2006/relationships/hyperlink" Target="https://login.consultant.ru/link/?req=doc&amp;base=STR&amp;n=15834" TargetMode="External"/><Relationship Id="rId505" Type="http://schemas.openxmlformats.org/officeDocument/2006/relationships/image" Target="media/image190.png"/><Relationship Id="rId712" Type="http://schemas.openxmlformats.org/officeDocument/2006/relationships/image" Target="media/image365.wmf"/><Relationship Id="rId79" Type="http://schemas.openxmlformats.org/officeDocument/2006/relationships/hyperlink" Target="https://login.consultant.ru/link/?req=doc&amp;base=STR&amp;n=29025" TargetMode="External"/><Relationship Id="rId144" Type="http://schemas.openxmlformats.org/officeDocument/2006/relationships/hyperlink" Target="https://login.consultant.ru/link/?req=doc&amp;base=STR&amp;n=28531&amp;dst=100040" TargetMode="External"/><Relationship Id="rId589" Type="http://schemas.openxmlformats.org/officeDocument/2006/relationships/image" Target="media/image266.wmf"/><Relationship Id="rId796" Type="http://schemas.openxmlformats.org/officeDocument/2006/relationships/image" Target="media/image411.wmf"/><Relationship Id="rId351" Type="http://schemas.openxmlformats.org/officeDocument/2006/relationships/image" Target="media/image59.wmf"/><Relationship Id="rId449" Type="http://schemas.openxmlformats.org/officeDocument/2006/relationships/image" Target="media/image150.wmf"/><Relationship Id="rId656" Type="http://schemas.openxmlformats.org/officeDocument/2006/relationships/image" Target="media/image330.wmf"/><Relationship Id="rId863" Type="http://schemas.openxmlformats.org/officeDocument/2006/relationships/image" Target="media/image457.wmf"/><Relationship Id="rId1079" Type="http://schemas.openxmlformats.org/officeDocument/2006/relationships/image" Target="media/image619.wmf"/><Relationship Id="rId211" Type="http://schemas.openxmlformats.org/officeDocument/2006/relationships/hyperlink" Target="https://login.consultant.ru/link/?req=doc&amp;base=STR&amp;n=26144" TargetMode="External"/><Relationship Id="rId295" Type="http://schemas.openxmlformats.org/officeDocument/2006/relationships/image" Target="media/image16.wmf"/><Relationship Id="rId309" Type="http://schemas.openxmlformats.org/officeDocument/2006/relationships/hyperlink" Target="https://login.consultant.ru/link/?req=doc&amp;base=STR&amp;n=29126" TargetMode="External"/><Relationship Id="rId516" Type="http://schemas.openxmlformats.org/officeDocument/2006/relationships/image" Target="media/image199.wmf"/><Relationship Id="rId723" Type="http://schemas.openxmlformats.org/officeDocument/2006/relationships/image" Target="media/image372.wmf"/><Relationship Id="rId930" Type="http://schemas.openxmlformats.org/officeDocument/2006/relationships/image" Target="media/image514.wmf"/><Relationship Id="rId1006" Type="http://schemas.openxmlformats.org/officeDocument/2006/relationships/image" Target="media/image559.wmf"/><Relationship Id="rId155" Type="http://schemas.openxmlformats.org/officeDocument/2006/relationships/hyperlink" Target="https://login.consultant.ru/link/?req=doc&amp;base=STR&amp;n=23439&amp;dst=100016" TargetMode="External"/><Relationship Id="rId362" Type="http://schemas.openxmlformats.org/officeDocument/2006/relationships/image" Target="media/image69.wmf"/><Relationship Id="rId222" Type="http://schemas.openxmlformats.org/officeDocument/2006/relationships/hyperlink" Target="https://login.consultant.ru/link/?req=doc&amp;base=STR&amp;n=28531&amp;dst=100078" TargetMode="External"/><Relationship Id="rId667" Type="http://schemas.openxmlformats.org/officeDocument/2006/relationships/image" Target="media/image340.wmf"/><Relationship Id="rId874" Type="http://schemas.openxmlformats.org/officeDocument/2006/relationships/image" Target="media/image468.wmf"/><Relationship Id="rId17" Type="http://schemas.openxmlformats.org/officeDocument/2006/relationships/hyperlink" Target="https://login.consultant.ru/link/?req=doc&amp;base=STR&amp;n=23439&amp;dst=100006" TargetMode="External"/><Relationship Id="rId527" Type="http://schemas.openxmlformats.org/officeDocument/2006/relationships/image" Target="media/image210.wmf"/><Relationship Id="rId734" Type="http://schemas.openxmlformats.org/officeDocument/2006/relationships/hyperlink" Target="https://login.consultant.ru/link/?req=doc&amp;base=STR&amp;n=28531&amp;dst=100232" TargetMode="External"/><Relationship Id="rId941" Type="http://schemas.openxmlformats.org/officeDocument/2006/relationships/hyperlink" Target="https://login.consultant.ru/link/?req=doc&amp;base=STR&amp;n=16369" TargetMode="External"/><Relationship Id="rId70" Type="http://schemas.openxmlformats.org/officeDocument/2006/relationships/hyperlink" Target="https://login.consultant.ru/link/?req=doc&amp;base=STR&amp;n=28531&amp;dst=100040" TargetMode="External"/><Relationship Id="rId166" Type="http://schemas.openxmlformats.org/officeDocument/2006/relationships/hyperlink" Target="https://login.consultant.ru/link/?req=doc&amp;base=STR&amp;n=27119" TargetMode="External"/><Relationship Id="rId373" Type="http://schemas.openxmlformats.org/officeDocument/2006/relationships/image" Target="media/image79.wmf"/><Relationship Id="rId580" Type="http://schemas.openxmlformats.org/officeDocument/2006/relationships/image" Target="media/image258.wmf"/><Relationship Id="rId801" Type="http://schemas.openxmlformats.org/officeDocument/2006/relationships/image" Target="media/image416.wmf"/><Relationship Id="rId1017" Type="http://schemas.openxmlformats.org/officeDocument/2006/relationships/image" Target="media/image565.wmf"/><Relationship Id="rId1" Type="http://schemas.openxmlformats.org/officeDocument/2006/relationships/styles" Target="styles.xml"/><Relationship Id="rId233" Type="http://schemas.openxmlformats.org/officeDocument/2006/relationships/hyperlink" Target="https://login.consultant.ru/link/?req=doc&amp;base=STR&amp;n=27097" TargetMode="External"/><Relationship Id="rId440" Type="http://schemas.openxmlformats.org/officeDocument/2006/relationships/image" Target="media/image141.wmf"/><Relationship Id="rId678" Type="http://schemas.openxmlformats.org/officeDocument/2006/relationships/hyperlink" Target="https://login.consultant.ru/link/?req=doc&amp;base=STR&amp;n=28531&amp;dst=100174" TargetMode="External"/><Relationship Id="rId885" Type="http://schemas.openxmlformats.org/officeDocument/2006/relationships/image" Target="media/image478.wmf"/><Relationship Id="rId1070" Type="http://schemas.openxmlformats.org/officeDocument/2006/relationships/image" Target="media/image611.wmf"/><Relationship Id="rId28" Type="http://schemas.openxmlformats.org/officeDocument/2006/relationships/hyperlink" Target="https://login.consultant.ru/link/?req=doc&amp;base=STR&amp;n=26535" TargetMode="External"/><Relationship Id="rId300" Type="http://schemas.openxmlformats.org/officeDocument/2006/relationships/image" Target="media/image21.wmf"/><Relationship Id="rId538" Type="http://schemas.openxmlformats.org/officeDocument/2006/relationships/image" Target="media/image221.wmf"/><Relationship Id="rId745" Type="http://schemas.openxmlformats.org/officeDocument/2006/relationships/hyperlink" Target="https://login.consultant.ru/link/?req=doc&amp;base=STR&amp;n=30251" TargetMode="External"/><Relationship Id="rId952" Type="http://schemas.openxmlformats.org/officeDocument/2006/relationships/hyperlink" Target="https://login.consultant.ru/link/?req=doc&amp;base=STR&amp;n=28531&amp;dst=100288" TargetMode="External"/><Relationship Id="rId81" Type="http://schemas.openxmlformats.org/officeDocument/2006/relationships/hyperlink" Target="https://login.consultant.ru/link/?req=doc&amp;base=STR&amp;n=28531&amp;dst=100026" TargetMode="External"/><Relationship Id="rId177" Type="http://schemas.openxmlformats.org/officeDocument/2006/relationships/hyperlink" Target="https://login.consultant.ru/link/?req=doc&amp;base=STR&amp;n=28531&amp;dst=100072" TargetMode="External"/><Relationship Id="rId384" Type="http://schemas.openxmlformats.org/officeDocument/2006/relationships/image" Target="media/image89.wmf"/><Relationship Id="rId591" Type="http://schemas.openxmlformats.org/officeDocument/2006/relationships/image" Target="media/image268.wmf"/><Relationship Id="rId605" Type="http://schemas.openxmlformats.org/officeDocument/2006/relationships/image" Target="media/image282.png"/><Relationship Id="rId812" Type="http://schemas.openxmlformats.org/officeDocument/2006/relationships/image" Target="media/image427.wmf"/><Relationship Id="rId1028" Type="http://schemas.openxmlformats.org/officeDocument/2006/relationships/image" Target="media/image576.wmf"/><Relationship Id="rId244" Type="http://schemas.openxmlformats.org/officeDocument/2006/relationships/hyperlink" Target="https://login.consultant.ru/link/?req=doc&amp;base=STR&amp;n=27229" TargetMode="External"/><Relationship Id="rId689" Type="http://schemas.openxmlformats.org/officeDocument/2006/relationships/hyperlink" Target="https://login.consultant.ru/link/?req=doc&amp;base=STR&amp;n=23687&amp;dst=100047" TargetMode="External"/><Relationship Id="rId896" Type="http://schemas.openxmlformats.org/officeDocument/2006/relationships/image" Target="media/image489.wmf"/><Relationship Id="rId1081" Type="http://schemas.openxmlformats.org/officeDocument/2006/relationships/image" Target="media/image621.wmf"/><Relationship Id="rId39" Type="http://schemas.openxmlformats.org/officeDocument/2006/relationships/hyperlink" Target="https://login.consultant.ru/link/?req=doc&amp;base=STR&amp;n=26145" TargetMode="External"/><Relationship Id="rId451" Type="http://schemas.openxmlformats.org/officeDocument/2006/relationships/image" Target="media/image152.wmf"/><Relationship Id="rId549" Type="http://schemas.openxmlformats.org/officeDocument/2006/relationships/image" Target="media/image228.wmf"/><Relationship Id="rId756" Type="http://schemas.openxmlformats.org/officeDocument/2006/relationships/image" Target="media/image379.wmf"/><Relationship Id="rId104" Type="http://schemas.openxmlformats.org/officeDocument/2006/relationships/hyperlink" Target="https://login.consultant.ru/link/?req=doc&amp;base=STR&amp;n=25002&amp;dst=100030" TargetMode="External"/><Relationship Id="rId188" Type="http://schemas.openxmlformats.org/officeDocument/2006/relationships/hyperlink" Target="https://login.consultant.ru/link/?req=doc&amp;base=LAW&amp;n=148719&amp;dst=100089" TargetMode="External"/><Relationship Id="rId311" Type="http://schemas.openxmlformats.org/officeDocument/2006/relationships/image" Target="media/image25.wmf"/><Relationship Id="rId395" Type="http://schemas.openxmlformats.org/officeDocument/2006/relationships/image" Target="media/image100.wmf"/><Relationship Id="rId409" Type="http://schemas.openxmlformats.org/officeDocument/2006/relationships/hyperlink" Target="https://login.consultant.ru/link/?req=doc&amp;base=STR&amp;n=28531&amp;dst=100147" TargetMode="External"/><Relationship Id="rId963" Type="http://schemas.openxmlformats.org/officeDocument/2006/relationships/image" Target="media/image522.wmf"/><Relationship Id="rId1039" Type="http://schemas.openxmlformats.org/officeDocument/2006/relationships/hyperlink" Target="https://login.consultant.ru/link/?req=doc&amp;base=STR&amp;n=23439&amp;dst=100113" TargetMode="External"/><Relationship Id="rId92" Type="http://schemas.openxmlformats.org/officeDocument/2006/relationships/hyperlink" Target="https://login.consultant.ru/link/?req=doc&amp;base=STR&amp;n=25002&amp;dst=100026" TargetMode="External"/><Relationship Id="rId616" Type="http://schemas.openxmlformats.org/officeDocument/2006/relationships/image" Target="media/image292.wmf"/><Relationship Id="rId823" Type="http://schemas.openxmlformats.org/officeDocument/2006/relationships/image" Target="media/image438.wmf"/><Relationship Id="rId255" Type="http://schemas.openxmlformats.org/officeDocument/2006/relationships/hyperlink" Target="https://login.consultant.ru/link/?req=doc&amp;base=STR&amp;n=26145" TargetMode="External"/><Relationship Id="rId462" Type="http://schemas.openxmlformats.org/officeDocument/2006/relationships/image" Target="media/image163.wmf"/><Relationship Id="rId1092" Type="http://schemas.openxmlformats.org/officeDocument/2006/relationships/hyperlink" Target="https://login.consultant.ru/link/?req=doc&amp;base=STR&amp;n=20171&amp;dst=100371" TargetMode="External"/><Relationship Id="rId115" Type="http://schemas.openxmlformats.org/officeDocument/2006/relationships/hyperlink" Target="https://login.consultant.ru/link/?req=doc&amp;base=STR&amp;n=27162" TargetMode="External"/><Relationship Id="rId322" Type="http://schemas.openxmlformats.org/officeDocument/2006/relationships/image" Target="media/image34.wmf"/><Relationship Id="rId767" Type="http://schemas.openxmlformats.org/officeDocument/2006/relationships/image" Target="media/image390.wmf"/><Relationship Id="rId974" Type="http://schemas.openxmlformats.org/officeDocument/2006/relationships/image" Target="media/image532.wmf"/><Relationship Id="rId199" Type="http://schemas.openxmlformats.org/officeDocument/2006/relationships/hyperlink" Target="https://login.consultant.ru/link/?req=doc&amp;base=STR&amp;n=25002&amp;dst=100057" TargetMode="External"/><Relationship Id="rId627" Type="http://schemas.openxmlformats.org/officeDocument/2006/relationships/image" Target="media/image303.wmf"/><Relationship Id="rId834" Type="http://schemas.openxmlformats.org/officeDocument/2006/relationships/image" Target="media/image444.wmf"/><Relationship Id="rId266" Type="http://schemas.openxmlformats.org/officeDocument/2006/relationships/hyperlink" Target="https://login.consultant.ru/link/?req=doc&amp;base=STR&amp;n=26540" TargetMode="External"/><Relationship Id="rId473" Type="http://schemas.openxmlformats.org/officeDocument/2006/relationships/image" Target="media/image174.wmf"/><Relationship Id="rId680" Type="http://schemas.openxmlformats.org/officeDocument/2006/relationships/image" Target="media/image345.wmf"/><Relationship Id="rId901" Type="http://schemas.openxmlformats.org/officeDocument/2006/relationships/image" Target="media/image494.wmf"/><Relationship Id="rId30" Type="http://schemas.openxmlformats.org/officeDocument/2006/relationships/hyperlink" Target="https://login.consultant.ru/link/?req=doc&amp;base=STR&amp;n=26540" TargetMode="External"/><Relationship Id="rId126" Type="http://schemas.openxmlformats.org/officeDocument/2006/relationships/hyperlink" Target="https://login.consultant.ru/link/?req=doc&amp;base=STR&amp;n=25002&amp;dst=100037" TargetMode="External"/><Relationship Id="rId333" Type="http://schemas.openxmlformats.org/officeDocument/2006/relationships/image" Target="media/image45.wmf"/><Relationship Id="rId540" Type="http://schemas.openxmlformats.org/officeDocument/2006/relationships/image" Target="media/image223.wmf"/><Relationship Id="rId778" Type="http://schemas.openxmlformats.org/officeDocument/2006/relationships/image" Target="media/image395.wmf"/><Relationship Id="rId985" Type="http://schemas.openxmlformats.org/officeDocument/2006/relationships/hyperlink" Target="https://login.consultant.ru/link/?req=doc&amp;base=STR&amp;n=25002&amp;dst=100120" TargetMode="External"/><Relationship Id="rId638" Type="http://schemas.openxmlformats.org/officeDocument/2006/relationships/image" Target="media/image314.wmf"/><Relationship Id="rId845" Type="http://schemas.openxmlformats.org/officeDocument/2006/relationships/hyperlink" Target="https://login.consultant.ru/link/?req=doc&amp;base=STR&amp;n=22923&amp;dst=101855" TargetMode="External"/><Relationship Id="rId1030" Type="http://schemas.openxmlformats.org/officeDocument/2006/relationships/image" Target="media/image578.wmf"/><Relationship Id="rId277" Type="http://schemas.openxmlformats.org/officeDocument/2006/relationships/hyperlink" Target="https://login.consultant.ru/link/?req=doc&amp;base=STR&amp;n=26535" TargetMode="External"/><Relationship Id="rId400" Type="http://schemas.openxmlformats.org/officeDocument/2006/relationships/image" Target="media/image105.png"/><Relationship Id="rId484" Type="http://schemas.openxmlformats.org/officeDocument/2006/relationships/image" Target="media/image184.wmf"/><Relationship Id="rId705" Type="http://schemas.openxmlformats.org/officeDocument/2006/relationships/image" Target="media/image359.wmf"/><Relationship Id="rId137" Type="http://schemas.openxmlformats.org/officeDocument/2006/relationships/hyperlink" Target="https://login.consultant.ru/link/?req=doc&amp;base=STR&amp;n=30097" TargetMode="External"/><Relationship Id="rId344" Type="http://schemas.openxmlformats.org/officeDocument/2006/relationships/image" Target="media/image52.wmf"/><Relationship Id="rId691" Type="http://schemas.openxmlformats.org/officeDocument/2006/relationships/image" Target="media/image349.png"/><Relationship Id="rId789" Type="http://schemas.openxmlformats.org/officeDocument/2006/relationships/image" Target="media/image404.wmf"/><Relationship Id="rId912" Type="http://schemas.openxmlformats.org/officeDocument/2006/relationships/image" Target="media/image505.wmf"/><Relationship Id="rId996" Type="http://schemas.openxmlformats.org/officeDocument/2006/relationships/hyperlink" Target="https://login.consultant.ru/link/?req=doc&amp;base=STR&amp;n=28531&amp;dst=100294" TargetMode="External"/><Relationship Id="rId41" Type="http://schemas.openxmlformats.org/officeDocument/2006/relationships/hyperlink" Target="https://login.consultant.ru/link/?req=doc&amp;base=STR&amp;n=26147" TargetMode="External"/><Relationship Id="rId551" Type="http://schemas.openxmlformats.org/officeDocument/2006/relationships/image" Target="media/image230.wmf"/><Relationship Id="rId649" Type="http://schemas.openxmlformats.org/officeDocument/2006/relationships/image" Target="media/image323.wmf"/><Relationship Id="rId856" Type="http://schemas.openxmlformats.org/officeDocument/2006/relationships/image" Target="media/image451.wmf"/><Relationship Id="rId190" Type="http://schemas.openxmlformats.org/officeDocument/2006/relationships/hyperlink" Target="https://login.consultant.ru/link/?req=doc&amp;base=STR&amp;n=23687&amp;dst=100026" TargetMode="External"/><Relationship Id="rId204" Type="http://schemas.openxmlformats.org/officeDocument/2006/relationships/hyperlink" Target="https://login.consultant.ru/link/?req=doc&amp;base=STR&amp;n=19425" TargetMode="External"/><Relationship Id="rId288" Type="http://schemas.openxmlformats.org/officeDocument/2006/relationships/image" Target="media/image10.wmf"/><Relationship Id="rId411" Type="http://schemas.openxmlformats.org/officeDocument/2006/relationships/image" Target="media/image115.wmf"/><Relationship Id="rId509" Type="http://schemas.openxmlformats.org/officeDocument/2006/relationships/hyperlink" Target="https://login.consultant.ru/link/?req=doc&amp;base=STR&amp;n=23753" TargetMode="External"/><Relationship Id="rId1041" Type="http://schemas.openxmlformats.org/officeDocument/2006/relationships/image" Target="media/image587.wmf"/><Relationship Id="rId495" Type="http://schemas.openxmlformats.org/officeDocument/2006/relationships/hyperlink" Target="https://login.consultant.ru/link/?req=doc&amp;base=STR&amp;n=23439&amp;dst=100048" TargetMode="External"/><Relationship Id="rId716" Type="http://schemas.openxmlformats.org/officeDocument/2006/relationships/hyperlink" Target="https://login.consultant.ru/link/?req=doc&amp;base=STR&amp;n=25002&amp;dst=100064" TargetMode="External"/><Relationship Id="rId923" Type="http://schemas.openxmlformats.org/officeDocument/2006/relationships/hyperlink" Target="https://login.consultant.ru/link/?req=doc&amp;base=STR&amp;n=23687&amp;dst=100055" TargetMode="External"/><Relationship Id="rId52" Type="http://schemas.openxmlformats.org/officeDocument/2006/relationships/hyperlink" Target="https://login.consultant.ru/link/?req=doc&amp;base=STR&amp;n=21034" TargetMode="External"/><Relationship Id="rId148" Type="http://schemas.openxmlformats.org/officeDocument/2006/relationships/hyperlink" Target="https://login.consultant.ru/link/?req=doc&amp;base=STR&amp;n=28531&amp;dst=100040" TargetMode="External"/><Relationship Id="rId355" Type="http://schemas.openxmlformats.org/officeDocument/2006/relationships/image" Target="media/image63.wmf"/><Relationship Id="rId562" Type="http://schemas.openxmlformats.org/officeDocument/2006/relationships/hyperlink" Target="https://login.consultant.ru/link/?req=doc&amp;base=STR&amp;n=28531&amp;dst=100171" TargetMode="External"/><Relationship Id="rId215" Type="http://schemas.openxmlformats.org/officeDocument/2006/relationships/hyperlink" Target="https://login.consultant.ru/link/?req=doc&amp;base=STR&amp;n=26358" TargetMode="External"/><Relationship Id="rId422" Type="http://schemas.openxmlformats.org/officeDocument/2006/relationships/image" Target="media/image124.wmf"/><Relationship Id="rId867" Type="http://schemas.openxmlformats.org/officeDocument/2006/relationships/image" Target="media/image461.wmf"/><Relationship Id="rId1052" Type="http://schemas.openxmlformats.org/officeDocument/2006/relationships/hyperlink" Target="https://login.consultant.ru/link/?req=doc&amp;base=STR&amp;n=23439&amp;dst=100116" TargetMode="External"/><Relationship Id="rId299" Type="http://schemas.openxmlformats.org/officeDocument/2006/relationships/image" Target="media/image20.wmf"/><Relationship Id="rId727" Type="http://schemas.openxmlformats.org/officeDocument/2006/relationships/hyperlink" Target="https://login.consultant.ru/link/?req=doc&amp;base=STR&amp;n=27119" TargetMode="External"/><Relationship Id="rId934" Type="http://schemas.openxmlformats.org/officeDocument/2006/relationships/hyperlink" Target="https://login.consultant.ru/link/?req=doc&amp;base=STR&amp;n=16369" TargetMode="External"/><Relationship Id="rId63" Type="http://schemas.openxmlformats.org/officeDocument/2006/relationships/hyperlink" Target="https://login.consultant.ru/link/?req=doc&amp;base=STR&amp;n=27592" TargetMode="External"/><Relationship Id="rId159" Type="http://schemas.openxmlformats.org/officeDocument/2006/relationships/hyperlink" Target="https://login.consultant.ru/link/?req=doc&amp;base=STR&amp;n=28531&amp;dst=100064" TargetMode="External"/><Relationship Id="rId366" Type="http://schemas.openxmlformats.org/officeDocument/2006/relationships/image" Target="media/image73.wmf"/><Relationship Id="rId573" Type="http://schemas.openxmlformats.org/officeDocument/2006/relationships/image" Target="media/image251.png"/><Relationship Id="rId780" Type="http://schemas.openxmlformats.org/officeDocument/2006/relationships/image" Target="media/image397.wmf"/><Relationship Id="rId226" Type="http://schemas.openxmlformats.org/officeDocument/2006/relationships/hyperlink" Target="https://login.consultant.ru/link/?req=doc&amp;base=STR&amp;n=26540" TargetMode="External"/><Relationship Id="rId433" Type="http://schemas.openxmlformats.org/officeDocument/2006/relationships/image" Target="media/image135.wmf"/><Relationship Id="rId878" Type="http://schemas.openxmlformats.org/officeDocument/2006/relationships/image" Target="media/image472.wmf"/><Relationship Id="rId1063" Type="http://schemas.openxmlformats.org/officeDocument/2006/relationships/image" Target="media/image606.wmf"/><Relationship Id="rId640" Type="http://schemas.openxmlformats.org/officeDocument/2006/relationships/hyperlink" Target="https://login.consultant.ru/link/?req=doc&amp;base=STR&amp;n=23439&amp;dst=100057" TargetMode="External"/><Relationship Id="rId738" Type="http://schemas.openxmlformats.org/officeDocument/2006/relationships/hyperlink" Target="https://login.consultant.ru/link/?req=doc&amp;base=STR&amp;n=28531&amp;dst=100239" TargetMode="External"/><Relationship Id="rId945" Type="http://schemas.openxmlformats.org/officeDocument/2006/relationships/hyperlink" Target="https://login.consultant.ru/link/?req=doc&amp;base=STR&amp;n=26121" TargetMode="External"/><Relationship Id="rId74" Type="http://schemas.openxmlformats.org/officeDocument/2006/relationships/hyperlink" Target="https://login.consultant.ru/link/?req=doc&amp;base=STR&amp;n=25002&amp;dst=100019" TargetMode="External"/><Relationship Id="rId377" Type="http://schemas.openxmlformats.org/officeDocument/2006/relationships/image" Target="media/image82.wmf"/><Relationship Id="rId500" Type="http://schemas.openxmlformats.org/officeDocument/2006/relationships/image" Target="media/image185.wmf"/><Relationship Id="rId584" Type="http://schemas.openxmlformats.org/officeDocument/2006/relationships/image" Target="media/image261.wmf"/><Relationship Id="rId805" Type="http://schemas.openxmlformats.org/officeDocument/2006/relationships/image" Target="media/image420.wmf"/><Relationship Id="rId5" Type="http://schemas.openxmlformats.org/officeDocument/2006/relationships/hyperlink" Target="https://login.consultant.ru/link/?req=doc&amp;base=LAW&amp;n=220618" TargetMode="External"/><Relationship Id="rId237" Type="http://schemas.openxmlformats.org/officeDocument/2006/relationships/hyperlink" Target="https://login.consultant.ru/link/?req=doc&amp;base=STR&amp;n=26145" TargetMode="External"/><Relationship Id="rId791" Type="http://schemas.openxmlformats.org/officeDocument/2006/relationships/image" Target="media/image406.wmf"/><Relationship Id="rId889" Type="http://schemas.openxmlformats.org/officeDocument/2006/relationships/image" Target="media/image482.wmf"/><Relationship Id="rId1074" Type="http://schemas.openxmlformats.org/officeDocument/2006/relationships/image" Target="media/image614.wmf"/><Relationship Id="rId444" Type="http://schemas.openxmlformats.org/officeDocument/2006/relationships/image" Target="media/image145.wmf"/><Relationship Id="rId651" Type="http://schemas.openxmlformats.org/officeDocument/2006/relationships/image" Target="media/image325.wmf"/><Relationship Id="rId749" Type="http://schemas.openxmlformats.org/officeDocument/2006/relationships/hyperlink" Target="https://login.consultant.ru/link/?req=doc&amp;base=STR&amp;n=29123" TargetMode="External"/><Relationship Id="rId290" Type="http://schemas.openxmlformats.org/officeDocument/2006/relationships/hyperlink" Target="https://login.consultant.ru/link/?req=doc&amp;base=STR&amp;n=30537" TargetMode="External"/><Relationship Id="rId304" Type="http://schemas.openxmlformats.org/officeDocument/2006/relationships/hyperlink" Target="https://login.consultant.ru/link/?req=doc&amp;base=STR&amp;n=28768" TargetMode="External"/><Relationship Id="rId388" Type="http://schemas.openxmlformats.org/officeDocument/2006/relationships/image" Target="media/image93.wmf"/><Relationship Id="rId511" Type="http://schemas.openxmlformats.org/officeDocument/2006/relationships/image" Target="media/image194.wmf"/><Relationship Id="rId609" Type="http://schemas.openxmlformats.org/officeDocument/2006/relationships/image" Target="media/image286.wmf"/><Relationship Id="rId956" Type="http://schemas.openxmlformats.org/officeDocument/2006/relationships/hyperlink" Target="https://login.consultant.ru/link/?req=doc&amp;base=STR&amp;n=25002&amp;dst=100114" TargetMode="External"/><Relationship Id="rId85" Type="http://schemas.openxmlformats.org/officeDocument/2006/relationships/hyperlink" Target="https://login.consultant.ru/link/?req=doc&amp;base=STR&amp;n=25002&amp;dst=100023" TargetMode="External"/><Relationship Id="rId150" Type="http://schemas.openxmlformats.org/officeDocument/2006/relationships/hyperlink" Target="https://login.consultant.ru/link/?req=doc&amp;base=STR&amp;n=24914" TargetMode="External"/><Relationship Id="rId595" Type="http://schemas.openxmlformats.org/officeDocument/2006/relationships/image" Target="media/image272.wmf"/><Relationship Id="rId816" Type="http://schemas.openxmlformats.org/officeDocument/2006/relationships/image" Target="media/image431.wmf"/><Relationship Id="rId1001" Type="http://schemas.openxmlformats.org/officeDocument/2006/relationships/image" Target="media/image554.wmf"/><Relationship Id="rId248" Type="http://schemas.openxmlformats.org/officeDocument/2006/relationships/hyperlink" Target="https://login.consultant.ru/link/?req=doc&amp;base=STR&amp;n=26540" TargetMode="External"/><Relationship Id="rId455" Type="http://schemas.openxmlformats.org/officeDocument/2006/relationships/image" Target="media/image156.wmf"/><Relationship Id="rId662" Type="http://schemas.openxmlformats.org/officeDocument/2006/relationships/image" Target="media/image335.png"/><Relationship Id="rId1085" Type="http://schemas.openxmlformats.org/officeDocument/2006/relationships/image" Target="media/image625.wmf"/><Relationship Id="rId12" Type="http://schemas.openxmlformats.org/officeDocument/2006/relationships/hyperlink" Target="https://login.consultant.ru/link/?req=doc&amp;base=LAW&amp;n=346573&amp;dst=100005" TargetMode="External"/><Relationship Id="rId108" Type="http://schemas.openxmlformats.org/officeDocument/2006/relationships/hyperlink" Target="https://login.consultant.ru/link/?req=doc&amp;base=STR&amp;n=28531&amp;dst=100033" TargetMode="External"/><Relationship Id="rId315" Type="http://schemas.openxmlformats.org/officeDocument/2006/relationships/hyperlink" Target="https://login.consultant.ru/link/?req=doc&amp;base=STR&amp;n=23439&amp;dst=100027" TargetMode="External"/><Relationship Id="rId522" Type="http://schemas.openxmlformats.org/officeDocument/2006/relationships/image" Target="media/image205.wmf"/><Relationship Id="rId967" Type="http://schemas.openxmlformats.org/officeDocument/2006/relationships/hyperlink" Target="https://login.consultant.ru/link/?req=doc&amp;base=STR&amp;n=25002&amp;dst=100118" TargetMode="External"/><Relationship Id="rId96" Type="http://schemas.openxmlformats.org/officeDocument/2006/relationships/hyperlink" Target="https://login.consultant.ru/link/?req=doc&amp;base=STR&amp;n=28531&amp;dst=100029" TargetMode="External"/><Relationship Id="rId161" Type="http://schemas.openxmlformats.org/officeDocument/2006/relationships/hyperlink" Target="https://login.consultant.ru/link/?req=doc&amp;base=STR&amp;n=28531&amp;dst=100066" TargetMode="External"/><Relationship Id="rId399" Type="http://schemas.openxmlformats.org/officeDocument/2006/relationships/image" Target="media/image104.wmf"/><Relationship Id="rId827" Type="http://schemas.openxmlformats.org/officeDocument/2006/relationships/hyperlink" Target="https://login.consultant.ru/link/?req=doc&amp;base=STR&amp;n=23687&amp;dst=100052" TargetMode="External"/><Relationship Id="rId1012" Type="http://schemas.openxmlformats.org/officeDocument/2006/relationships/image" Target="media/image563.wmf"/><Relationship Id="rId259" Type="http://schemas.openxmlformats.org/officeDocument/2006/relationships/hyperlink" Target="https://login.consultant.ru/link/?req=doc&amp;base=STR&amp;n=23454" TargetMode="External"/><Relationship Id="rId466" Type="http://schemas.openxmlformats.org/officeDocument/2006/relationships/image" Target="media/image167.wmf"/><Relationship Id="rId673" Type="http://schemas.openxmlformats.org/officeDocument/2006/relationships/hyperlink" Target="https://login.consultant.ru/link/?req=doc&amp;base=STR&amp;n=23439&amp;dst=100066" TargetMode="External"/><Relationship Id="rId880" Type="http://schemas.openxmlformats.org/officeDocument/2006/relationships/image" Target="media/image473.wmf"/><Relationship Id="rId1096" Type="http://schemas.openxmlformats.org/officeDocument/2006/relationships/hyperlink" Target="https://login.consultant.ru/link/?req=doc&amp;base=LAW&amp;n=148719" TargetMode="External"/><Relationship Id="rId23" Type="http://schemas.openxmlformats.org/officeDocument/2006/relationships/hyperlink" Target="https://login.consultant.ru/link/?req=doc&amp;base=STR&amp;n=28531&amp;dst=100015" TargetMode="External"/><Relationship Id="rId119" Type="http://schemas.openxmlformats.org/officeDocument/2006/relationships/hyperlink" Target="https://login.consultant.ru/link/?req=doc&amp;base=STR&amp;n=25002&amp;dst=100035" TargetMode="External"/><Relationship Id="rId326" Type="http://schemas.openxmlformats.org/officeDocument/2006/relationships/image" Target="media/image38.wmf"/><Relationship Id="rId533" Type="http://schemas.openxmlformats.org/officeDocument/2006/relationships/image" Target="media/image216.wmf"/><Relationship Id="rId978" Type="http://schemas.openxmlformats.org/officeDocument/2006/relationships/image" Target="media/image536.wmf"/><Relationship Id="rId740" Type="http://schemas.openxmlformats.org/officeDocument/2006/relationships/hyperlink" Target="https://login.consultant.ru/link/?req=doc&amp;base=STR&amp;n=21411" TargetMode="External"/><Relationship Id="rId838" Type="http://schemas.openxmlformats.org/officeDocument/2006/relationships/hyperlink" Target="https://login.consultant.ru/link/?req=doc&amp;base=STR&amp;n=29025" TargetMode="External"/><Relationship Id="rId1023" Type="http://schemas.openxmlformats.org/officeDocument/2006/relationships/image" Target="media/image571.wmf"/><Relationship Id="rId172" Type="http://schemas.openxmlformats.org/officeDocument/2006/relationships/hyperlink" Target="https://login.consultant.ru/link/?req=doc&amp;base=STR&amp;n=30822" TargetMode="External"/><Relationship Id="rId477" Type="http://schemas.openxmlformats.org/officeDocument/2006/relationships/image" Target="media/image178.wmf"/><Relationship Id="rId600" Type="http://schemas.openxmlformats.org/officeDocument/2006/relationships/image" Target="media/image277.wmf"/><Relationship Id="rId684" Type="http://schemas.openxmlformats.org/officeDocument/2006/relationships/image" Target="media/image347.wmf"/><Relationship Id="rId337" Type="http://schemas.openxmlformats.org/officeDocument/2006/relationships/image" Target="media/image49.wmf"/><Relationship Id="rId891" Type="http://schemas.openxmlformats.org/officeDocument/2006/relationships/image" Target="media/image484.png"/><Relationship Id="rId905" Type="http://schemas.openxmlformats.org/officeDocument/2006/relationships/image" Target="media/image498.wmf"/><Relationship Id="rId989" Type="http://schemas.openxmlformats.org/officeDocument/2006/relationships/image" Target="media/image546.wmf"/><Relationship Id="rId34" Type="http://schemas.openxmlformats.org/officeDocument/2006/relationships/hyperlink" Target="https://login.consultant.ru/link/?req=doc&amp;base=STR&amp;n=28531&amp;dst=100040" TargetMode="External"/><Relationship Id="rId544" Type="http://schemas.openxmlformats.org/officeDocument/2006/relationships/hyperlink" Target="https://login.consultant.ru/link/?req=doc&amp;base=STR&amp;n=28645" TargetMode="External"/><Relationship Id="rId751" Type="http://schemas.openxmlformats.org/officeDocument/2006/relationships/image" Target="media/image375.wmf"/><Relationship Id="rId849" Type="http://schemas.openxmlformats.org/officeDocument/2006/relationships/hyperlink" Target="https://login.consultant.ru/link/?req=doc&amp;base=STR&amp;n=28531&amp;dst=100264" TargetMode="External"/><Relationship Id="rId183" Type="http://schemas.openxmlformats.org/officeDocument/2006/relationships/hyperlink" Target="https://login.consultant.ru/link/?req=doc&amp;base=LAW&amp;n=409735&amp;dst=100041" TargetMode="External"/><Relationship Id="rId390" Type="http://schemas.openxmlformats.org/officeDocument/2006/relationships/image" Target="media/image95.wmf"/><Relationship Id="rId404" Type="http://schemas.openxmlformats.org/officeDocument/2006/relationships/image" Target="media/image109.wmf"/><Relationship Id="rId611" Type="http://schemas.openxmlformats.org/officeDocument/2006/relationships/hyperlink" Target="https://login.consultant.ru/link/?req=doc&amp;base=STR&amp;n=25002&amp;dst=100063" TargetMode="External"/><Relationship Id="rId1034" Type="http://schemas.openxmlformats.org/officeDocument/2006/relationships/image" Target="media/image582.wmf"/><Relationship Id="rId250" Type="http://schemas.openxmlformats.org/officeDocument/2006/relationships/hyperlink" Target="https://login.consultant.ru/link/?req=doc&amp;base=STR&amp;n=23973" TargetMode="External"/><Relationship Id="rId488" Type="http://schemas.openxmlformats.org/officeDocument/2006/relationships/hyperlink" Target="https://login.consultant.ru/link/?req=doc&amp;base=STR&amp;n=23439&amp;dst=100046" TargetMode="External"/><Relationship Id="rId695" Type="http://schemas.openxmlformats.org/officeDocument/2006/relationships/hyperlink" Target="https://login.consultant.ru/link/?req=doc&amp;base=STR&amp;n=30774" TargetMode="External"/><Relationship Id="rId709" Type="http://schemas.openxmlformats.org/officeDocument/2006/relationships/image" Target="media/image362.wmf"/><Relationship Id="rId916" Type="http://schemas.openxmlformats.org/officeDocument/2006/relationships/image" Target="media/image509.wmf"/><Relationship Id="rId45" Type="http://schemas.openxmlformats.org/officeDocument/2006/relationships/hyperlink" Target="https://login.consultant.ru/link/?req=doc&amp;base=STR&amp;n=26358" TargetMode="External"/><Relationship Id="rId110" Type="http://schemas.openxmlformats.org/officeDocument/2006/relationships/hyperlink" Target="https://login.consultant.ru/link/?req=doc&amp;base=STR&amp;n=25002&amp;dst=100032" TargetMode="External"/><Relationship Id="rId348" Type="http://schemas.openxmlformats.org/officeDocument/2006/relationships/image" Target="media/image56.wmf"/><Relationship Id="rId555" Type="http://schemas.openxmlformats.org/officeDocument/2006/relationships/image" Target="media/image234.wmf"/><Relationship Id="rId762" Type="http://schemas.openxmlformats.org/officeDocument/2006/relationships/image" Target="media/image385.wmf"/><Relationship Id="rId194" Type="http://schemas.openxmlformats.org/officeDocument/2006/relationships/hyperlink" Target="https://login.consultant.ru/link/?req=doc&amp;base=STR&amp;n=28531&amp;dst=100076" TargetMode="External"/><Relationship Id="rId208" Type="http://schemas.openxmlformats.org/officeDocument/2006/relationships/hyperlink" Target="https://login.consultant.ru/link/?req=doc&amp;base=STR&amp;n=26536" TargetMode="External"/><Relationship Id="rId415" Type="http://schemas.openxmlformats.org/officeDocument/2006/relationships/image" Target="media/image117.wmf"/><Relationship Id="rId622" Type="http://schemas.openxmlformats.org/officeDocument/2006/relationships/image" Target="media/image298.png"/><Relationship Id="rId1045" Type="http://schemas.openxmlformats.org/officeDocument/2006/relationships/image" Target="media/image591.wmf"/><Relationship Id="rId261" Type="http://schemas.openxmlformats.org/officeDocument/2006/relationships/hyperlink" Target="https://login.consultant.ru/link/?req=doc&amp;base=STR&amp;n=26144" TargetMode="External"/><Relationship Id="rId499" Type="http://schemas.openxmlformats.org/officeDocument/2006/relationships/hyperlink" Target="https://login.consultant.ru/link/?req=doc&amp;base=STR&amp;n=23439&amp;dst=100050" TargetMode="External"/><Relationship Id="rId927" Type="http://schemas.openxmlformats.org/officeDocument/2006/relationships/image" Target="media/image513.wmf"/><Relationship Id="rId56" Type="http://schemas.openxmlformats.org/officeDocument/2006/relationships/hyperlink" Target="https://login.consultant.ru/link/?req=doc&amp;base=STR&amp;n=22128" TargetMode="External"/><Relationship Id="rId359" Type="http://schemas.openxmlformats.org/officeDocument/2006/relationships/image" Target="media/image67.wmf"/><Relationship Id="rId566" Type="http://schemas.openxmlformats.org/officeDocument/2006/relationships/image" Target="media/image244.wmf"/><Relationship Id="rId773" Type="http://schemas.openxmlformats.org/officeDocument/2006/relationships/image" Target="media/image392.wmf"/><Relationship Id="rId121" Type="http://schemas.openxmlformats.org/officeDocument/2006/relationships/hyperlink" Target="https://login.consultant.ru/link/?req=doc&amp;base=STR&amp;n=25002&amp;dst=100036" TargetMode="External"/><Relationship Id="rId219" Type="http://schemas.openxmlformats.org/officeDocument/2006/relationships/hyperlink" Target="https://login.consultant.ru/link/?req=doc&amp;base=STR&amp;n=28531&amp;dst=100078" TargetMode="External"/><Relationship Id="rId426" Type="http://schemas.openxmlformats.org/officeDocument/2006/relationships/image" Target="media/image128.wmf"/><Relationship Id="rId633" Type="http://schemas.openxmlformats.org/officeDocument/2006/relationships/image" Target="media/image309.wmf"/><Relationship Id="rId980" Type="http://schemas.openxmlformats.org/officeDocument/2006/relationships/image" Target="media/image538.wmf"/><Relationship Id="rId1056" Type="http://schemas.openxmlformats.org/officeDocument/2006/relationships/image" Target="media/image600.wmf"/><Relationship Id="rId840" Type="http://schemas.openxmlformats.org/officeDocument/2006/relationships/hyperlink" Target="https://login.consultant.ru/link/?req=doc&amp;base=STR&amp;n=27097" TargetMode="External"/><Relationship Id="rId938" Type="http://schemas.openxmlformats.org/officeDocument/2006/relationships/hyperlink" Target="https://login.consultant.ru/link/?req=doc&amp;base=STR&amp;n=29030" TargetMode="External"/><Relationship Id="rId67" Type="http://schemas.openxmlformats.org/officeDocument/2006/relationships/hyperlink" Target="https://login.consultant.ru/link/?req=doc&amp;base=STR&amp;n=15834" TargetMode="External"/><Relationship Id="rId272" Type="http://schemas.openxmlformats.org/officeDocument/2006/relationships/hyperlink" Target="https://login.consultant.ru/link/?req=doc&amp;base=STR&amp;n=26539" TargetMode="External"/><Relationship Id="rId577" Type="http://schemas.openxmlformats.org/officeDocument/2006/relationships/image" Target="media/image255.wmf"/><Relationship Id="rId700" Type="http://schemas.openxmlformats.org/officeDocument/2006/relationships/image" Target="media/image355.wmf"/><Relationship Id="rId132" Type="http://schemas.openxmlformats.org/officeDocument/2006/relationships/hyperlink" Target="https://login.consultant.ru/link/?req=doc&amp;base=STR&amp;n=28531&amp;dst=100039" TargetMode="External"/><Relationship Id="rId784" Type="http://schemas.openxmlformats.org/officeDocument/2006/relationships/image" Target="media/image399.wmf"/><Relationship Id="rId991" Type="http://schemas.openxmlformats.org/officeDocument/2006/relationships/image" Target="media/image548.wmf"/><Relationship Id="rId1067" Type="http://schemas.openxmlformats.org/officeDocument/2006/relationships/hyperlink" Target="https://login.consultant.ru/link/?req=doc&amp;base=STR&amp;n=23687&amp;dst=100063" TargetMode="External"/><Relationship Id="rId437" Type="http://schemas.openxmlformats.org/officeDocument/2006/relationships/image" Target="media/image139.wmf"/><Relationship Id="rId644" Type="http://schemas.openxmlformats.org/officeDocument/2006/relationships/image" Target="media/image318.wmf"/><Relationship Id="rId851" Type="http://schemas.openxmlformats.org/officeDocument/2006/relationships/image" Target="media/image446.wmf"/><Relationship Id="rId283" Type="http://schemas.openxmlformats.org/officeDocument/2006/relationships/hyperlink" Target="https://login.consultant.ru/link/?req=doc&amp;base=OTN&amp;n=2840" TargetMode="External"/><Relationship Id="rId490" Type="http://schemas.openxmlformats.org/officeDocument/2006/relationships/hyperlink" Target="https://login.consultant.ru/link/?req=doc&amp;base=STR&amp;n=28531&amp;dst=100160" TargetMode="External"/><Relationship Id="rId504" Type="http://schemas.openxmlformats.org/officeDocument/2006/relationships/image" Target="media/image189.wmf"/><Relationship Id="rId711" Type="http://schemas.openxmlformats.org/officeDocument/2006/relationships/image" Target="media/image364.wmf"/><Relationship Id="rId949" Type="http://schemas.openxmlformats.org/officeDocument/2006/relationships/hyperlink" Target="https://login.consultant.ru/link/?req=doc&amp;base=STR&amp;n=25002&amp;dst=100111" TargetMode="External"/><Relationship Id="rId78" Type="http://schemas.openxmlformats.org/officeDocument/2006/relationships/hyperlink" Target="https://login.consultant.ru/link/?req=doc&amp;base=STR&amp;n=28531&amp;dst=100025" TargetMode="External"/><Relationship Id="rId143" Type="http://schemas.openxmlformats.org/officeDocument/2006/relationships/hyperlink" Target="https://login.consultant.ru/link/?req=doc&amp;base=STR&amp;n=27111" TargetMode="External"/><Relationship Id="rId350" Type="http://schemas.openxmlformats.org/officeDocument/2006/relationships/image" Target="media/image58.wmf"/><Relationship Id="rId588" Type="http://schemas.openxmlformats.org/officeDocument/2006/relationships/image" Target="media/image265.wmf"/><Relationship Id="rId795" Type="http://schemas.openxmlformats.org/officeDocument/2006/relationships/image" Target="media/image410.wmf"/><Relationship Id="rId809" Type="http://schemas.openxmlformats.org/officeDocument/2006/relationships/image" Target="media/image424.wmf"/><Relationship Id="rId9" Type="http://schemas.openxmlformats.org/officeDocument/2006/relationships/hyperlink" Target="https://login.consultant.ru/link/?req=doc&amp;base=STR&amp;n=23687&amp;dst=100010" TargetMode="External"/><Relationship Id="rId210" Type="http://schemas.openxmlformats.org/officeDocument/2006/relationships/hyperlink" Target="https://login.consultant.ru/link/?req=doc&amp;base=STR&amp;n=26540" TargetMode="External"/><Relationship Id="rId448" Type="http://schemas.openxmlformats.org/officeDocument/2006/relationships/image" Target="media/image149.wmf"/><Relationship Id="rId655" Type="http://schemas.openxmlformats.org/officeDocument/2006/relationships/image" Target="media/image329.wmf"/><Relationship Id="rId862" Type="http://schemas.openxmlformats.org/officeDocument/2006/relationships/image" Target="media/image456.wmf"/><Relationship Id="rId1078" Type="http://schemas.openxmlformats.org/officeDocument/2006/relationships/image" Target="media/image618.wmf"/><Relationship Id="rId294" Type="http://schemas.openxmlformats.org/officeDocument/2006/relationships/image" Target="media/image15.wmf"/><Relationship Id="rId308" Type="http://schemas.openxmlformats.org/officeDocument/2006/relationships/hyperlink" Target="https://login.consultant.ru/link/?req=doc&amp;base=STR&amp;n=29126" TargetMode="External"/><Relationship Id="rId515" Type="http://schemas.openxmlformats.org/officeDocument/2006/relationships/image" Target="media/image198.wmf"/><Relationship Id="rId722" Type="http://schemas.openxmlformats.org/officeDocument/2006/relationships/image" Target="media/image371.wmf"/><Relationship Id="rId89" Type="http://schemas.openxmlformats.org/officeDocument/2006/relationships/hyperlink" Target="https://login.consultant.ru/link/?req=doc&amp;base=STR&amp;n=20667" TargetMode="External"/><Relationship Id="rId154" Type="http://schemas.openxmlformats.org/officeDocument/2006/relationships/hyperlink" Target="https://login.consultant.ru/link/?req=doc&amp;base=STR&amp;n=23439&amp;dst=100014" TargetMode="External"/><Relationship Id="rId361" Type="http://schemas.openxmlformats.org/officeDocument/2006/relationships/image" Target="media/image68.png"/><Relationship Id="rId599" Type="http://schemas.openxmlformats.org/officeDocument/2006/relationships/image" Target="media/image276.wmf"/><Relationship Id="rId1005" Type="http://schemas.openxmlformats.org/officeDocument/2006/relationships/image" Target="media/image558.wmf"/><Relationship Id="rId459" Type="http://schemas.openxmlformats.org/officeDocument/2006/relationships/image" Target="media/image160.wmf"/><Relationship Id="rId666" Type="http://schemas.openxmlformats.org/officeDocument/2006/relationships/image" Target="media/image339.wmf"/><Relationship Id="rId873" Type="http://schemas.openxmlformats.org/officeDocument/2006/relationships/image" Target="media/image467.wmf"/><Relationship Id="rId1089" Type="http://schemas.openxmlformats.org/officeDocument/2006/relationships/hyperlink" Target="https://login.consultant.ru/link/?req=doc&amp;base=STR&amp;n=23687&amp;dst=100222" TargetMode="External"/><Relationship Id="rId16" Type="http://schemas.openxmlformats.org/officeDocument/2006/relationships/hyperlink" Target="https://login.consultant.ru/link/?req=doc&amp;base=STR&amp;n=25232" TargetMode="External"/><Relationship Id="rId221" Type="http://schemas.openxmlformats.org/officeDocument/2006/relationships/hyperlink" Target="https://login.consultant.ru/link/?req=doc&amp;base=STR&amp;n=26118" TargetMode="External"/><Relationship Id="rId319" Type="http://schemas.openxmlformats.org/officeDocument/2006/relationships/image" Target="media/image31.wmf"/><Relationship Id="rId526" Type="http://schemas.openxmlformats.org/officeDocument/2006/relationships/image" Target="media/image209.wmf"/><Relationship Id="rId733" Type="http://schemas.openxmlformats.org/officeDocument/2006/relationships/hyperlink" Target="https://login.consultant.ru/link/?req=doc&amp;base=STR&amp;n=28531&amp;dst=100210" TargetMode="External"/><Relationship Id="rId940" Type="http://schemas.openxmlformats.org/officeDocument/2006/relationships/hyperlink" Target="https://login.consultant.ru/link/?req=doc&amp;base=STR&amp;n=28531&amp;dst=100285" TargetMode="External"/><Relationship Id="rId1016" Type="http://schemas.openxmlformats.org/officeDocument/2006/relationships/hyperlink" Target="https://login.consultant.ru/link/?req=doc&amp;base=STR&amp;n=25002&amp;dst=100134" TargetMode="External"/><Relationship Id="rId165" Type="http://schemas.openxmlformats.org/officeDocument/2006/relationships/hyperlink" Target="https://login.consultant.ru/link/?req=doc&amp;base=STR&amp;n=25002&amp;dst=100044" TargetMode="External"/><Relationship Id="rId372" Type="http://schemas.openxmlformats.org/officeDocument/2006/relationships/image" Target="media/image78.wmf"/><Relationship Id="rId677" Type="http://schemas.openxmlformats.org/officeDocument/2006/relationships/hyperlink" Target="https://login.consultant.ru/link/?req=doc&amp;base=STR&amp;n=30097" TargetMode="External"/><Relationship Id="rId800" Type="http://schemas.openxmlformats.org/officeDocument/2006/relationships/image" Target="media/image415.wmf"/><Relationship Id="rId232" Type="http://schemas.openxmlformats.org/officeDocument/2006/relationships/hyperlink" Target="https://login.consultant.ru/link/?req=doc&amp;base=STR&amp;n=29025" TargetMode="External"/><Relationship Id="rId884" Type="http://schemas.openxmlformats.org/officeDocument/2006/relationships/image" Target="media/image477.wmf"/><Relationship Id="rId27" Type="http://schemas.openxmlformats.org/officeDocument/2006/relationships/hyperlink" Target="https://login.consultant.ru/link/?req=doc&amp;base=STR&amp;n=28531&amp;dst=100040" TargetMode="External"/><Relationship Id="rId537" Type="http://schemas.openxmlformats.org/officeDocument/2006/relationships/image" Target="media/image220.wmf"/><Relationship Id="rId744" Type="http://schemas.openxmlformats.org/officeDocument/2006/relationships/hyperlink" Target="https://login.consultant.ru/link/?req=doc&amp;base=STR&amp;n=25002&amp;dst=100100" TargetMode="External"/><Relationship Id="rId951" Type="http://schemas.openxmlformats.org/officeDocument/2006/relationships/hyperlink" Target="https://login.consultant.ru/link/?req=doc&amp;base=LAW&amp;n=441707&amp;dst=100137" TargetMode="External"/><Relationship Id="rId80" Type="http://schemas.openxmlformats.org/officeDocument/2006/relationships/hyperlink" Target="https://login.consultant.ru/link/?req=doc&amp;base=STR&amp;n=25002&amp;dst=100021" TargetMode="External"/><Relationship Id="rId176" Type="http://schemas.openxmlformats.org/officeDocument/2006/relationships/hyperlink" Target="https://login.consultant.ru/link/?req=doc&amp;base=STR&amp;n=28531&amp;dst=100071" TargetMode="External"/><Relationship Id="rId383" Type="http://schemas.openxmlformats.org/officeDocument/2006/relationships/image" Target="media/image88.wmf"/><Relationship Id="rId590" Type="http://schemas.openxmlformats.org/officeDocument/2006/relationships/image" Target="media/image267.wmf"/><Relationship Id="rId604" Type="http://schemas.openxmlformats.org/officeDocument/2006/relationships/image" Target="media/image281.png"/><Relationship Id="rId811" Type="http://schemas.openxmlformats.org/officeDocument/2006/relationships/image" Target="media/image426.wmf"/><Relationship Id="rId1027" Type="http://schemas.openxmlformats.org/officeDocument/2006/relationships/image" Target="media/image575.wmf"/><Relationship Id="rId243" Type="http://schemas.openxmlformats.org/officeDocument/2006/relationships/hyperlink" Target="https://login.consultant.ru/link/?req=doc&amp;base=STR&amp;n=26358" TargetMode="External"/><Relationship Id="rId450" Type="http://schemas.openxmlformats.org/officeDocument/2006/relationships/image" Target="media/image151.wmf"/><Relationship Id="rId688" Type="http://schemas.openxmlformats.org/officeDocument/2006/relationships/hyperlink" Target="https://login.consultant.ru/link/?req=doc&amp;base=STR&amp;n=23687&amp;dst=100047" TargetMode="External"/><Relationship Id="rId895" Type="http://schemas.openxmlformats.org/officeDocument/2006/relationships/image" Target="media/image488.wmf"/><Relationship Id="rId909" Type="http://schemas.openxmlformats.org/officeDocument/2006/relationships/image" Target="media/image502.wmf"/><Relationship Id="rId1080" Type="http://schemas.openxmlformats.org/officeDocument/2006/relationships/image" Target="media/image620.wmf"/><Relationship Id="rId38" Type="http://schemas.openxmlformats.org/officeDocument/2006/relationships/hyperlink" Target="https://login.consultant.ru/link/?req=doc&amp;base=STR&amp;n=28531&amp;dst=100040" TargetMode="External"/><Relationship Id="rId103" Type="http://schemas.openxmlformats.org/officeDocument/2006/relationships/hyperlink" Target="https://login.consultant.ru/link/?req=doc&amp;base=STR&amp;n=28645" TargetMode="External"/><Relationship Id="rId310" Type="http://schemas.openxmlformats.org/officeDocument/2006/relationships/image" Target="media/image24.wmf"/><Relationship Id="rId548" Type="http://schemas.openxmlformats.org/officeDocument/2006/relationships/image" Target="media/image227.wmf"/><Relationship Id="rId755" Type="http://schemas.openxmlformats.org/officeDocument/2006/relationships/image" Target="media/image378.wmf"/><Relationship Id="rId962" Type="http://schemas.openxmlformats.org/officeDocument/2006/relationships/image" Target="media/image521.wmf"/><Relationship Id="rId91" Type="http://schemas.openxmlformats.org/officeDocument/2006/relationships/hyperlink" Target="https://login.consultant.ru/link/?req=doc&amp;base=STR&amp;n=28768" TargetMode="External"/><Relationship Id="rId187" Type="http://schemas.openxmlformats.org/officeDocument/2006/relationships/hyperlink" Target="https://login.consultant.ru/link/?req=doc&amp;base=STR&amp;n=30251" TargetMode="External"/><Relationship Id="rId394" Type="http://schemas.openxmlformats.org/officeDocument/2006/relationships/image" Target="media/image99.wmf"/><Relationship Id="rId408" Type="http://schemas.openxmlformats.org/officeDocument/2006/relationships/image" Target="media/image113.wmf"/><Relationship Id="rId615" Type="http://schemas.openxmlformats.org/officeDocument/2006/relationships/image" Target="media/image291.wmf"/><Relationship Id="rId822" Type="http://schemas.openxmlformats.org/officeDocument/2006/relationships/image" Target="media/image437.wmf"/><Relationship Id="rId1038" Type="http://schemas.openxmlformats.org/officeDocument/2006/relationships/image" Target="media/image586.wmf"/><Relationship Id="rId254" Type="http://schemas.openxmlformats.org/officeDocument/2006/relationships/hyperlink" Target="https://login.consultant.ru/link/?req=doc&amp;base=STR&amp;n=26144" TargetMode="External"/><Relationship Id="rId699" Type="http://schemas.openxmlformats.org/officeDocument/2006/relationships/image" Target="media/image354.wmf"/><Relationship Id="rId1091" Type="http://schemas.openxmlformats.org/officeDocument/2006/relationships/hyperlink" Target="https://login.consultant.ru/link/?req=doc&amp;base=STR&amp;n=30251" TargetMode="External"/><Relationship Id="rId49" Type="http://schemas.openxmlformats.org/officeDocument/2006/relationships/hyperlink" Target="https://login.consultant.ru/link/?req=doc&amp;base=STR&amp;n=30537" TargetMode="External"/><Relationship Id="rId114" Type="http://schemas.openxmlformats.org/officeDocument/2006/relationships/hyperlink" Target="https://login.consultant.ru/link/?req=doc&amp;base=STR&amp;n=28531&amp;dst=100035" TargetMode="External"/><Relationship Id="rId461" Type="http://schemas.openxmlformats.org/officeDocument/2006/relationships/image" Target="media/image162.wmf"/><Relationship Id="rId559" Type="http://schemas.openxmlformats.org/officeDocument/2006/relationships/image" Target="media/image238.wmf"/><Relationship Id="rId766" Type="http://schemas.openxmlformats.org/officeDocument/2006/relationships/image" Target="media/image389.wmf"/><Relationship Id="rId198" Type="http://schemas.openxmlformats.org/officeDocument/2006/relationships/hyperlink" Target="https://login.consultant.ru/link/?req=doc&amp;base=STR&amp;n=23439&amp;dst=100023" TargetMode="External"/><Relationship Id="rId321" Type="http://schemas.openxmlformats.org/officeDocument/2006/relationships/image" Target="media/image33.wmf"/><Relationship Id="rId419" Type="http://schemas.openxmlformats.org/officeDocument/2006/relationships/image" Target="media/image121.wmf"/><Relationship Id="rId626" Type="http://schemas.openxmlformats.org/officeDocument/2006/relationships/image" Target="media/image302.wmf"/><Relationship Id="rId973" Type="http://schemas.openxmlformats.org/officeDocument/2006/relationships/image" Target="media/image531.wmf"/><Relationship Id="rId1049" Type="http://schemas.openxmlformats.org/officeDocument/2006/relationships/image" Target="media/image595.wmf"/><Relationship Id="rId833" Type="http://schemas.openxmlformats.org/officeDocument/2006/relationships/image" Target="media/image443.wmf"/><Relationship Id="rId265" Type="http://schemas.openxmlformats.org/officeDocument/2006/relationships/hyperlink" Target="https://login.consultant.ru/link/?req=doc&amp;base=STR&amp;n=26535" TargetMode="External"/><Relationship Id="rId472" Type="http://schemas.openxmlformats.org/officeDocument/2006/relationships/image" Target="media/image173.wmf"/><Relationship Id="rId900" Type="http://schemas.openxmlformats.org/officeDocument/2006/relationships/image" Target="media/image493.wmf"/><Relationship Id="rId125" Type="http://schemas.openxmlformats.org/officeDocument/2006/relationships/hyperlink" Target="https://login.consultant.ru/link/?req=doc&amp;base=STR&amp;n=24914" TargetMode="External"/><Relationship Id="rId332" Type="http://schemas.openxmlformats.org/officeDocument/2006/relationships/image" Target="media/image44.wmf"/><Relationship Id="rId777" Type="http://schemas.openxmlformats.org/officeDocument/2006/relationships/image" Target="media/image394.wmf"/><Relationship Id="rId984" Type="http://schemas.openxmlformats.org/officeDocument/2006/relationships/image" Target="media/image542.png"/><Relationship Id="rId637" Type="http://schemas.openxmlformats.org/officeDocument/2006/relationships/image" Target="media/image313.wmf"/><Relationship Id="rId844" Type="http://schemas.openxmlformats.org/officeDocument/2006/relationships/hyperlink" Target="https://login.consultant.ru/link/?req=doc&amp;base=STR&amp;n=23439&amp;dst=100101" TargetMode="External"/><Relationship Id="rId276" Type="http://schemas.openxmlformats.org/officeDocument/2006/relationships/hyperlink" Target="https://login.consultant.ru/link/?req=doc&amp;base=STR&amp;n=28531&amp;dst=100126" TargetMode="External"/><Relationship Id="rId483" Type="http://schemas.openxmlformats.org/officeDocument/2006/relationships/hyperlink" Target="https://login.consultant.ru/link/?req=doc&amp;base=STR&amp;n=28531&amp;dst=100158" TargetMode="External"/><Relationship Id="rId690" Type="http://schemas.openxmlformats.org/officeDocument/2006/relationships/hyperlink" Target="https://login.consultant.ru/link/?req=doc&amp;base=STR&amp;n=23687&amp;dst=100047" TargetMode="External"/><Relationship Id="rId704" Type="http://schemas.openxmlformats.org/officeDocument/2006/relationships/image" Target="media/image358.wmf"/><Relationship Id="rId911" Type="http://schemas.openxmlformats.org/officeDocument/2006/relationships/image" Target="media/image504.wmf"/><Relationship Id="rId40" Type="http://schemas.openxmlformats.org/officeDocument/2006/relationships/hyperlink" Target="https://login.consultant.ru/link/?req=doc&amp;base=STR&amp;n=28531&amp;dst=100040" TargetMode="External"/><Relationship Id="rId136" Type="http://schemas.openxmlformats.org/officeDocument/2006/relationships/hyperlink" Target="https://login.consultant.ru/link/?req=doc&amp;base=STR&amp;n=28531&amp;dst=100040" TargetMode="External"/><Relationship Id="rId343" Type="http://schemas.openxmlformats.org/officeDocument/2006/relationships/hyperlink" Target="https://login.consultant.ru/link/?req=doc&amp;base=STR&amp;n=28531&amp;dst=100136" TargetMode="External"/><Relationship Id="rId550" Type="http://schemas.openxmlformats.org/officeDocument/2006/relationships/image" Target="media/image229.wmf"/><Relationship Id="rId788" Type="http://schemas.openxmlformats.org/officeDocument/2006/relationships/image" Target="media/image403.wmf"/><Relationship Id="rId995" Type="http://schemas.openxmlformats.org/officeDocument/2006/relationships/image" Target="media/image550.wmf"/><Relationship Id="rId203" Type="http://schemas.openxmlformats.org/officeDocument/2006/relationships/hyperlink" Target="https://login.consultant.ru/link/?req=doc&amp;base=STR&amp;n=21034" TargetMode="External"/><Relationship Id="rId648" Type="http://schemas.openxmlformats.org/officeDocument/2006/relationships/image" Target="media/image322.wmf"/><Relationship Id="rId855" Type="http://schemas.openxmlformats.org/officeDocument/2006/relationships/image" Target="media/image450.wmf"/><Relationship Id="rId1040" Type="http://schemas.openxmlformats.org/officeDocument/2006/relationships/hyperlink" Target="https://login.consultant.ru/link/?req=doc&amp;base=STR&amp;n=23439&amp;dst=100114" TargetMode="External"/><Relationship Id="rId287" Type="http://schemas.openxmlformats.org/officeDocument/2006/relationships/image" Target="media/image9.wmf"/><Relationship Id="rId410" Type="http://schemas.openxmlformats.org/officeDocument/2006/relationships/image" Target="media/image114.wmf"/><Relationship Id="rId494" Type="http://schemas.openxmlformats.org/officeDocument/2006/relationships/hyperlink" Target="https://login.consultant.ru/link/?req=doc&amp;base=STR&amp;n=28531&amp;dst=100160" TargetMode="External"/><Relationship Id="rId508" Type="http://schemas.openxmlformats.org/officeDocument/2006/relationships/image" Target="media/image193.wmf"/><Relationship Id="rId715" Type="http://schemas.openxmlformats.org/officeDocument/2006/relationships/hyperlink" Target="https://login.consultant.ru/link/?req=doc&amp;base=STR&amp;n=23439&amp;dst=100080" TargetMode="External"/><Relationship Id="rId922" Type="http://schemas.openxmlformats.org/officeDocument/2006/relationships/hyperlink" Target="https://login.consultant.ru/link/?req=doc&amp;base=STR&amp;n=23439&amp;dst=100104" TargetMode="External"/><Relationship Id="rId147" Type="http://schemas.openxmlformats.org/officeDocument/2006/relationships/hyperlink" Target="https://login.consultant.ru/link/?req=doc&amp;base=LAW&amp;n=441707&amp;dst=100137" TargetMode="External"/><Relationship Id="rId354" Type="http://schemas.openxmlformats.org/officeDocument/2006/relationships/image" Target="media/image62.wmf"/><Relationship Id="rId799" Type="http://schemas.openxmlformats.org/officeDocument/2006/relationships/image" Target="media/image414.wmf"/><Relationship Id="rId51" Type="http://schemas.openxmlformats.org/officeDocument/2006/relationships/hyperlink" Target="https://login.consultant.ru/link/?req=doc&amp;base=STR&amp;n=18751" TargetMode="External"/><Relationship Id="rId561" Type="http://schemas.openxmlformats.org/officeDocument/2006/relationships/image" Target="media/image240.wmf"/><Relationship Id="rId659" Type="http://schemas.openxmlformats.org/officeDocument/2006/relationships/image" Target="media/image333.wmf"/><Relationship Id="rId866" Type="http://schemas.openxmlformats.org/officeDocument/2006/relationships/image" Target="media/image460.wmf"/><Relationship Id="rId214" Type="http://schemas.openxmlformats.org/officeDocument/2006/relationships/hyperlink" Target="https://login.consultant.ru/link/?req=doc&amp;base=STR&amp;n=26857" TargetMode="External"/><Relationship Id="rId298" Type="http://schemas.openxmlformats.org/officeDocument/2006/relationships/image" Target="media/image19.wmf"/><Relationship Id="rId421" Type="http://schemas.openxmlformats.org/officeDocument/2006/relationships/image" Target="media/image123.wmf"/><Relationship Id="rId519" Type="http://schemas.openxmlformats.org/officeDocument/2006/relationships/image" Target="media/image202.wmf"/><Relationship Id="rId1051" Type="http://schemas.openxmlformats.org/officeDocument/2006/relationships/image" Target="media/image597.wmf"/><Relationship Id="rId158" Type="http://schemas.openxmlformats.org/officeDocument/2006/relationships/hyperlink" Target="https://login.consultant.ru/link/?req=doc&amp;base=STR&amp;n=23687&amp;dst=100020" TargetMode="External"/><Relationship Id="rId726" Type="http://schemas.openxmlformats.org/officeDocument/2006/relationships/hyperlink" Target="https://login.consultant.ru/link/?req=doc&amp;base=STR&amp;n=25002&amp;dst=100066" TargetMode="External"/><Relationship Id="rId933" Type="http://schemas.openxmlformats.org/officeDocument/2006/relationships/hyperlink" Target="https://login.consultant.ru/link/?req=doc&amp;base=STR&amp;n=23439&amp;dst=100107" TargetMode="External"/><Relationship Id="rId1009" Type="http://schemas.openxmlformats.org/officeDocument/2006/relationships/image" Target="media/image561.wmf"/><Relationship Id="rId62" Type="http://schemas.openxmlformats.org/officeDocument/2006/relationships/hyperlink" Target="https://login.consultant.ru/link/?req=doc&amp;base=STR&amp;n=30251" TargetMode="External"/><Relationship Id="rId365" Type="http://schemas.openxmlformats.org/officeDocument/2006/relationships/image" Target="media/image72.wmf"/><Relationship Id="rId572" Type="http://schemas.openxmlformats.org/officeDocument/2006/relationships/image" Target="media/image250.wmf"/><Relationship Id="rId225" Type="http://schemas.openxmlformats.org/officeDocument/2006/relationships/hyperlink" Target="https://login.consultant.ru/link/?req=doc&amp;base=STR&amp;n=26535" TargetMode="External"/><Relationship Id="rId432" Type="http://schemas.openxmlformats.org/officeDocument/2006/relationships/image" Target="media/image134.wmf"/><Relationship Id="rId877" Type="http://schemas.openxmlformats.org/officeDocument/2006/relationships/image" Target="media/image471.png"/><Relationship Id="rId1062" Type="http://schemas.openxmlformats.org/officeDocument/2006/relationships/image" Target="media/image605.png"/><Relationship Id="rId737" Type="http://schemas.openxmlformats.org/officeDocument/2006/relationships/hyperlink" Target="https://login.consultant.ru/link/?req=doc&amp;base=STR&amp;n=27111" TargetMode="External"/><Relationship Id="rId944" Type="http://schemas.openxmlformats.org/officeDocument/2006/relationships/hyperlink" Target="https://login.consultant.ru/link/?req=doc&amp;base=STR&amp;n=16369" TargetMode="External"/><Relationship Id="rId73" Type="http://schemas.openxmlformats.org/officeDocument/2006/relationships/hyperlink" Target="https://login.consultant.ru/link/?req=doc&amp;base=STR&amp;n=27078" TargetMode="External"/><Relationship Id="rId169" Type="http://schemas.openxmlformats.org/officeDocument/2006/relationships/hyperlink" Target="https://login.consultant.ru/link/?req=doc&amp;base=STR&amp;n=25002&amp;dst=100046" TargetMode="External"/><Relationship Id="rId376" Type="http://schemas.openxmlformats.org/officeDocument/2006/relationships/image" Target="media/image81.wmf"/><Relationship Id="rId583" Type="http://schemas.openxmlformats.org/officeDocument/2006/relationships/image" Target="media/image260.wmf"/><Relationship Id="rId790" Type="http://schemas.openxmlformats.org/officeDocument/2006/relationships/image" Target="media/image405.wmf"/><Relationship Id="rId804" Type="http://schemas.openxmlformats.org/officeDocument/2006/relationships/image" Target="media/image419.wmf"/><Relationship Id="rId4" Type="http://schemas.openxmlformats.org/officeDocument/2006/relationships/hyperlink" Target="https://www.consultant.ru" TargetMode="External"/><Relationship Id="rId236" Type="http://schemas.openxmlformats.org/officeDocument/2006/relationships/hyperlink" Target="https://login.consultant.ru/link/?req=doc&amp;base=STR&amp;n=26144" TargetMode="External"/><Relationship Id="rId443" Type="http://schemas.openxmlformats.org/officeDocument/2006/relationships/image" Target="media/image144.wmf"/><Relationship Id="rId650" Type="http://schemas.openxmlformats.org/officeDocument/2006/relationships/image" Target="media/image324.wmf"/><Relationship Id="rId888" Type="http://schemas.openxmlformats.org/officeDocument/2006/relationships/image" Target="media/image481.wmf"/><Relationship Id="rId1073" Type="http://schemas.openxmlformats.org/officeDocument/2006/relationships/image" Target="media/image613.wmf"/><Relationship Id="rId303" Type="http://schemas.openxmlformats.org/officeDocument/2006/relationships/hyperlink" Target="https://login.consultant.ru/link/?req=doc&amp;base=STR&amp;n=28531&amp;dst=100134" TargetMode="External"/><Relationship Id="rId748" Type="http://schemas.openxmlformats.org/officeDocument/2006/relationships/hyperlink" Target="https://login.consultant.ru/link/?req=doc&amp;base=STR&amp;n=29123" TargetMode="External"/><Relationship Id="rId955" Type="http://schemas.openxmlformats.org/officeDocument/2006/relationships/hyperlink" Target="https://login.consultant.ru/link/?req=doc&amp;base=STR&amp;n=28531&amp;dst=100291" TargetMode="External"/><Relationship Id="rId84" Type="http://schemas.openxmlformats.org/officeDocument/2006/relationships/hyperlink" Target="https://login.consultant.ru/link/?req=doc&amp;base=STR&amp;n=23753" TargetMode="External"/><Relationship Id="rId387" Type="http://schemas.openxmlformats.org/officeDocument/2006/relationships/image" Target="media/image92.wmf"/><Relationship Id="rId510" Type="http://schemas.openxmlformats.org/officeDocument/2006/relationships/hyperlink" Target="https://login.consultant.ru/link/?req=doc&amp;base=STR&amp;n=23753" TargetMode="External"/><Relationship Id="rId594" Type="http://schemas.openxmlformats.org/officeDocument/2006/relationships/image" Target="media/image271.png"/><Relationship Id="rId608" Type="http://schemas.openxmlformats.org/officeDocument/2006/relationships/image" Target="media/image285.wmf"/><Relationship Id="rId815" Type="http://schemas.openxmlformats.org/officeDocument/2006/relationships/image" Target="media/image430.wmf"/><Relationship Id="rId247" Type="http://schemas.openxmlformats.org/officeDocument/2006/relationships/hyperlink" Target="https://login.consultant.ru/link/?req=doc&amp;base=STR&amp;n=26535" TargetMode="External"/><Relationship Id="rId899" Type="http://schemas.openxmlformats.org/officeDocument/2006/relationships/image" Target="media/image492.wmf"/><Relationship Id="rId1000" Type="http://schemas.openxmlformats.org/officeDocument/2006/relationships/image" Target="media/image553.wmf"/><Relationship Id="rId1084" Type="http://schemas.openxmlformats.org/officeDocument/2006/relationships/image" Target="media/image624.wmf"/><Relationship Id="rId107" Type="http://schemas.openxmlformats.org/officeDocument/2006/relationships/hyperlink" Target="https://login.consultant.ru/link/?req=doc&amp;base=STR&amp;n=25002&amp;dst=100031" TargetMode="External"/><Relationship Id="rId454" Type="http://schemas.openxmlformats.org/officeDocument/2006/relationships/image" Target="media/image155.wmf"/><Relationship Id="rId661" Type="http://schemas.openxmlformats.org/officeDocument/2006/relationships/image" Target="media/image334.png"/><Relationship Id="rId759" Type="http://schemas.openxmlformats.org/officeDocument/2006/relationships/image" Target="media/image382.wmf"/><Relationship Id="rId966" Type="http://schemas.openxmlformats.org/officeDocument/2006/relationships/image" Target="media/image525.wmf"/><Relationship Id="rId11" Type="http://schemas.openxmlformats.org/officeDocument/2006/relationships/hyperlink" Target="https://login.consultant.ru/link/?req=doc&amp;base=STR&amp;n=25002&amp;dst=100012" TargetMode="External"/><Relationship Id="rId314" Type="http://schemas.openxmlformats.org/officeDocument/2006/relationships/image" Target="media/image28.wmf"/><Relationship Id="rId398" Type="http://schemas.openxmlformats.org/officeDocument/2006/relationships/image" Target="media/image103.wmf"/><Relationship Id="rId521" Type="http://schemas.openxmlformats.org/officeDocument/2006/relationships/image" Target="media/image204.wmf"/><Relationship Id="rId619" Type="http://schemas.openxmlformats.org/officeDocument/2006/relationships/image" Target="media/image295.wmf"/><Relationship Id="rId95" Type="http://schemas.openxmlformats.org/officeDocument/2006/relationships/hyperlink" Target="https://login.consultant.ru/link/?req=doc&amp;base=STR&amp;n=25002&amp;dst=100027" TargetMode="External"/><Relationship Id="rId160" Type="http://schemas.openxmlformats.org/officeDocument/2006/relationships/hyperlink" Target="https://login.consultant.ru/link/?req=doc&amp;base=STR&amp;n=30251" TargetMode="External"/><Relationship Id="rId826" Type="http://schemas.openxmlformats.org/officeDocument/2006/relationships/hyperlink" Target="https://login.consultant.ru/link/?req=doc&amp;base=STR&amp;n=28531&amp;dst=100255" TargetMode="External"/><Relationship Id="rId1011" Type="http://schemas.openxmlformats.org/officeDocument/2006/relationships/hyperlink" Target="https://login.consultant.ru/link/?req=doc&amp;base=STR&amp;n=25002&amp;dst=100130" TargetMode="External"/><Relationship Id="rId258" Type="http://schemas.openxmlformats.org/officeDocument/2006/relationships/hyperlink" Target="https://login.consultant.ru/link/?req=doc&amp;base=STR&amp;n=23973" TargetMode="External"/><Relationship Id="rId465" Type="http://schemas.openxmlformats.org/officeDocument/2006/relationships/image" Target="media/image166.wmf"/><Relationship Id="rId672" Type="http://schemas.openxmlformats.org/officeDocument/2006/relationships/hyperlink" Target="https://login.consultant.ru/link/?req=doc&amp;base=STR&amp;n=23439&amp;dst=100065" TargetMode="External"/><Relationship Id="rId1095" Type="http://schemas.openxmlformats.org/officeDocument/2006/relationships/hyperlink" Target="https://login.consultant.ru/link/?req=doc&amp;base=LAW&amp;n=450837" TargetMode="External"/><Relationship Id="rId22" Type="http://schemas.openxmlformats.org/officeDocument/2006/relationships/hyperlink" Target="https://login.consultant.ru/link/?req=doc&amp;base=STR&amp;n=19425" TargetMode="External"/><Relationship Id="rId118" Type="http://schemas.openxmlformats.org/officeDocument/2006/relationships/hyperlink" Target="https://login.consultant.ru/link/?req=doc&amp;base=STR&amp;n=28515" TargetMode="External"/><Relationship Id="rId325" Type="http://schemas.openxmlformats.org/officeDocument/2006/relationships/image" Target="media/image37.wmf"/><Relationship Id="rId532" Type="http://schemas.openxmlformats.org/officeDocument/2006/relationships/image" Target="media/image215.wmf"/><Relationship Id="rId977" Type="http://schemas.openxmlformats.org/officeDocument/2006/relationships/image" Target="media/image535.wmf"/><Relationship Id="rId171" Type="http://schemas.openxmlformats.org/officeDocument/2006/relationships/hyperlink" Target="https://login.consultant.ru/link/?req=doc&amp;base=STR&amp;n=28531&amp;dst=100069" TargetMode="External"/><Relationship Id="rId837" Type="http://schemas.openxmlformats.org/officeDocument/2006/relationships/hyperlink" Target="https://login.consultant.ru/link/?req=doc&amp;base=STR&amp;n=29123" TargetMode="External"/><Relationship Id="rId1022" Type="http://schemas.openxmlformats.org/officeDocument/2006/relationships/image" Target="media/image570.wmf"/><Relationship Id="rId269" Type="http://schemas.openxmlformats.org/officeDocument/2006/relationships/image" Target="media/image6.wmf"/><Relationship Id="rId476" Type="http://schemas.openxmlformats.org/officeDocument/2006/relationships/image" Target="media/image177.wmf"/><Relationship Id="rId683" Type="http://schemas.openxmlformats.org/officeDocument/2006/relationships/image" Target="media/image346.wmf"/><Relationship Id="rId890" Type="http://schemas.openxmlformats.org/officeDocument/2006/relationships/image" Target="media/image483.wmf"/><Relationship Id="rId904" Type="http://schemas.openxmlformats.org/officeDocument/2006/relationships/image" Target="media/image497.png"/><Relationship Id="rId33" Type="http://schemas.openxmlformats.org/officeDocument/2006/relationships/hyperlink" Target="https://login.consultant.ru/link/?req=doc&amp;base=STR&amp;n=1031" TargetMode="External"/><Relationship Id="rId129" Type="http://schemas.openxmlformats.org/officeDocument/2006/relationships/hyperlink" Target="https://login.consultant.ru/link/?req=doc&amp;base=STR&amp;n=25002&amp;dst=100038" TargetMode="External"/><Relationship Id="rId336" Type="http://schemas.openxmlformats.org/officeDocument/2006/relationships/image" Target="media/image48.wmf"/><Relationship Id="rId543" Type="http://schemas.openxmlformats.org/officeDocument/2006/relationships/hyperlink" Target="https://login.consultant.ru/link/?req=doc&amp;base=STR&amp;n=23439&amp;dst=100055" TargetMode="External"/><Relationship Id="rId988" Type="http://schemas.openxmlformats.org/officeDocument/2006/relationships/image" Target="media/image545.wmf"/><Relationship Id="rId182" Type="http://schemas.openxmlformats.org/officeDocument/2006/relationships/hyperlink" Target="https://login.consultant.ru/link/?req=doc&amp;base=STR&amp;n=28515" TargetMode="External"/><Relationship Id="rId403" Type="http://schemas.openxmlformats.org/officeDocument/2006/relationships/image" Target="media/image108.wmf"/><Relationship Id="rId750" Type="http://schemas.openxmlformats.org/officeDocument/2006/relationships/image" Target="media/image374.wmf"/><Relationship Id="rId848" Type="http://schemas.openxmlformats.org/officeDocument/2006/relationships/hyperlink" Target="https://login.consultant.ru/link/?req=doc&amp;base=STR&amp;n=28531&amp;dst=100264" TargetMode="External"/><Relationship Id="rId1033" Type="http://schemas.openxmlformats.org/officeDocument/2006/relationships/image" Target="media/image581.wmf"/><Relationship Id="rId487" Type="http://schemas.openxmlformats.org/officeDocument/2006/relationships/hyperlink" Target="https://login.consultant.ru/link/?req=doc&amp;base=STR&amp;n=23687&amp;dst=100039" TargetMode="External"/><Relationship Id="rId610" Type="http://schemas.openxmlformats.org/officeDocument/2006/relationships/image" Target="media/image287.wmf"/><Relationship Id="rId694" Type="http://schemas.openxmlformats.org/officeDocument/2006/relationships/hyperlink" Target="https://login.consultant.ru/link/?req=doc&amp;base=STR&amp;n=28768" TargetMode="External"/><Relationship Id="rId708" Type="http://schemas.openxmlformats.org/officeDocument/2006/relationships/image" Target="media/image361.wmf"/><Relationship Id="rId915" Type="http://schemas.openxmlformats.org/officeDocument/2006/relationships/image" Target="media/image508.wmf"/><Relationship Id="rId347" Type="http://schemas.openxmlformats.org/officeDocument/2006/relationships/image" Target="media/image55.wmf"/><Relationship Id="rId999" Type="http://schemas.openxmlformats.org/officeDocument/2006/relationships/image" Target="media/image552.wmf"/><Relationship Id="rId1100" Type="http://schemas.openxmlformats.org/officeDocument/2006/relationships/theme" Target="theme/theme1.xml"/><Relationship Id="rId44" Type="http://schemas.openxmlformats.org/officeDocument/2006/relationships/hyperlink" Target="https://login.consultant.ru/link/?req=doc&amp;base=STR&amp;n=28531&amp;dst=100040" TargetMode="External"/><Relationship Id="rId554" Type="http://schemas.openxmlformats.org/officeDocument/2006/relationships/image" Target="media/image233.wmf"/><Relationship Id="rId761" Type="http://schemas.openxmlformats.org/officeDocument/2006/relationships/image" Target="media/image384.wmf"/><Relationship Id="rId859" Type="http://schemas.openxmlformats.org/officeDocument/2006/relationships/image" Target="media/image454.wmf"/><Relationship Id="rId193" Type="http://schemas.openxmlformats.org/officeDocument/2006/relationships/hyperlink" Target="https://login.consultant.ru/link/?req=doc&amp;base=STR&amp;n=23439&amp;dst=100021" TargetMode="External"/><Relationship Id="rId207" Type="http://schemas.openxmlformats.org/officeDocument/2006/relationships/hyperlink" Target="https://login.consultant.ru/link/?req=doc&amp;base=STR&amp;n=26539" TargetMode="External"/><Relationship Id="rId414" Type="http://schemas.openxmlformats.org/officeDocument/2006/relationships/hyperlink" Target="https://login.consultant.ru/link/?req=doc&amp;base=STR&amp;n=28531&amp;dst=100154" TargetMode="External"/><Relationship Id="rId498" Type="http://schemas.openxmlformats.org/officeDocument/2006/relationships/hyperlink" Target="https://login.consultant.ru/link/?req=doc&amp;base=STR&amp;n=28531&amp;dst=100168" TargetMode="External"/><Relationship Id="rId621" Type="http://schemas.openxmlformats.org/officeDocument/2006/relationships/image" Target="media/image297.png"/><Relationship Id="rId1044" Type="http://schemas.openxmlformats.org/officeDocument/2006/relationships/image" Target="media/image590.wmf"/><Relationship Id="rId260" Type="http://schemas.openxmlformats.org/officeDocument/2006/relationships/hyperlink" Target="https://login.consultant.ru/link/?req=doc&amp;base=STR&amp;n=26540" TargetMode="External"/><Relationship Id="rId719" Type="http://schemas.openxmlformats.org/officeDocument/2006/relationships/hyperlink" Target="https://login.consultant.ru/link/?req=doc&amp;base=STR&amp;n=30251" TargetMode="External"/><Relationship Id="rId926" Type="http://schemas.openxmlformats.org/officeDocument/2006/relationships/image" Target="media/image512.wmf"/><Relationship Id="rId55" Type="http://schemas.openxmlformats.org/officeDocument/2006/relationships/hyperlink" Target="https://login.consultant.ru/link/?req=doc&amp;base=STR&amp;n=28531&amp;dst=100020" TargetMode="External"/><Relationship Id="rId120" Type="http://schemas.openxmlformats.org/officeDocument/2006/relationships/hyperlink" Target="https://login.consultant.ru/link/?req=doc&amp;base=STR&amp;n=23891" TargetMode="External"/><Relationship Id="rId358" Type="http://schemas.openxmlformats.org/officeDocument/2006/relationships/image" Target="media/image66.wmf"/><Relationship Id="rId565" Type="http://schemas.openxmlformats.org/officeDocument/2006/relationships/image" Target="media/image243.wmf"/><Relationship Id="rId772" Type="http://schemas.openxmlformats.org/officeDocument/2006/relationships/hyperlink" Target="https://login.consultant.ru/link/?req=doc&amp;base=STR&amp;n=28531&amp;dst=100252" TargetMode="External"/><Relationship Id="rId218" Type="http://schemas.openxmlformats.org/officeDocument/2006/relationships/hyperlink" Target="https://login.consultant.ru/link/?req=doc&amp;base=STR&amp;n=26119" TargetMode="External"/><Relationship Id="rId425" Type="http://schemas.openxmlformats.org/officeDocument/2006/relationships/image" Target="media/image127.wmf"/><Relationship Id="rId632" Type="http://schemas.openxmlformats.org/officeDocument/2006/relationships/image" Target="media/image308.wmf"/><Relationship Id="rId1055" Type="http://schemas.openxmlformats.org/officeDocument/2006/relationships/image" Target="media/image599.wmf"/><Relationship Id="rId271" Type="http://schemas.openxmlformats.org/officeDocument/2006/relationships/image" Target="media/image7.wmf"/><Relationship Id="rId937" Type="http://schemas.openxmlformats.org/officeDocument/2006/relationships/hyperlink" Target="https://login.consultant.ru/link/?req=doc&amp;base=STR&amp;n=28744" TargetMode="External"/><Relationship Id="rId66" Type="http://schemas.openxmlformats.org/officeDocument/2006/relationships/hyperlink" Target="https://login.consultant.ru/link/?req=doc&amp;base=STR&amp;n=28531&amp;dst=100023" TargetMode="External"/><Relationship Id="rId131" Type="http://schemas.openxmlformats.org/officeDocument/2006/relationships/hyperlink" Target="https://login.consultant.ru/link/?req=doc&amp;base=STR&amp;n=25002&amp;dst=100039" TargetMode="External"/><Relationship Id="rId369" Type="http://schemas.openxmlformats.org/officeDocument/2006/relationships/image" Target="media/image75.wmf"/><Relationship Id="rId576" Type="http://schemas.openxmlformats.org/officeDocument/2006/relationships/image" Target="media/image254.wmf"/><Relationship Id="rId783" Type="http://schemas.openxmlformats.org/officeDocument/2006/relationships/image" Target="media/image398.wmf"/><Relationship Id="rId990" Type="http://schemas.openxmlformats.org/officeDocument/2006/relationships/image" Target="media/image547.wmf"/><Relationship Id="rId229" Type="http://schemas.openxmlformats.org/officeDocument/2006/relationships/hyperlink" Target="https://login.consultant.ru/link/?req=doc&amp;base=STR&amp;n=29025" TargetMode="External"/><Relationship Id="rId436" Type="http://schemas.openxmlformats.org/officeDocument/2006/relationships/image" Target="media/image138.wmf"/><Relationship Id="rId643" Type="http://schemas.openxmlformats.org/officeDocument/2006/relationships/image" Target="media/image317.wmf"/><Relationship Id="rId1066" Type="http://schemas.openxmlformats.org/officeDocument/2006/relationships/image" Target="media/image609.png"/><Relationship Id="rId850" Type="http://schemas.openxmlformats.org/officeDocument/2006/relationships/hyperlink" Target="https://login.consultant.ru/link/?req=doc&amp;base=STR&amp;n=28531&amp;dst=100264" TargetMode="External"/><Relationship Id="rId948" Type="http://schemas.openxmlformats.org/officeDocument/2006/relationships/hyperlink" Target="https://login.consultant.ru/link/?req=doc&amp;base=STR&amp;n=23687&amp;dst=100062" TargetMode="External"/><Relationship Id="rId77" Type="http://schemas.openxmlformats.org/officeDocument/2006/relationships/hyperlink" Target="https://login.consultant.ru/link/?req=doc&amp;base=STR&amp;n=25002&amp;dst=100020" TargetMode="External"/><Relationship Id="rId282" Type="http://schemas.openxmlformats.org/officeDocument/2006/relationships/hyperlink" Target="https://login.consultant.ru/link/?req=doc&amp;base=STR&amp;n=23973" TargetMode="External"/><Relationship Id="rId503" Type="http://schemas.openxmlformats.org/officeDocument/2006/relationships/image" Target="media/image188.png"/><Relationship Id="rId587" Type="http://schemas.openxmlformats.org/officeDocument/2006/relationships/image" Target="media/image264.wmf"/><Relationship Id="rId710" Type="http://schemas.openxmlformats.org/officeDocument/2006/relationships/image" Target="media/image363.wmf"/><Relationship Id="rId808" Type="http://schemas.openxmlformats.org/officeDocument/2006/relationships/image" Target="media/image423.wmf"/><Relationship Id="rId8" Type="http://schemas.openxmlformats.org/officeDocument/2006/relationships/hyperlink" Target="https://login.consultant.ru/link/?req=doc&amp;base=LAW&amp;n=316730&amp;dst=100005" TargetMode="External"/><Relationship Id="rId142" Type="http://schemas.openxmlformats.org/officeDocument/2006/relationships/hyperlink" Target="https://login.consultant.ru/link/?req=doc&amp;base=STR&amp;n=28531&amp;dst=100040" TargetMode="External"/><Relationship Id="rId447" Type="http://schemas.openxmlformats.org/officeDocument/2006/relationships/image" Target="media/image148.wmf"/><Relationship Id="rId794" Type="http://schemas.openxmlformats.org/officeDocument/2006/relationships/image" Target="media/image409.wmf"/><Relationship Id="rId1077" Type="http://schemas.openxmlformats.org/officeDocument/2006/relationships/image" Target="media/image617.wmf"/><Relationship Id="rId654" Type="http://schemas.openxmlformats.org/officeDocument/2006/relationships/image" Target="media/image328.wmf"/><Relationship Id="rId861" Type="http://schemas.openxmlformats.org/officeDocument/2006/relationships/hyperlink" Target="https://login.consultant.ru/link/?req=doc&amp;base=STR&amp;n=28531&amp;dst=100269" TargetMode="External"/><Relationship Id="rId959" Type="http://schemas.openxmlformats.org/officeDocument/2006/relationships/image" Target="media/image519.wmf"/><Relationship Id="rId293" Type="http://schemas.openxmlformats.org/officeDocument/2006/relationships/image" Target="media/image14.wmf"/><Relationship Id="rId307" Type="http://schemas.openxmlformats.org/officeDocument/2006/relationships/hyperlink" Target="https://login.consultant.ru/link/?req=doc&amp;base=STR&amp;n=30822" TargetMode="External"/><Relationship Id="rId514" Type="http://schemas.openxmlformats.org/officeDocument/2006/relationships/image" Target="media/image197.wmf"/><Relationship Id="rId721" Type="http://schemas.openxmlformats.org/officeDocument/2006/relationships/image" Target="media/image370.wmf"/><Relationship Id="rId88" Type="http://schemas.openxmlformats.org/officeDocument/2006/relationships/hyperlink" Target="https://login.consultant.ru/link/?req=doc&amp;base=STR&amp;n=28531&amp;dst=100027" TargetMode="External"/><Relationship Id="rId153" Type="http://schemas.openxmlformats.org/officeDocument/2006/relationships/hyperlink" Target="https://login.consultant.ru/link/?req=doc&amp;base=STR&amp;n=23687&amp;dst=100013" TargetMode="External"/><Relationship Id="rId360" Type="http://schemas.openxmlformats.org/officeDocument/2006/relationships/hyperlink" Target="https://login.consultant.ru/link/?req=doc&amp;base=STR&amp;n=23753" TargetMode="External"/><Relationship Id="rId598" Type="http://schemas.openxmlformats.org/officeDocument/2006/relationships/image" Target="media/image275.wmf"/><Relationship Id="rId819" Type="http://schemas.openxmlformats.org/officeDocument/2006/relationships/image" Target="media/image434.wmf"/><Relationship Id="rId1004" Type="http://schemas.openxmlformats.org/officeDocument/2006/relationships/image" Target="media/image557.wmf"/><Relationship Id="rId220" Type="http://schemas.openxmlformats.org/officeDocument/2006/relationships/hyperlink" Target="https://login.consultant.ru/link/?req=doc&amp;base=OTN&amp;n=2840" TargetMode="External"/><Relationship Id="rId458" Type="http://schemas.openxmlformats.org/officeDocument/2006/relationships/image" Target="media/image159.wmf"/><Relationship Id="rId665" Type="http://schemas.openxmlformats.org/officeDocument/2006/relationships/image" Target="media/image338.wmf"/><Relationship Id="rId872" Type="http://schemas.openxmlformats.org/officeDocument/2006/relationships/image" Target="media/image466.wmf"/><Relationship Id="rId1088" Type="http://schemas.openxmlformats.org/officeDocument/2006/relationships/image" Target="media/image628.wmf"/><Relationship Id="rId15" Type="http://schemas.openxmlformats.org/officeDocument/2006/relationships/hyperlink" Target="https://login.consultant.ru/link/?req=doc&amp;base=LAW&amp;n=220618&amp;dst=100005" TargetMode="External"/><Relationship Id="rId318" Type="http://schemas.openxmlformats.org/officeDocument/2006/relationships/image" Target="media/image30.wmf"/><Relationship Id="rId525" Type="http://schemas.openxmlformats.org/officeDocument/2006/relationships/image" Target="media/image208.wmf"/><Relationship Id="rId732" Type="http://schemas.openxmlformats.org/officeDocument/2006/relationships/hyperlink" Target="https://login.consultant.ru/link/?req=doc&amp;base=STR&amp;n=28531&amp;dst=100206" TargetMode="External"/><Relationship Id="rId99" Type="http://schemas.openxmlformats.org/officeDocument/2006/relationships/hyperlink" Target="https://login.consultant.ru/link/?req=doc&amp;base=STR&amp;n=28531&amp;dst=100030" TargetMode="External"/><Relationship Id="rId164" Type="http://schemas.openxmlformats.org/officeDocument/2006/relationships/hyperlink" Target="https://login.consultant.ru/link/?req=doc&amp;base=STR&amp;n=27119" TargetMode="External"/><Relationship Id="rId371" Type="http://schemas.openxmlformats.org/officeDocument/2006/relationships/image" Target="media/image77.wmf"/><Relationship Id="rId1015" Type="http://schemas.openxmlformats.org/officeDocument/2006/relationships/hyperlink" Target="https://login.consultant.ru/link/?req=doc&amp;base=STR&amp;n=25002&amp;dst=100132" TargetMode="External"/><Relationship Id="rId469" Type="http://schemas.openxmlformats.org/officeDocument/2006/relationships/image" Target="media/image170.wmf"/><Relationship Id="rId676" Type="http://schemas.openxmlformats.org/officeDocument/2006/relationships/hyperlink" Target="https://login.consultant.ru/link/?req=doc&amp;base=STR&amp;n=28531&amp;dst=100172" TargetMode="External"/><Relationship Id="rId883" Type="http://schemas.openxmlformats.org/officeDocument/2006/relationships/image" Target="media/image476.wmf"/><Relationship Id="rId1099" Type="http://schemas.openxmlformats.org/officeDocument/2006/relationships/fontTable" Target="fontTable.xml"/><Relationship Id="rId26" Type="http://schemas.openxmlformats.org/officeDocument/2006/relationships/hyperlink" Target="https://login.consultant.ru/link/?req=doc&amp;base=STR&amp;n=26536" TargetMode="External"/><Relationship Id="rId231" Type="http://schemas.openxmlformats.org/officeDocument/2006/relationships/hyperlink" Target="https://login.consultant.ru/link/?req=doc&amp;base=STR&amp;n=29025" TargetMode="External"/><Relationship Id="rId329" Type="http://schemas.openxmlformats.org/officeDocument/2006/relationships/image" Target="media/image41.wmf"/><Relationship Id="rId536" Type="http://schemas.openxmlformats.org/officeDocument/2006/relationships/image" Target="media/image219.wmf"/><Relationship Id="rId175" Type="http://schemas.openxmlformats.org/officeDocument/2006/relationships/hyperlink" Target="https://login.consultant.ru/link/?req=doc&amp;base=STR&amp;n=30027" TargetMode="External"/><Relationship Id="rId743" Type="http://schemas.openxmlformats.org/officeDocument/2006/relationships/hyperlink" Target="https://login.consultant.ru/link/?req=doc&amp;base=STR&amp;n=28531&amp;dst=100249" TargetMode="External"/><Relationship Id="rId950" Type="http://schemas.openxmlformats.org/officeDocument/2006/relationships/hyperlink" Target="https://login.consultant.ru/link/?req=doc&amp;base=LAW&amp;n=409735&amp;dst=100041" TargetMode="External"/><Relationship Id="rId1026" Type="http://schemas.openxmlformats.org/officeDocument/2006/relationships/image" Target="media/image574.wmf"/><Relationship Id="rId382" Type="http://schemas.openxmlformats.org/officeDocument/2006/relationships/image" Target="media/image87.wmf"/><Relationship Id="rId603" Type="http://schemas.openxmlformats.org/officeDocument/2006/relationships/image" Target="media/image280.wmf"/><Relationship Id="rId687" Type="http://schemas.openxmlformats.org/officeDocument/2006/relationships/hyperlink" Target="https://login.consultant.ru/link/?req=doc&amp;base=STR&amp;n=23439&amp;dst=100076" TargetMode="External"/><Relationship Id="rId810" Type="http://schemas.openxmlformats.org/officeDocument/2006/relationships/image" Target="media/image425.wmf"/><Relationship Id="rId908" Type="http://schemas.openxmlformats.org/officeDocument/2006/relationships/image" Target="media/image501.wmf"/><Relationship Id="rId242" Type="http://schemas.openxmlformats.org/officeDocument/2006/relationships/hyperlink" Target="https://login.consultant.ru/link/?req=doc&amp;base=STR&amp;n=26145" TargetMode="External"/><Relationship Id="rId894" Type="http://schemas.openxmlformats.org/officeDocument/2006/relationships/image" Target="media/image487.wmf"/><Relationship Id="rId37" Type="http://schemas.openxmlformats.org/officeDocument/2006/relationships/hyperlink" Target="https://login.consultant.ru/link/?req=doc&amp;base=STR&amp;n=26144" TargetMode="External"/><Relationship Id="rId102" Type="http://schemas.openxmlformats.org/officeDocument/2006/relationships/hyperlink" Target="https://login.consultant.ru/link/?req=doc&amp;base=STR&amp;n=28531&amp;dst=100031" TargetMode="External"/><Relationship Id="rId547" Type="http://schemas.openxmlformats.org/officeDocument/2006/relationships/image" Target="media/image226.wmf"/><Relationship Id="rId754" Type="http://schemas.openxmlformats.org/officeDocument/2006/relationships/image" Target="media/image377.png"/><Relationship Id="rId961" Type="http://schemas.openxmlformats.org/officeDocument/2006/relationships/hyperlink" Target="https://login.consultant.ru/link/?req=doc&amp;base=STR&amp;n=25002&amp;dst=100116" TargetMode="External"/><Relationship Id="rId90" Type="http://schemas.openxmlformats.org/officeDocument/2006/relationships/hyperlink" Target="https://login.consultant.ru/link/?req=doc&amp;base=STR&amp;n=25002&amp;dst=100025" TargetMode="External"/><Relationship Id="rId186" Type="http://schemas.openxmlformats.org/officeDocument/2006/relationships/hyperlink" Target="https://login.consultant.ru/link/?req=doc&amp;base=STR&amp;n=30251" TargetMode="External"/><Relationship Id="rId393" Type="http://schemas.openxmlformats.org/officeDocument/2006/relationships/image" Target="media/image98.wmf"/><Relationship Id="rId407" Type="http://schemas.openxmlformats.org/officeDocument/2006/relationships/image" Target="media/image112.wmf"/><Relationship Id="rId614" Type="http://schemas.openxmlformats.org/officeDocument/2006/relationships/image" Target="media/image290.wmf"/><Relationship Id="rId821" Type="http://schemas.openxmlformats.org/officeDocument/2006/relationships/image" Target="media/image436.wmf"/><Relationship Id="rId1037" Type="http://schemas.openxmlformats.org/officeDocument/2006/relationships/image" Target="media/image585.wmf"/><Relationship Id="rId253" Type="http://schemas.openxmlformats.org/officeDocument/2006/relationships/hyperlink" Target="https://login.consultant.ru/link/?req=doc&amp;base=STR&amp;n=26540" TargetMode="External"/><Relationship Id="rId460" Type="http://schemas.openxmlformats.org/officeDocument/2006/relationships/image" Target="media/image161.wmf"/><Relationship Id="rId698" Type="http://schemas.openxmlformats.org/officeDocument/2006/relationships/image" Target="media/image353.wmf"/><Relationship Id="rId919" Type="http://schemas.openxmlformats.org/officeDocument/2006/relationships/hyperlink" Target="https://login.consultant.ru/link/?req=doc&amp;base=STR&amp;n=23753&amp;dst=101136" TargetMode="External"/><Relationship Id="rId1090" Type="http://schemas.openxmlformats.org/officeDocument/2006/relationships/hyperlink" Target="https://login.consultant.ru/link/?req=doc&amp;base=STR&amp;n=25002&amp;dst=100137" TargetMode="External"/><Relationship Id="rId48" Type="http://schemas.openxmlformats.org/officeDocument/2006/relationships/hyperlink" Target="https://login.consultant.ru/link/?req=doc&amp;base=STR&amp;n=28531&amp;dst=100040" TargetMode="External"/><Relationship Id="rId113" Type="http://schemas.openxmlformats.org/officeDocument/2006/relationships/hyperlink" Target="https://login.consultant.ru/link/?req=doc&amp;base=STR&amp;n=25002&amp;dst=100033" TargetMode="External"/><Relationship Id="rId320" Type="http://schemas.openxmlformats.org/officeDocument/2006/relationships/image" Target="media/image32.wmf"/><Relationship Id="rId558" Type="http://schemas.openxmlformats.org/officeDocument/2006/relationships/image" Target="media/image237.wmf"/><Relationship Id="rId765" Type="http://schemas.openxmlformats.org/officeDocument/2006/relationships/image" Target="media/image388.wmf"/><Relationship Id="rId972" Type="http://schemas.openxmlformats.org/officeDocument/2006/relationships/image" Target="media/image530.wmf"/><Relationship Id="rId197" Type="http://schemas.openxmlformats.org/officeDocument/2006/relationships/hyperlink" Target="https://login.consultant.ru/link/?req=doc&amp;base=STR&amp;n=25002&amp;dst=100055" TargetMode="External"/><Relationship Id="rId418" Type="http://schemas.openxmlformats.org/officeDocument/2006/relationships/image" Target="media/image120.wmf"/><Relationship Id="rId625" Type="http://schemas.openxmlformats.org/officeDocument/2006/relationships/image" Target="media/image301.wmf"/><Relationship Id="rId832" Type="http://schemas.openxmlformats.org/officeDocument/2006/relationships/image" Target="media/image442.wmf"/><Relationship Id="rId1048" Type="http://schemas.openxmlformats.org/officeDocument/2006/relationships/image" Target="media/image594.wmf"/><Relationship Id="rId264" Type="http://schemas.openxmlformats.org/officeDocument/2006/relationships/hyperlink" Target="https://login.consultant.ru/link/?req=doc&amp;base=STR&amp;n=27229" TargetMode="External"/><Relationship Id="rId471" Type="http://schemas.openxmlformats.org/officeDocument/2006/relationships/image" Target="media/image172.wmf"/><Relationship Id="rId59" Type="http://schemas.openxmlformats.org/officeDocument/2006/relationships/hyperlink" Target="https://login.consultant.ru/link/?req=doc&amp;base=STR&amp;n=28531&amp;dst=100021" TargetMode="External"/><Relationship Id="rId124" Type="http://schemas.openxmlformats.org/officeDocument/2006/relationships/hyperlink" Target="https://login.consultant.ru/link/?req=doc&amp;base=STR&amp;n=28531&amp;dst=100037" TargetMode="External"/><Relationship Id="rId569" Type="http://schemas.openxmlformats.org/officeDocument/2006/relationships/image" Target="media/image247.wmf"/><Relationship Id="rId776" Type="http://schemas.openxmlformats.org/officeDocument/2006/relationships/hyperlink" Target="https://login.consultant.ru/link/?req=doc&amp;base=STR&amp;n=30222" TargetMode="External"/><Relationship Id="rId983" Type="http://schemas.openxmlformats.org/officeDocument/2006/relationships/image" Target="media/image541.wmf"/><Relationship Id="rId331" Type="http://schemas.openxmlformats.org/officeDocument/2006/relationships/image" Target="media/image43.wmf"/><Relationship Id="rId429" Type="http://schemas.openxmlformats.org/officeDocument/2006/relationships/image" Target="media/image131.wmf"/><Relationship Id="rId636" Type="http://schemas.openxmlformats.org/officeDocument/2006/relationships/image" Target="media/image312.wmf"/><Relationship Id="rId1059" Type="http://schemas.openxmlformats.org/officeDocument/2006/relationships/image" Target="media/image603.wmf"/><Relationship Id="rId843" Type="http://schemas.openxmlformats.org/officeDocument/2006/relationships/hyperlink" Target="https://login.consultant.ru/link/?req=doc&amp;base=STR&amp;n=23439&amp;dst=100099" TargetMode="External"/><Relationship Id="rId275" Type="http://schemas.openxmlformats.org/officeDocument/2006/relationships/hyperlink" Target="https://login.consultant.ru/link/?req=doc&amp;base=STR&amp;n=26147" TargetMode="External"/><Relationship Id="rId482" Type="http://schemas.openxmlformats.org/officeDocument/2006/relationships/image" Target="media/image183.wmf"/><Relationship Id="rId703" Type="http://schemas.openxmlformats.org/officeDocument/2006/relationships/image" Target="media/image357.wmf"/><Relationship Id="rId910" Type="http://schemas.openxmlformats.org/officeDocument/2006/relationships/image" Target="media/image503.wmf"/><Relationship Id="rId135" Type="http://schemas.openxmlformats.org/officeDocument/2006/relationships/hyperlink" Target="https://login.consultant.ru/link/?req=doc&amp;base=STR&amp;n=20171" TargetMode="External"/><Relationship Id="rId342" Type="http://schemas.openxmlformats.org/officeDocument/2006/relationships/hyperlink" Target="https://login.consultant.ru/link/?req=doc&amp;base=STR&amp;n=28531&amp;dst=100136" TargetMode="External"/><Relationship Id="rId787" Type="http://schemas.openxmlformats.org/officeDocument/2006/relationships/image" Target="media/image402.wmf"/><Relationship Id="rId994" Type="http://schemas.openxmlformats.org/officeDocument/2006/relationships/image" Target="media/image549.wmf"/><Relationship Id="rId202" Type="http://schemas.openxmlformats.org/officeDocument/2006/relationships/hyperlink" Target="https://login.consultant.ru/link/?req=doc&amp;base=STR&amp;n=18907" TargetMode="External"/><Relationship Id="rId647" Type="http://schemas.openxmlformats.org/officeDocument/2006/relationships/image" Target="media/image321.wmf"/><Relationship Id="rId854" Type="http://schemas.openxmlformats.org/officeDocument/2006/relationships/image" Target="media/image449.wmf"/><Relationship Id="rId286" Type="http://schemas.openxmlformats.org/officeDocument/2006/relationships/image" Target="media/image8.wmf"/><Relationship Id="rId493" Type="http://schemas.openxmlformats.org/officeDocument/2006/relationships/hyperlink" Target="https://login.consultant.ru/link/?req=doc&amp;base=STR&amp;n=15971" TargetMode="External"/><Relationship Id="rId507" Type="http://schemas.openxmlformats.org/officeDocument/2006/relationships/image" Target="media/image192.wmf"/><Relationship Id="rId714" Type="http://schemas.openxmlformats.org/officeDocument/2006/relationships/image" Target="media/image367.wmf"/><Relationship Id="rId921" Type="http://schemas.openxmlformats.org/officeDocument/2006/relationships/hyperlink" Target="https://login.consultant.ru/link/?req=doc&amp;base=STR&amp;n=28531&amp;dst=100277" TargetMode="External"/><Relationship Id="rId50" Type="http://schemas.openxmlformats.org/officeDocument/2006/relationships/hyperlink" Target="https://login.consultant.ru/link/?req=doc&amp;base=OTN&amp;n=2840" TargetMode="External"/><Relationship Id="rId146" Type="http://schemas.openxmlformats.org/officeDocument/2006/relationships/hyperlink" Target="https://login.consultant.ru/link/?req=doc&amp;base=STR&amp;n=28531&amp;dst=100040" TargetMode="External"/><Relationship Id="rId353" Type="http://schemas.openxmlformats.org/officeDocument/2006/relationships/image" Target="media/image61.wmf"/><Relationship Id="rId560" Type="http://schemas.openxmlformats.org/officeDocument/2006/relationships/image" Target="media/image239.wmf"/><Relationship Id="rId798" Type="http://schemas.openxmlformats.org/officeDocument/2006/relationships/image" Target="media/image413.wmf"/><Relationship Id="rId213" Type="http://schemas.openxmlformats.org/officeDocument/2006/relationships/hyperlink" Target="https://login.consultant.ru/link/?req=doc&amp;base=STR&amp;n=26147" TargetMode="External"/><Relationship Id="rId420" Type="http://schemas.openxmlformats.org/officeDocument/2006/relationships/image" Target="media/image122.wmf"/><Relationship Id="rId658" Type="http://schemas.openxmlformats.org/officeDocument/2006/relationships/image" Target="media/image332.wmf"/><Relationship Id="rId865" Type="http://schemas.openxmlformats.org/officeDocument/2006/relationships/image" Target="media/image459.wmf"/><Relationship Id="rId1050" Type="http://schemas.openxmlformats.org/officeDocument/2006/relationships/image" Target="media/image596.wmf"/><Relationship Id="rId297" Type="http://schemas.openxmlformats.org/officeDocument/2006/relationships/image" Target="media/image18.wmf"/><Relationship Id="rId518" Type="http://schemas.openxmlformats.org/officeDocument/2006/relationships/image" Target="media/image201.wmf"/><Relationship Id="rId725" Type="http://schemas.openxmlformats.org/officeDocument/2006/relationships/hyperlink" Target="https://login.consultant.ru/link/?req=doc&amp;base=STR&amp;n=25002&amp;dst=100065" TargetMode="External"/><Relationship Id="rId932" Type="http://schemas.openxmlformats.org/officeDocument/2006/relationships/image" Target="media/image516.wmf"/><Relationship Id="rId157" Type="http://schemas.openxmlformats.org/officeDocument/2006/relationships/hyperlink" Target="https://login.consultant.ru/link/?req=doc&amp;base=STR&amp;n=23687&amp;dst=100018" TargetMode="External"/><Relationship Id="rId364" Type="http://schemas.openxmlformats.org/officeDocument/2006/relationships/image" Target="media/image71.wmf"/><Relationship Id="rId1008" Type="http://schemas.openxmlformats.org/officeDocument/2006/relationships/image" Target="media/image560.wmf"/><Relationship Id="rId61" Type="http://schemas.openxmlformats.org/officeDocument/2006/relationships/hyperlink" Target="https://login.consultant.ru/link/?req=doc&amp;base=STR&amp;n=25002&amp;dst=100017" TargetMode="External"/><Relationship Id="rId571" Type="http://schemas.openxmlformats.org/officeDocument/2006/relationships/image" Target="media/image249.wmf"/><Relationship Id="rId669" Type="http://schemas.openxmlformats.org/officeDocument/2006/relationships/image" Target="media/image342.wmf"/><Relationship Id="rId876" Type="http://schemas.openxmlformats.org/officeDocument/2006/relationships/image" Target="media/image470.wmf"/><Relationship Id="rId19" Type="http://schemas.openxmlformats.org/officeDocument/2006/relationships/hyperlink" Target="https://login.consultant.ru/link/?req=doc&amp;base=STR&amp;n=25002&amp;dst=100012" TargetMode="External"/><Relationship Id="rId224" Type="http://schemas.openxmlformats.org/officeDocument/2006/relationships/hyperlink" Target="https://login.consultant.ru/link/?req=doc&amp;base=STR&amp;n=26536" TargetMode="External"/><Relationship Id="rId431" Type="http://schemas.openxmlformats.org/officeDocument/2006/relationships/image" Target="media/image133.wmf"/><Relationship Id="rId529" Type="http://schemas.openxmlformats.org/officeDocument/2006/relationships/image" Target="media/image212.wmf"/><Relationship Id="rId736" Type="http://schemas.openxmlformats.org/officeDocument/2006/relationships/hyperlink" Target="https://login.consultant.ru/link/?req=doc&amp;base=STR&amp;n=23439&amp;dst=100096" TargetMode="External"/><Relationship Id="rId1061" Type="http://schemas.openxmlformats.org/officeDocument/2006/relationships/image" Target="media/image604.wmf"/><Relationship Id="rId168" Type="http://schemas.openxmlformats.org/officeDocument/2006/relationships/hyperlink" Target="https://login.consultant.ru/link/?req=doc&amp;base=STR&amp;n=27119" TargetMode="External"/><Relationship Id="rId943" Type="http://schemas.openxmlformats.org/officeDocument/2006/relationships/hyperlink" Target="https://login.consultant.ru/link/?req=doc&amp;base=STR&amp;n=25002&amp;dst=100108" TargetMode="External"/><Relationship Id="rId1019" Type="http://schemas.openxmlformats.org/officeDocument/2006/relationships/image" Target="media/image567.wmf"/><Relationship Id="rId72" Type="http://schemas.openxmlformats.org/officeDocument/2006/relationships/hyperlink" Target="https://login.consultant.ru/link/?req=doc&amp;base=STR&amp;n=25002&amp;dst=100018" TargetMode="External"/><Relationship Id="rId375" Type="http://schemas.openxmlformats.org/officeDocument/2006/relationships/image" Target="media/image80.wmf"/><Relationship Id="rId582" Type="http://schemas.openxmlformats.org/officeDocument/2006/relationships/hyperlink" Target="https://login.consultant.ru/link/?req=doc&amp;base=STR&amp;n=25002&amp;dst=100062" TargetMode="External"/><Relationship Id="rId803" Type="http://schemas.openxmlformats.org/officeDocument/2006/relationships/image" Target="media/image418.wmf"/><Relationship Id="rId3" Type="http://schemas.openxmlformats.org/officeDocument/2006/relationships/webSettings" Target="webSettings.xml"/><Relationship Id="rId235" Type="http://schemas.openxmlformats.org/officeDocument/2006/relationships/image" Target="media/image3.wmf"/><Relationship Id="rId442" Type="http://schemas.openxmlformats.org/officeDocument/2006/relationships/image" Target="media/image143.wmf"/><Relationship Id="rId887" Type="http://schemas.openxmlformats.org/officeDocument/2006/relationships/image" Target="media/image480.wmf"/><Relationship Id="rId1072" Type="http://schemas.openxmlformats.org/officeDocument/2006/relationships/image" Target="media/image612.png"/><Relationship Id="rId302" Type="http://schemas.openxmlformats.org/officeDocument/2006/relationships/hyperlink" Target="https://login.consultant.ru/link/?req=doc&amp;base=STR&amp;n=28531&amp;dst=100132" TargetMode="External"/><Relationship Id="rId747" Type="http://schemas.openxmlformats.org/officeDocument/2006/relationships/hyperlink" Target="https://login.consultant.ru/link/?req=doc&amp;base=STR&amp;n=29025" TargetMode="External"/><Relationship Id="rId954" Type="http://schemas.openxmlformats.org/officeDocument/2006/relationships/hyperlink" Target="https://login.consultant.ru/link/?req=doc&amp;base=STR&amp;n=28531&amp;dst=100290" TargetMode="External"/><Relationship Id="rId83" Type="http://schemas.openxmlformats.org/officeDocument/2006/relationships/hyperlink" Target="https://login.consultant.ru/link/?req=doc&amp;base=STR&amp;n=25002&amp;dst=100022" TargetMode="External"/><Relationship Id="rId179" Type="http://schemas.openxmlformats.org/officeDocument/2006/relationships/hyperlink" Target="https://login.consultant.ru/link/?req=doc&amp;base=STR&amp;n=27078" TargetMode="External"/><Relationship Id="rId386" Type="http://schemas.openxmlformats.org/officeDocument/2006/relationships/image" Target="media/image91.wmf"/><Relationship Id="rId593" Type="http://schemas.openxmlformats.org/officeDocument/2006/relationships/image" Target="media/image270.png"/><Relationship Id="rId607" Type="http://schemas.openxmlformats.org/officeDocument/2006/relationships/image" Target="media/image284.wmf"/><Relationship Id="rId814" Type="http://schemas.openxmlformats.org/officeDocument/2006/relationships/image" Target="media/image429.wmf"/><Relationship Id="rId246" Type="http://schemas.openxmlformats.org/officeDocument/2006/relationships/hyperlink" Target="https://login.consultant.ru/link/?req=doc&amp;base=STR&amp;n=23454" TargetMode="External"/><Relationship Id="rId453" Type="http://schemas.openxmlformats.org/officeDocument/2006/relationships/image" Target="media/image154.wmf"/><Relationship Id="rId660" Type="http://schemas.openxmlformats.org/officeDocument/2006/relationships/hyperlink" Target="https://login.consultant.ru/link/?req=doc&amp;base=STR&amp;n=30822" TargetMode="External"/><Relationship Id="rId898" Type="http://schemas.openxmlformats.org/officeDocument/2006/relationships/image" Target="media/image491.wmf"/><Relationship Id="rId1083" Type="http://schemas.openxmlformats.org/officeDocument/2006/relationships/image" Target="media/image623.wmf"/><Relationship Id="rId106" Type="http://schemas.openxmlformats.org/officeDocument/2006/relationships/hyperlink" Target="https://login.consultant.ru/link/?req=doc&amp;base=STR&amp;n=27119" TargetMode="External"/><Relationship Id="rId313" Type="http://schemas.openxmlformats.org/officeDocument/2006/relationships/image" Target="media/image27.wmf"/><Relationship Id="rId758" Type="http://schemas.openxmlformats.org/officeDocument/2006/relationships/image" Target="media/image381.wmf"/><Relationship Id="rId965" Type="http://schemas.openxmlformats.org/officeDocument/2006/relationships/image" Target="media/image524.wmf"/><Relationship Id="rId10" Type="http://schemas.openxmlformats.org/officeDocument/2006/relationships/hyperlink" Target="https://login.consultant.ru/link/?req=doc&amp;base=LAW&amp;n=323257&amp;dst=100005" TargetMode="External"/><Relationship Id="rId94" Type="http://schemas.openxmlformats.org/officeDocument/2006/relationships/hyperlink" Target="https://login.consultant.ru/link/?req=doc&amp;base=STR&amp;n=25403" TargetMode="External"/><Relationship Id="rId397" Type="http://schemas.openxmlformats.org/officeDocument/2006/relationships/image" Target="media/image102.wmf"/><Relationship Id="rId520" Type="http://schemas.openxmlformats.org/officeDocument/2006/relationships/image" Target="media/image203.wmf"/><Relationship Id="rId618" Type="http://schemas.openxmlformats.org/officeDocument/2006/relationships/image" Target="media/image294.wmf"/><Relationship Id="rId825" Type="http://schemas.openxmlformats.org/officeDocument/2006/relationships/image" Target="media/image440.wmf"/><Relationship Id="rId257" Type="http://schemas.openxmlformats.org/officeDocument/2006/relationships/hyperlink" Target="https://login.consultant.ru/link/?req=doc&amp;base=STR&amp;n=27229" TargetMode="External"/><Relationship Id="rId464" Type="http://schemas.openxmlformats.org/officeDocument/2006/relationships/image" Target="media/image165.wmf"/><Relationship Id="rId1010" Type="http://schemas.openxmlformats.org/officeDocument/2006/relationships/image" Target="media/image562.wmf"/><Relationship Id="rId1094" Type="http://schemas.openxmlformats.org/officeDocument/2006/relationships/image" Target="media/image629.png"/><Relationship Id="rId117" Type="http://schemas.openxmlformats.org/officeDocument/2006/relationships/hyperlink" Target="https://login.consultant.ru/link/?req=doc&amp;base=STR&amp;n=28531&amp;dst=100036" TargetMode="External"/><Relationship Id="rId671" Type="http://schemas.openxmlformats.org/officeDocument/2006/relationships/image" Target="media/image344.wmf"/><Relationship Id="rId769" Type="http://schemas.openxmlformats.org/officeDocument/2006/relationships/image" Target="media/image391.png"/><Relationship Id="rId976" Type="http://schemas.openxmlformats.org/officeDocument/2006/relationships/image" Target="media/image534.wmf"/><Relationship Id="rId324" Type="http://schemas.openxmlformats.org/officeDocument/2006/relationships/image" Target="media/image36.wmf"/><Relationship Id="rId531" Type="http://schemas.openxmlformats.org/officeDocument/2006/relationships/image" Target="media/image214.wmf"/><Relationship Id="rId629" Type="http://schemas.openxmlformats.org/officeDocument/2006/relationships/image" Target="media/image305.wmf"/><Relationship Id="rId836" Type="http://schemas.openxmlformats.org/officeDocument/2006/relationships/hyperlink" Target="https://login.consultant.ru/link/?req=doc&amp;base=STR&amp;n=30251" TargetMode="External"/><Relationship Id="rId1021" Type="http://schemas.openxmlformats.org/officeDocument/2006/relationships/image" Target="media/image569.wmf"/><Relationship Id="rId903" Type="http://schemas.openxmlformats.org/officeDocument/2006/relationships/image" Target="media/image496.wmf"/><Relationship Id="rId32" Type="http://schemas.openxmlformats.org/officeDocument/2006/relationships/hyperlink" Target="https://login.consultant.ru/link/?req=doc&amp;base=STR&amp;n=18907" TargetMode="External"/><Relationship Id="rId181" Type="http://schemas.openxmlformats.org/officeDocument/2006/relationships/hyperlink" Target="https://login.consultant.ru/link/?req=doc&amp;base=STR&amp;n=27162" TargetMode="External"/><Relationship Id="rId279" Type="http://schemas.openxmlformats.org/officeDocument/2006/relationships/hyperlink" Target="https://login.consultant.ru/link/?req=doc&amp;base=STR&amp;n=26536" TargetMode="External"/><Relationship Id="rId486" Type="http://schemas.openxmlformats.org/officeDocument/2006/relationships/hyperlink" Target="https://login.consultant.ru/link/?req=doc&amp;base=STR&amp;n=30251" TargetMode="External"/><Relationship Id="rId693" Type="http://schemas.openxmlformats.org/officeDocument/2006/relationships/image" Target="media/image351.png"/><Relationship Id="rId139" Type="http://schemas.openxmlformats.org/officeDocument/2006/relationships/hyperlink" Target="https://login.consultant.ru/link/?req=doc&amp;base=STR&amp;n=22923" TargetMode="External"/><Relationship Id="rId346" Type="http://schemas.openxmlformats.org/officeDocument/2006/relationships/image" Target="media/image54.wmf"/><Relationship Id="rId553" Type="http://schemas.openxmlformats.org/officeDocument/2006/relationships/image" Target="media/image232.wmf"/><Relationship Id="rId760" Type="http://schemas.openxmlformats.org/officeDocument/2006/relationships/image" Target="media/image383.wmf"/><Relationship Id="rId998" Type="http://schemas.openxmlformats.org/officeDocument/2006/relationships/image" Target="media/image551.wmf"/><Relationship Id="rId206" Type="http://schemas.openxmlformats.org/officeDocument/2006/relationships/hyperlink" Target="https://login.consultant.ru/link/?req=doc&amp;base=STR&amp;n=20775" TargetMode="External"/><Relationship Id="rId413" Type="http://schemas.openxmlformats.org/officeDocument/2006/relationships/hyperlink" Target="https://login.consultant.ru/link/?req=doc&amp;base=STR&amp;n=23439&amp;dst=100031" TargetMode="External"/><Relationship Id="rId858" Type="http://schemas.openxmlformats.org/officeDocument/2006/relationships/image" Target="media/image453.wmf"/><Relationship Id="rId1043" Type="http://schemas.openxmlformats.org/officeDocument/2006/relationships/image" Target="media/image589.wmf"/><Relationship Id="rId620" Type="http://schemas.openxmlformats.org/officeDocument/2006/relationships/image" Target="media/image296.wmf"/><Relationship Id="rId718" Type="http://schemas.openxmlformats.org/officeDocument/2006/relationships/image" Target="media/image369.wmf"/><Relationship Id="rId925" Type="http://schemas.openxmlformats.org/officeDocument/2006/relationships/hyperlink" Target="https://login.consultant.ru/link/?req=doc&amp;base=STR&amp;n=27119" TargetMode="External"/><Relationship Id="rId54" Type="http://schemas.openxmlformats.org/officeDocument/2006/relationships/hyperlink" Target="https://login.consultant.ru/link/?req=doc&amp;base=STR&amp;n=26121" TargetMode="External"/><Relationship Id="rId270" Type="http://schemas.openxmlformats.org/officeDocument/2006/relationships/hyperlink" Target="https://login.consultant.ru/link/?req=doc&amp;base=STR&amp;n=28531&amp;dst=100083" TargetMode="External"/><Relationship Id="rId130" Type="http://schemas.openxmlformats.org/officeDocument/2006/relationships/hyperlink" Target="https://login.consultant.ru/link/?req=doc&amp;base=STR&amp;n=30822" TargetMode="External"/><Relationship Id="rId368" Type="http://schemas.openxmlformats.org/officeDocument/2006/relationships/image" Target="media/image74.wmf"/><Relationship Id="rId575" Type="http://schemas.openxmlformats.org/officeDocument/2006/relationships/image" Target="media/image253.wmf"/><Relationship Id="rId782" Type="http://schemas.openxmlformats.org/officeDocument/2006/relationships/hyperlink" Target="https://login.consultant.ru/link/?req=doc&amp;base=STR&amp;n=25002&amp;dst=100102" TargetMode="External"/><Relationship Id="rId228" Type="http://schemas.openxmlformats.org/officeDocument/2006/relationships/hyperlink" Target="https://login.consultant.ru/link/?req=doc&amp;base=STR&amp;n=28531&amp;dst=100081" TargetMode="External"/><Relationship Id="rId435" Type="http://schemas.openxmlformats.org/officeDocument/2006/relationships/image" Target="media/image137.wmf"/><Relationship Id="rId642" Type="http://schemas.openxmlformats.org/officeDocument/2006/relationships/image" Target="media/image316.wmf"/><Relationship Id="rId1065" Type="http://schemas.openxmlformats.org/officeDocument/2006/relationships/image" Target="media/image608.wmf"/><Relationship Id="rId502" Type="http://schemas.openxmlformats.org/officeDocument/2006/relationships/image" Target="media/image187.wmf"/><Relationship Id="rId947" Type="http://schemas.openxmlformats.org/officeDocument/2006/relationships/hyperlink" Target="https://login.consultant.ru/link/?req=doc&amp;base=STR&amp;n=23687&amp;dst=100060" TargetMode="External"/><Relationship Id="rId76" Type="http://schemas.openxmlformats.org/officeDocument/2006/relationships/hyperlink" Target="https://login.consultant.ru/link/?req=doc&amp;base=STR&amp;n=30774" TargetMode="External"/><Relationship Id="rId807" Type="http://schemas.openxmlformats.org/officeDocument/2006/relationships/image" Target="media/image422.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175</Pages>
  <Words>87728</Words>
  <Characters>500056</Characters>
  <Application>Microsoft Office Word</Application>
  <DocSecurity>0</DocSecurity>
  <Lines>4167</Lines>
  <Paragraphs>1173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586611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Евгений В. Мерзляков</dc:creator>
  <cp:keywords/>
  <dc:description/>
  <cp:lastModifiedBy>Евгений В. Мерзляков</cp:lastModifiedBy>
  <cp:revision>1</cp:revision>
  <dcterms:created xsi:type="dcterms:W3CDTF">2024-01-19T11:41:00Z</dcterms:created>
  <dcterms:modified xsi:type="dcterms:W3CDTF">2024-01-19T11:41:00Z</dcterms:modified>
</cp:coreProperties>
</file>